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0"/>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48"/>
          <w:szCs w:val="48"/>
          <w:lang w:val="en-US" w:eastAsia="zh-CN"/>
        </w:rPr>
      </w:pPr>
      <w:bookmarkStart w:id="0" w:name="_Toc22804073"/>
      <w:bookmarkEnd w:id="0"/>
      <w:bookmarkStart w:id="1" w:name="_Toc22953395"/>
      <w:bookmarkEnd w:id="1"/>
    </w:p>
    <w:p>
      <w:pPr>
        <w:pStyle w:val="20"/>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b/>
          <w:bCs/>
          <w:sz w:val="48"/>
          <w:szCs w:val="48"/>
          <w:lang w:val="en-US"/>
        </w:rPr>
      </w:pPr>
      <w:r>
        <w:rPr>
          <w:rFonts w:hint="eastAsia" w:cs="宋体"/>
          <w:b/>
          <w:bCs/>
          <w:sz w:val="48"/>
          <w:szCs w:val="48"/>
          <w:lang w:val="en-US" w:eastAsia="zh-CN"/>
        </w:rPr>
        <w:t>驻马店市中心医院七氟丙烷气体灭火钢瓶检测</w:t>
      </w:r>
    </w:p>
    <w:p>
      <w:pPr>
        <w:pStyle w:val="20"/>
        <w:pageBreakBefore w:val="0"/>
        <w:kinsoku/>
        <w:overflowPunct/>
        <w:topLinePunct w:val="0"/>
        <w:bidi w:val="0"/>
        <w:spacing w:beforeAutospacing="0" w:afterAutospacing="0" w:line="360" w:lineRule="auto"/>
        <w:jc w:val="center"/>
        <w:rPr>
          <w:rStyle w:val="42"/>
          <w:rFonts w:hint="eastAsia" w:ascii="宋体" w:hAnsi="宋体" w:eastAsia="宋体" w:cs="宋体"/>
          <w:b/>
          <w:bCs/>
          <w:color w:val="auto"/>
          <w:sz w:val="48"/>
          <w:szCs w:val="48"/>
        </w:rPr>
      </w:pPr>
    </w:p>
    <w:p>
      <w:pPr>
        <w:pStyle w:val="20"/>
        <w:pageBreakBefore w:val="0"/>
        <w:kinsoku/>
        <w:overflowPunct/>
        <w:topLinePunct w:val="0"/>
        <w:bidi w:val="0"/>
        <w:spacing w:beforeAutospacing="0" w:afterAutospacing="0" w:line="360" w:lineRule="auto"/>
        <w:jc w:val="center"/>
        <w:rPr>
          <w:rStyle w:val="42"/>
          <w:rFonts w:hint="eastAsia" w:ascii="宋体" w:hAnsi="宋体" w:eastAsia="宋体" w:cs="宋体"/>
          <w:b/>
          <w:bCs/>
          <w:color w:val="auto"/>
          <w:sz w:val="48"/>
          <w:szCs w:val="48"/>
        </w:rPr>
      </w:pPr>
    </w:p>
    <w:p>
      <w:pPr>
        <w:pStyle w:val="20"/>
        <w:pageBreakBefore w:val="0"/>
        <w:kinsoku/>
        <w:overflowPunct/>
        <w:topLinePunct w:val="0"/>
        <w:bidi w:val="0"/>
        <w:spacing w:beforeAutospacing="0" w:afterAutospacing="0" w:line="360" w:lineRule="auto"/>
        <w:jc w:val="center"/>
        <w:rPr>
          <w:rStyle w:val="42"/>
          <w:rFonts w:hint="eastAsia" w:ascii="宋体" w:hAnsi="宋体" w:eastAsia="宋体" w:cs="宋体"/>
          <w:b/>
          <w:bCs/>
          <w:color w:val="auto"/>
          <w:sz w:val="48"/>
          <w:szCs w:val="48"/>
        </w:rPr>
      </w:pPr>
    </w:p>
    <w:p>
      <w:pPr>
        <w:pStyle w:val="20"/>
        <w:pageBreakBefore w:val="0"/>
        <w:kinsoku/>
        <w:overflowPunct/>
        <w:topLinePunct w:val="0"/>
        <w:bidi w:val="0"/>
        <w:spacing w:beforeAutospacing="0" w:afterAutospacing="0" w:line="360" w:lineRule="auto"/>
        <w:jc w:val="center"/>
        <w:rPr>
          <w:rStyle w:val="42"/>
          <w:rFonts w:hint="eastAsia" w:ascii="宋体" w:hAnsi="宋体" w:eastAsia="宋体" w:cs="宋体"/>
          <w:b/>
          <w:bCs/>
          <w:color w:val="auto"/>
          <w:sz w:val="48"/>
          <w:szCs w:val="48"/>
        </w:rPr>
      </w:pPr>
    </w:p>
    <w:p>
      <w:pPr>
        <w:pStyle w:val="20"/>
        <w:pageBreakBefore w:val="0"/>
        <w:kinsoku/>
        <w:overflowPunct/>
        <w:topLinePunct w:val="0"/>
        <w:bidi w:val="0"/>
        <w:spacing w:beforeAutospacing="0" w:afterAutospacing="0" w:line="360" w:lineRule="auto"/>
        <w:jc w:val="center"/>
        <w:rPr>
          <w:rStyle w:val="42"/>
          <w:rFonts w:hint="eastAsia" w:ascii="宋体" w:hAnsi="宋体" w:eastAsia="宋体" w:cs="宋体"/>
          <w:b/>
          <w:bCs/>
          <w:color w:val="auto"/>
          <w:szCs w:val="44"/>
        </w:rPr>
      </w:pPr>
      <w:r>
        <w:rPr>
          <w:rStyle w:val="42"/>
          <w:rFonts w:hint="eastAsia" w:cs="宋体"/>
          <w:b/>
          <w:bCs/>
          <w:color w:val="auto"/>
          <w:sz w:val="72"/>
          <w:szCs w:val="72"/>
          <w:lang w:val="en-US" w:eastAsia="zh-CN"/>
        </w:rPr>
        <w:t>采购</w:t>
      </w:r>
      <w:r>
        <w:rPr>
          <w:rStyle w:val="42"/>
          <w:rFonts w:hint="eastAsia" w:ascii="宋体" w:hAnsi="宋体" w:eastAsia="宋体" w:cs="宋体"/>
          <w:b/>
          <w:bCs/>
          <w:color w:val="auto"/>
          <w:sz w:val="72"/>
          <w:szCs w:val="72"/>
        </w:rPr>
        <w:t>文件</w:t>
      </w:r>
    </w:p>
    <w:p>
      <w:pPr>
        <w:pageBreakBefore w:val="0"/>
        <w:tabs>
          <w:tab w:val="left" w:pos="2700"/>
          <w:tab w:val="left" w:pos="2880"/>
          <w:tab w:val="left" w:pos="3060"/>
          <w:tab w:val="left" w:pos="7560"/>
        </w:tabs>
        <w:kinsoku/>
        <w:overflowPunct/>
        <w:topLinePunct w:val="0"/>
        <w:bidi w:val="0"/>
        <w:snapToGrid w:val="0"/>
        <w:spacing w:beforeAutospacing="0" w:afterAutospacing="0" w:line="360" w:lineRule="auto"/>
        <w:ind w:firstLine="1928" w:firstLineChars="600"/>
        <w:jc w:val="both"/>
        <w:rPr>
          <w:rFonts w:hint="eastAsia" w:ascii="宋体" w:hAnsi="宋体" w:eastAsia="宋体" w:cs="宋体"/>
          <w:b/>
          <w:bCs/>
          <w:spacing w:val="-10"/>
          <w:sz w:val="34"/>
          <w:szCs w:val="34"/>
          <w:lang w:val="en-US" w:eastAsia="zh-CN"/>
        </w:rPr>
      </w:pPr>
    </w:p>
    <w:p>
      <w:pPr>
        <w:pageBreakBefore w:val="0"/>
        <w:kinsoku/>
        <w:overflowPunct/>
        <w:topLinePunct w:val="0"/>
        <w:bidi w:val="0"/>
        <w:snapToGrid w:val="0"/>
        <w:spacing w:beforeAutospacing="0" w:afterAutospacing="0" w:line="360" w:lineRule="auto"/>
        <w:jc w:val="center"/>
        <w:rPr>
          <w:rFonts w:hint="eastAsia" w:ascii="宋体" w:hAnsi="宋体" w:eastAsia="宋体" w:cs="宋体"/>
          <w:b/>
          <w:sz w:val="32"/>
          <w:szCs w:val="32"/>
        </w:rPr>
      </w:pPr>
    </w:p>
    <w:p>
      <w:pPr>
        <w:pStyle w:val="2"/>
        <w:pageBreakBefore w:val="0"/>
        <w:kinsoku/>
        <w:overflowPunct/>
        <w:topLinePunct w:val="0"/>
        <w:bidi w:val="0"/>
        <w:spacing w:beforeAutospacing="0" w:afterAutospacing="0" w:line="360" w:lineRule="auto"/>
        <w:rPr>
          <w:rFonts w:hint="eastAsia"/>
        </w:rPr>
      </w:pPr>
    </w:p>
    <w:p>
      <w:pPr>
        <w:pStyle w:val="58"/>
        <w:pageBreakBefore w:val="0"/>
        <w:kinsoku/>
        <w:overflowPunct/>
        <w:topLinePunct w:val="0"/>
        <w:bidi w:val="0"/>
        <w:spacing w:beforeAutospacing="0" w:afterAutospacing="0" w:line="360" w:lineRule="auto"/>
        <w:rPr>
          <w:rFonts w:hint="eastAsia" w:ascii="宋体" w:hAnsi="宋体" w:eastAsia="宋体" w:cs="宋体"/>
          <w:bCs/>
          <w:sz w:val="2"/>
          <w:szCs w:val="2"/>
        </w:rPr>
      </w:pPr>
    </w:p>
    <w:p>
      <w:pPr>
        <w:pageBreakBefore w:val="0"/>
        <w:kinsoku/>
        <w:overflowPunct/>
        <w:topLinePunct w:val="0"/>
        <w:bidi w:val="0"/>
        <w:spacing w:beforeAutospacing="0" w:afterAutospacing="0" w:line="360" w:lineRule="auto"/>
        <w:rPr>
          <w:rFonts w:hint="eastAsia" w:ascii="宋体" w:hAnsi="宋体" w:eastAsia="宋体" w:cs="宋体"/>
          <w:bCs/>
          <w:sz w:val="2"/>
          <w:szCs w:val="2"/>
        </w:rPr>
      </w:pPr>
    </w:p>
    <w:p>
      <w:pPr>
        <w:pageBreakBefore w:val="0"/>
        <w:kinsoku/>
        <w:overflowPunct/>
        <w:topLinePunct w:val="0"/>
        <w:bidi w:val="0"/>
        <w:spacing w:beforeAutospacing="0" w:afterAutospacing="0" w:line="360" w:lineRule="auto"/>
        <w:rPr>
          <w:rFonts w:hint="eastAsia" w:ascii="宋体" w:hAnsi="宋体" w:eastAsia="宋体" w:cs="宋体"/>
          <w:bCs/>
          <w:sz w:val="2"/>
          <w:szCs w:val="2"/>
        </w:rPr>
      </w:pPr>
    </w:p>
    <w:p>
      <w:pPr>
        <w:pageBreakBefore w:val="0"/>
        <w:tabs>
          <w:tab w:val="left" w:pos="2700"/>
          <w:tab w:val="left" w:pos="2880"/>
          <w:tab w:val="left" w:pos="3060"/>
          <w:tab w:val="left" w:pos="7560"/>
        </w:tabs>
        <w:kinsoku/>
        <w:overflowPunct/>
        <w:topLinePunct w:val="0"/>
        <w:bidi w:val="0"/>
        <w:snapToGrid w:val="0"/>
        <w:spacing w:beforeAutospacing="0" w:afterAutospacing="0" w:line="360" w:lineRule="auto"/>
        <w:ind w:firstLine="1928" w:firstLineChars="600"/>
        <w:rPr>
          <w:rFonts w:hint="eastAsia" w:ascii="宋体" w:hAnsi="宋体" w:eastAsia="宋体" w:cs="宋体"/>
          <w:b/>
          <w:bCs/>
          <w:spacing w:val="-10"/>
          <w:sz w:val="34"/>
          <w:szCs w:val="34"/>
          <w:lang w:val="en-US" w:eastAsia="zh-CN"/>
        </w:rPr>
      </w:pPr>
    </w:p>
    <w:p>
      <w:pPr>
        <w:pageBreakBefore w:val="0"/>
        <w:tabs>
          <w:tab w:val="left" w:pos="2700"/>
          <w:tab w:val="left" w:pos="2880"/>
          <w:tab w:val="left" w:pos="3060"/>
          <w:tab w:val="left" w:pos="7560"/>
        </w:tabs>
        <w:kinsoku/>
        <w:overflowPunct/>
        <w:topLinePunct w:val="0"/>
        <w:bidi w:val="0"/>
        <w:snapToGrid w:val="0"/>
        <w:spacing w:beforeAutospacing="0" w:afterAutospacing="0" w:line="360" w:lineRule="auto"/>
        <w:ind w:firstLine="1928" w:firstLineChars="600"/>
        <w:rPr>
          <w:rFonts w:hint="eastAsia" w:ascii="宋体" w:hAnsi="宋体" w:eastAsia="宋体" w:cs="宋体"/>
          <w:b/>
          <w:bCs/>
          <w:spacing w:val="-10"/>
          <w:sz w:val="34"/>
          <w:szCs w:val="34"/>
          <w:lang w:val="en-US" w:eastAsia="zh-CN"/>
        </w:rPr>
      </w:pPr>
    </w:p>
    <w:p>
      <w:pPr>
        <w:pageBreakBefore w:val="0"/>
        <w:tabs>
          <w:tab w:val="left" w:pos="2700"/>
          <w:tab w:val="left" w:pos="2880"/>
          <w:tab w:val="left" w:pos="3060"/>
          <w:tab w:val="left" w:pos="7560"/>
        </w:tabs>
        <w:kinsoku/>
        <w:overflowPunct/>
        <w:topLinePunct w:val="0"/>
        <w:bidi w:val="0"/>
        <w:snapToGrid w:val="0"/>
        <w:spacing w:beforeAutospacing="0" w:afterAutospacing="0" w:line="360" w:lineRule="auto"/>
        <w:ind w:left="0" w:leftChars="0" w:firstLine="0" w:firstLineChars="0"/>
        <w:jc w:val="center"/>
        <w:rPr>
          <w:rFonts w:hint="eastAsia" w:ascii="宋体" w:hAnsi="宋体" w:eastAsia="宋体" w:cs="宋体"/>
          <w:b/>
          <w:bCs/>
          <w:spacing w:val="-10"/>
          <w:sz w:val="34"/>
          <w:szCs w:val="34"/>
          <w:lang w:val="en-US" w:eastAsia="zh-CN"/>
        </w:rPr>
      </w:pPr>
    </w:p>
    <w:p>
      <w:pPr>
        <w:pageBreakBefore w:val="0"/>
        <w:tabs>
          <w:tab w:val="left" w:pos="2700"/>
          <w:tab w:val="left" w:pos="2880"/>
          <w:tab w:val="left" w:pos="3060"/>
          <w:tab w:val="left" w:pos="7560"/>
        </w:tabs>
        <w:kinsoku/>
        <w:overflowPunct/>
        <w:topLinePunct w:val="0"/>
        <w:bidi w:val="0"/>
        <w:snapToGrid w:val="0"/>
        <w:spacing w:beforeAutospacing="0" w:afterAutospacing="0" w:line="36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pageBreakBefore w:val="0"/>
        <w:tabs>
          <w:tab w:val="left" w:pos="2505"/>
          <w:tab w:val="center" w:pos="4535"/>
        </w:tabs>
        <w:kinsoku/>
        <w:overflowPunct/>
        <w:topLinePunct w:val="0"/>
        <w:bidi w:val="0"/>
        <w:snapToGrid w:val="0"/>
        <w:spacing w:beforeAutospacing="0" w:afterAutospacing="0" w:line="36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w:t>
      </w:r>
      <w:r>
        <w:rPr>
          <w:rFonts w:hint="eastAsia" w:ascii="宋体" w:hAnsi="宋体" w:cs="宋体"/>
          <w:b/>
          <w:bCs/>
          <w:spacing w:val="40"/>
          <w:sz w:val="34"/>
          <w:szCs w:val="34"/>
          <w:lang w:val="en-US" w:eastAsia="zh-CN"/>
        </w:rPr>
        <w:t>3</w:t>
      </w:r>
      <w:r>
        <w:rPr>
          <w:rFonts w:hint="eastAsia" w:ascii="宋体" w:hAnsi="宋体" w:eastAsia="宋体" w:cs="宋体"/>
          <w:b/>
          <w:bCs/>
          <w:color w:val="000000" w:themeColor="text1"/>
          <w:spacing w:val="40"/>
          <w:sz w:val="34"/>
          <w:szCs w:val="34"/>
          <w14:textFill>
            <w14:solidFill>
              <w14:schemeClr w14:val="tx1"/>
            </w14:solidFill>
          </w14:textFill>
        </w:rPr>
        <w:t>年</w:t>
      </w:r>
      <w:r>
        <w:rPr>
          <w:rFonts w:hint="eastAsia" w:ascii="宋体" w:hAnsi="宋体" w:cs="宋体"/>
          <w:b/>
          <w:bCs/>
          <w:color w:val="000000" w:themeColor="text1"/>
          <w:spacing w:val="40"/>
          <w:sz w:val="34"/>
          <w:szCs w:val="34"/>
          <w:lang w:val="en-US" w:eastAsia="zh-CN"/>
          <w14:textFill>
            <w14:solidFill>
              <w14:schemeClr w14:val="tx1"/>
            </w14:solidFill>
          </w14:textFill>
        </w:rPr>
        <w:t>09</w:t>
      </w:r>
      <w:r>
        <w:rPr>
          <w:rFonts w:hint="eastAsia" w:ascii="宋体" w:hAnsi="宋体" w:eastAsia="宋体" w:cs="宋体"/>
          <w:b/>
          <w:bCs/>
          <w:color w:val="000000" w:themeColor="text1"/>
          <w:spacing w:val="40"/>
          <w:sz w:val="34"/>
          <w:szCs w:val="34"/>
          <w14:textFill>
            <w14:solidFill>
              <w14:schemeClr w14:val="tx1"/>
            </w14:solidFill>
          </w14:textFill>
        </w:rPr>
        <w:t>月</w:t>
      </w:r>
    </w:p>
    <w:p>
      <w:pPr>
        <w:pageBreakBefore w:val="0"/>
        <w:kinsoku/>
        <w:overflowPunct/>
        <w:topLinePunct w:val="0"/>
        <w:bidi w:val="0"/>
        <w:spacing w:beforeAutospacing="0" w:afterAutospacing="0" w:line="360" w:lineRule="auto"/>
        <w:rPr>
          <w:rFonts w:ascii="宋体" w:hAnsi="宋体"/>
          <w:bCs/>
          <w:color w:val="auto"/>
          <w:sz w:val="24"/>
          <w:highlight w:val="none"/>
        </w:rPr>
      </w:pPr>
    </w:p>
    <w:p>
      <w:pPr>
        <w:pageBreakBefore w:val="0"/>
        <w:kinsoku/>
        <w:overflowPunct/>
        <w:topLinePunct w:val="0"/>
        <w:bidi w:val="0"/>
        <w:spacing w:beforeAutospacing="0" w:afterAutospacing="0" w:line="360" w:lineRule="auto"/>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2"/>
        <w:pageBreakBefore w:val="0"/>
        <w:kinsoku/>
        <w:overflowPunct/>
        <w:topLinePunct w:val="0"/>
        <w:bidi w:val="0"/>
        <w:spacing w:beforeAutospacing="0" w:afterAutospacing="0" w:line="360" w:lineRule="auto"/>
        <w:rPr>
          <w:color w:val="auto"/>
          <w:highlight w:val="none"/>
        </w:rPr>
      </w:pPr>
    </w:p>
    <w:p>
      <w:pPr>
        <w:pStyle w:val="25"/>
        <w:tabs>
          <w:tab w:val="right" w:leader="dot" w:pos="8958"/>
        </w:tabs>
        <w:spacing w:line="480" w:lineRule="auto"/>
        <w:rPr>
          <w:rFonts w:hint="eastAsia" w:ascii="宋体" w:hAnsi="宋体" w:eastAsia="宋体" w:cs="宋体"/>
          <w:sz w:val="24"/>
          <w:szCs w:val="32"/>
        </w:rPr>
      </w:pPr>
      <w:r>
        <w:rPr>
          <w:rFonts w:hint="eastAsia" w:ascii="宋体" w:hAnsi="宋体" w:cs="宋体"/>
          <w:b/>
          <w:bCs/>
          <w:color w:val="auto"/>
          <w:sz w:val="36"/>
          <w:szCs w:val="36"/>
          <w:highlight w:val="none"/>
        </w:rPr>
        <w:fldChar w:fldCharType="begin"/>
      </w:r>
      <w:r>
        <w:rPr>
          <w:rFonts w:hint="eastAsia" w:ascii="宋体" w:hAnsi="宋体" w:cs="宋体"/>
          <w:b/>
          <w:bCs/>
          <w:color w:val="auto"/>
          <w:sz w:val="36"/>
          <w:szCs w:val="36"/>
          <w:highlight w:val="none"/>
        </w:rPr>
        <w:instrText xml:space="preserve">TOC \o "1-1" \h \u </w:instrText>
      </w:r>
      <w:r>
        <w:rPr>
          <w:rFonts w:hint="eastAsia" w:ascii="宋体" w:hAnsi="宋体" w:cs="宋体"/>
          <w:b/>
          <w:bCs/>
          <w:color w:val="auto"/>
          <w:sz w:val="36"/>
          <w:szCs w:val="36"/>
          <w:highlight w:val="none"/>
        </w:rPr>
        <w:fldChar w:fldCharType="separate"/>
      </w:r>
      <w:r>
        <w:rPr>
          <w:rFonts w:hint="eastAsia" w:ascii="宋体" w:hAnsi="宋体" w:eastAsia="宋体" w:cs="宋体"/>
          <w:bCs/>
          <w:color w:val="auto"/>
          <w:sz w:val="24"/>
          <w:szCs w:val="44"/>
          <w:highlight w:val="none"/>
        </w:rPr>
        <w:fldChar w:fldCharType="begin"/>
      </w:r>
      <w:r>
        <w:rPr>
          <w:rFonts w:hint="eastAsia" w:ascii="宋体" w:hAnsi="宋体" w:eastAsia="宋体" w:cs="宋体"/>
          <w:bCs/>
          <w:sz w:val="24"/>
          <w:szCs w:val="44"/>
          <w:highlight w:val="none"/>
        </w:rPr>
        <w:instrText xml:space="preserve"> HYPERLINK \l _Toc5702 </w:instrText>
      </w:r>
      <w:r>
        <w:rPr>
          <w:rFonts w:hint="eastAsia" w:ascii="宋体" w:hAnsi="宋体" w:eastAsia="宋体" w:cs="宋体"/>
          <w:bCs/>
          <w:sz w:val="24"/>
          <w:szCs w:val="44"/>
          <w:highlight w:val="none"/>
        </w:rPr>
        <w:fldChar w:fldCharType="separate"/>
      </w:r>
      <w:r>
        <w:rPr>
          <w:rFonts w:hint="eastAsia" w:ascii="宋体" w:hAnsi="宋体" w:eastAsia="宋体" w:cs="宋体"/>
          <w:sz w:val="24"/>
          <w:szCs w:val="40"/>
          <w:highlight w:val="none"/>
        </w:rPr>
        <w:t xml:space="preserve">第一章  </w:t>
      </w:r>
      <w:r>
        <w:rPr>
          <w:rFonts w:hint="eastAsia" w:ascii="宋体" w:hAnsi="宋体" w:eastAsia="宋体" w:cs="宋体"/>
          <w:sz w:val="24"/>
          <w:szCs w:val="40"/>
          <w:highlight w:val="none"/>
          <w:lang w:val="en-US" w:eastAsia="zh-CN"/>
        </w:rPr>
        <w:t>竞争性磋商采购</w:t>
      </w:r>
      <w:r>
        <w:rPr>
          <w:rFonts w:hint="eastAsia" w:ascii="宋体" w:hAnsi="宋体" w:eastAsia="宋体" w:cs="宋体"/>
          <w:sz w:val="24"/>
          <w:szCs w:val="40"/>
          <w:highlight w:val="none"/>
        </w:rPr>
        <w:t>公告</w:t>
      </w:r>
      <w:r>
        <w:rPr>
          <w:rFonts w:hint="eastAsia" w:ascii="宋体" w:hAnsi="宋体" w:eastAsia="宋体" w:cs="宋体"/>
          <w:sz w:val="24"/>
          <w:szCs w:val="32"/>
        </w:rPr>
        <w:tab/>
      </w: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PAGEREF _Toc5702 \h </w:instrText>
      </w:r>
      <w:r>
        <w:rPr>
          <w:rFonts w:hint="eastAsia" w:ascii="宋体" w:hAnsi="宋体" w:eastAsia="宋体" w:cs="宋体"/>
          <w:sz w:val="24"/>
          <w:szCs w:val="32"/>
        </w:rPr>
        <w:fldChar w:fldCharType="separate"/>
      </w:r>
      <w:r>
        <w:rPr>
          <w:rFonts w:hint="eastAsia" w:ascii="宋体" w:hAnsi="宋体" w:eastAsia="宋体" w:cs="宋体"/>
          <w:sz w:val="24"/>
          <w:szCs w:val="32"/>
        </w:rPr>
        <w:t>2</w:t>
      </w:r>
      <w:r>
        <w:rPr>
          <w:rFonts w:hint="eastAsia" w:ascii="宋体" w:hAnsi="宋体" w:eastAsia="宋体" w:cs="宋体"/>
          <w:sz w:val="24"/>
          <w:szCs w:val="32"/>
        </w:rPr>
        <w:fldChar w:fldCharType="end"/>
      </w:r>
      <w:r>
        <w:rPr>
          <w:rFonts w:hint="eastAsia" w:ascii="宋体" w:hAnsi="宋体" w:eastAsia="宋体" w:cs="宋体"/>
          <w:bCs/>
          <w:color w:val="auto"/>
          <w:sz w:val="24"/>
          <w:szCs w:val="44"/>
          <w:highlight w:val="none"/>
        </w:rPr>
        <w:fldChar w:fldCharType="end"/>
      </w:r>
    </w:p>
    <w:p>
      <w:pPr>
        <w:pStyle w:val="25"/>
        <w:tabs>
          <w:tab w:val="right" w:leader="dot" w:pos="8958"/>
        </w:tabs>
        <w:spacing w:line="480" w:lineRule="auto"/>
        <w:rPr>
          <w:rFonts w:hint="eastAsia" w:ascii="宋体" w:hAnsi="宋体" w:eastAsia="宋体" w:cs="宋体"/>
          <w:sz w:val="24"/>
          <w:szCs w:val="32"/>
        </w:rPr>
      </w:pPr>
      <w:r>
        <w:rPr>
          <w:rFonts w:hint="eastAsia" w:ascii="宋体" w:hAnsi="宋体" w:eastAsia="宋体" w:cs="宋体"/>
          <w:bCs/>
          <w:color w:val="auto"/>
          <w:sz w:val="24"/>
          <w:szCs w:val="44"/>
          <w:highlight w:val="none"/>
        </w:rPr>
        <w:fldChar w:fldCharType="begin"/>
      </w:r>
      <w:r>
        <w:rPr>
          <w:rFonts w:hint="eastAsia" w:ascii="宋体" w:hAnsi="宋体" w:eastAsia="宋体" w:cs="宋体"/>
          <w:bCs/>
          <w:sz w:val="24"/>
          <w:szCs w:val="44"/>
          <w:highlight w:val="none"/>
        </w:rPr>
        <w:instrText xml:space="preserve"> HYPERLINK \l _Toc412 </w:instrText>
      </w:r>
      <w:r>
        <w:rPr>
          <w:rFonts w:hint="eastAsia" w:ascii="宋体" w:hAnsi="宋体" w:eastAsia="宋体" w:cs="宋体"/>
          <w:bCs/>
          <w:sz w:val="24"/>
          <w:szCs w:val="44"/>
          <w:highlight w:val="none"/>
        </w:rPr>
        <w:fldChar w:fldCharType="separate"/>
      </w:r>
      <w:r>
        <w:rPr>
          <w:rFonts w:hint="eastAsia" w:ascii="宋体" w:hAnsi="宋体" w:eastAsia="宋体" w:cs="宋体"/>
          <w:sz w:val="24"/>
          <w:szCs w:val="40"/>
          <w:highlight w:val="none"/>
        </w:rPr>
        <w:t xml:space="preserve">第二章  </w:t>
      </w:r>
      <w:r>
        <w:rPr>
          <w:rFonts w:hint="eastAsia" w:ascii="宋体" w:hAnsi="宋体" w:eastAsia="宋体" w:cs="宋体"/>
          <w:sz w:val="24"/>
          <w:szCs w:val="40"/>
          <w:highlight w:val="none"/>
          <w:lang w:eastAsia="zh-CN"/>
        </w:rPr>
        <w:t>采购</w:t>
      </w:r>
      <w:r>
        <w:rPr>
          <w:rFonts w:hint="eastAsia" w:ascii="宋体" w:hAnsi="宋体" w:eastAsia="宋体" w:cs="宋体"/>
          <w:sz w:val="24"/>
          <w:szCs w:val="40"/>
          <w:highlight w:val="none"/>
        </w:rPr>
        <w:t>需求</w:t>
      </w:r>
      <w:r>
        <w:rPr>
          <w:rFonts w:hint="eastAsia" w:ascii="宋体" w:hAnsi="宋体" w:eastAsia="宋体" w:cs="宋体"/>
          <w:sz w:val="24"/>
          <w:szCs w:val="32"/>
        </w:rPr>
        <w:tab/>
      </w: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PAGEREF _Toc412 \h </w:instrText>
      </w:r>
      <w:r>
        <w:rPr>
          <w:rFonts w:hint="eastAsia" w:ascii="宋体" w:hAnsi="宋体" w:eastAsia="宋体" w:cs="宋体"/>
          <w:sz w:val="24"/>
          <w:szCs w:val="32"/>
        </w:rPr>
        <w:fldChar w:fldCharType="separate"/>
      </w:r>
      <w:r>
        <w:rPr>
          <w:rFonts w:hint="eastAsia" w:ascii="宋体" w:hAnsi="宋体" w:eastAsia="宋体" w:cs="宋体"/>
          <w:sz w:val="24"/>
          <w:szCs w:val="32"/>
        </w:rPr>
        <w:t>5</w:t>
      </w:r>
      <w:r>
        <w:rPr>
          <w:rFonts w:hint="eastAsia" w:ascii="宋体" w:hAnsi="宋体" w:eastAsia="宋体" w:cs="宋体"/>
          <w:sz w:val="24"/>
          <w:szCs w:val="32"/>
        </w:rPr>
        <w:fldChar w:fldCharType="end"/>
      </w:r>
      <w:r>
        <w:rPr>
          <w:rFonts w:hint="eastAsia" w:ascii="宋体" w:hAnsi="宋体" w:eastAsia="宋体" w:cs="宋体"/>
          <w:bCs/>
          <w:color w:val="auto"/>
          <w:sz w:val="24"/>
          <w:szCs w:val="44"/>
          <w:highlight w:val="none"/>
        </w:rPr>
        <w:fldChar w:fldCharType="end"/>
      </w:r>
    </w:p>
    <w:p>
      <w:pPr>
        <w:pStyle w:val="25"/>
        <w:tabs>
          <w:tab w:val="right" w:leader="dot" w:pos="8958"/>
        </w:tabs>
        <w:spacing w:line="480" w:lineRule="auto"/>
        <w:rPr>
          <w:rFonts w:hint="eastAsia" w:ascii="宋体" w:hAnsi="宋体" w:eastAsia="宋体" w:cs="宋体"/>
          <w:sz w:val="24"/>
          <w:szCs w:val="32"/>
        </w:rPr>
      </w:pPr>
      <w:r>
        <w:rPr>
          <w:rFonts w:hint="eastAsia" w:ascii="宋体" w:hAnsi="宋体" w:eastAsia="宋体" w:cs="宋体"/>
          <w:bCs/>
          <w:color w:val="auto"/>
          <w:sz w:val="24"/>
          <w:szCs w:val="44"/>
          <w:highlight w:val="none"/>
        </w:rPr>
        <w:fldChar w:fldCharType="begin"/>
      </w:r>
      <w:r>
        <w:rPr>
          <w:rFonts w:hint="eastAsia" w:ascii="宋体" w:hAnsi="宋体" w:eastAsia="宋体" w:cs="宋体"/>
          <w:bCs/>
          <w:sz w:val="24"/>
          <w:szCs w:val="44"/>
          <w:highlight w:val="none"/>
        </w:rPr>
        <w:instrText xml:space="preserve"> HYPERLINK \l _Toc13209 </w:instrText>
      </w:r>
      <w:r>
        <w:rPr>
          <w:rFonts w:hint="eastAsia" w:ascii="宋体" w:hAnsi="宋体" w:eastAsia="宋体" w:cs="宋体"/>
          <w:bCs/>
          <w:sz w:val="24"/>
          <w:szCs w:val="44"/>
          <w:highlight w:val="none"/>
        </w:rPr>
        <w:fldChar w:fldCharType="separate"/>
      </w:r>
      <w:r>
        <w:rPr>
          <w:rFonts w:hint="eastAsia" w:ascii="宋体" w:hAnsi="宋体" w:eastAsia="宋体" w:cs="宋体"/>
          <w:bCs/>
          <w:sz w:val="24"/>
          <w:szCs w:val="40"/>
          <w:highlight w:val="none"/>
        </w:rPr>
        <w:t>第三章  投标人须知</w:t>
      </w:r>
      <w:r>
        <w:rPr>
          <w:rFonts w:hint="eastAsia" w:ascii="宋体" w:hAnsi="宋体" w:eastAsia="宋体" w:cs="宋体"/>
          <w:sz w:val="24"/>
          <w:szCs w:val="32"/>
        </w:rPr>
        <w:tab/>
      </w: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PAGEREF _Toc13209 \h </w:instrText>
      </w:r>
      <w:r>
        <w:rPr>
          <w:rFonts w:hint="eastAsia" w:ascii="宋体" w:hAnsi="宋体" w:eastAsia="宋体" w:cs="宋体"/>
          <w:sz w:val="24"/>
          <w:szCs w:val="32"/>
        </w:rPr>
        <w:fldChar w:fldCharType="separate"/>
      </w:r>
      <w:r>
        <w:rPr>
          <w:rFonts w:hint="eastAsia" w:ascii="宋体" w:hAnsi="宋体" w:eastAsia="宋体" w:cs="宋体"/>
          <w:sz w:val="24"/>
          <w:szCs w:val="32"/>
        </w:rPr>
        <w:t>7</w:t>
      </w:r>
      <w:r>
        <w:rPr>
          <w:rFonts w:hint="eastAsia" w:ascii="宋体" w:hAnsi="宋体" w:eastAsia="宋体" w:cs="宋体"/>
          <w:sz w:val="24"/>
          <w:szCs w:val="32"/>
        </w:rPr>
        <w:fldChar w:fldCharType="end"/>
      </w:r>
      <w:r>
        <w:rPr>
          <w:rFonts w:hint="eastAsia" w:ascii="宋体" w:hAnsi="宋体" w:eastAsia="宋体" w:cs="宋体"/>
          <w:bCs/>
          <w:color w:val="auto"/>
          <w:sz w:val="24"/>
          <w:szCs w:val="44"/>
          <w:highlight w:val="none"/>
        </w:rPr>
        <w:fldChar w:fldCharType="end"/>
      </w:r>
    </w:p>
    <w:p>
      <w:pPr>
        <w:pStyle w:val="25"/>
        <w:tabs>
          <w:tab w:val="right" w:leader="dot" w:pos="8958"/>
        </w:tabs>
        <w:spacing w:line="480" w:lineRule="auto"/>
        <w:rPr>
          <w:rFonts w:hint="eastAsia" w:ascii="宋体" w:hAnsi="宋体" w:eastAsia="宋体" w:cs="宋体"/>
          <w:sz w:val="24"/>
          <w:szCs w:val="32"/>
        </w:rPr>
      </w:pPr>
      <w:r>
        <w:rPr>
          <w:rFonts w:hint="eastAsia" w:ascii="宋体" w:hAnsi="宋体" w:eastAsia="宋体" w:cs="宋体"/>
          <w:bCs/>
          <w:color w:val="auto"/>
          <w:sz w:val="24"/>
          <w:szCs w:val="44"/>
          <w:highlight w:val="none"/>
        </w:rPr>
        <w:fldChar w:fldCharType="begin"/>
      </w:r>
      <w:r>
        <w:rPr>
          <w:rFonts w:hint="eastAsia" w:ascii="宋体" w:hAnsi="宋体" w:eastAsia="宋体" w:cs="宋体"/>
          <w:bCs/>
          <w:sz w:val="24"/>
          <w:szCs w:val="44"/>
          <w:highlight w:val="none"/>
        </w:rPr>
        <w:instrText xml:space="preserve"> HYPERLINK \l _Toc3597 </w:instrText>
      </w:r>
      <w:r>
        <w:rPr>
          <w:rFonts w:hint="eastAsia" w:ascii="宋体" w:hAnsi="宋体" w:eastAsia="宋体" w:cs="宋体"/>
          <w:bCs/>
          <w:sz w:val="24"/>
          <w:szCs w:val="44"/>
          <w:highlight w:val="none"/>
        </w:rPr>
        <w:fldChar w:fldCharType="separate"/>
      </w:r>
      <w:r>
        <w:rPr>
          <w:rFonts w:hint="eastAsia" w:ascii="宋体" w:hAnsi="宋体" w:eastAsia="宋体" w:cs="宋体"/>
          <w:bCs/>
          <w:kern w:val="0"/>
          <w:sz w:val="24"/>
          <w:szCs w:val="40"/>
          <w:highlight w:val="none"/>
        </w:rPr>
        <w:t>第四章  评标办法及评分标准</w:t>
      </w:r>
      <w:r>
        <w:rPr>
          <w:rFonts w:hint="eastAsia" w:ascii="宋体" w:hAnsi="宋体" w:eastAsia="宋体" w:cs="宋体"/>
          <w:sz w:val="24"/>
          <w:szCs w:val="32"/>
        </w:rPr>
        <w:tab/>
      </w: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PAGEREF _Toc3597 \h </w:instrText>
      </w:r>
      <w:r>
        <w:rPr>
          <w:rFonts w:hint="eastAsia" w:ascii="宋体" w:hAnsi="宋体" w:eastAsia="宋体" w:cs="宋体"/>
          <w:sz w:val="24"/>
          <w:szCs w:val="32"/>
        </w:rPr>
        <w:fldChar w:fldCharType="separate"/>
      </w:r>
      <w:r>
        <w:rPr>
          <w:rFonts w:hint="eastAsia" w:ascii="宋体" w:hAnsi="宋体" w:eastAsia="宋体" w:cs="宋体"/>
          <w:sz w:val="24"/>
          <w:szCs w:val="32"/>
        </w:rPr>
        <w:t>20</w:t>
      </w:r>
      <w:r>
        <w:rPr>
          <w:rFonts w:hint="eastAsia" w:ascii="宋体" w:hAnsi="宋体" w:eastAsia="宋体" w:cs="宋体"/>
          <w:sz w:val="24"/>
          <w:szCs w:val="32"/>
        </w:rPr>
        <w:fldChar w:fldCharType="end"/>
      </w:r>
      <w:r>
        <w:rPr>
          <w:rFonts w:hint="eastAsia" w:ascii="宋体" w:hAnsi="宋体" w:eastAsia="宋体" w:cs="宋体"/>
          <w:bCs/>
          <w:color w:val="auto"/>
          <w:sz w:val="24"/>
          <w:szCs w:val="44"/>
          <w:highlight w:val="none"/>
        </w:rPr>
        <w:fldChar w:fldCharType="end"/>
      </w:r>
    </w:p>
    <w:p>
      <w:pPr>
        <w:pStyle w:val="25"/>
        <w:tabs>
          <w:tab w:val="right" w:leader="dot" w:pos="8958"/>
        </w:tabs>
        <w:spacing w:line="480" w:lineRule="auto"/>
        <w:rPr>
          <w:rFonts w:hint="eastAsia" w:ascii="宋体" w:hAnsi="宋体" w:eastAsia="宋体" w:cs="宋体"/>
          <w:sz w:val="24"/>
          <w:szCs w:val="32"/>
        </w:rPr>
      </w:pPr>
      <w:r>
        <w:rPr>
          <w:rFonts w:hint="eastAsia" w:ascii="宋体" w:hAnsi="宋体" w:eastAsia="宋体" w:cs="宋体"/>
          <w:bCs/>
          <w:color w:val="auto"/>
          <w:sz w:val="24"/>
          <w:szCs w:val="44"/>
          <w:highlight w:val="none"/>
        </w:rPr>
        <w:fldChar w:fldCharType="begin"/>
      </w:r>
      <w:r>
        <w:rPr>
          <w:rFonts w:hint="eastAsia" w:ascii="宋体" w:hAnsi="宋体" w:eastAsia="宋体" w:cs="宋体"/>
          <w:bCs/>
          <w:sz w:val="24"/>
          <w:szCs w:val="44"/>
          <w:highlight w:val="none"/>
        </w:rPr>
        <w:instrText xml:space="preserve"> HYPERLINK \l _Toc24804 </w:instrText>
      </w:r>
      <w:r>
        <w:rPr>
          <w:rFonts w:hint="eastAsia" w:ascii="宋体" w:hAnsi="宋体" w:eastAsia="宋体" w:cs="宋体"/>
          <w:bCs/>
          <w:sz w:val="24"/>
          <w:szCs w:val="44"/>
          <w:highlight w:val="none"/>
        </w:rPr>
        <w:fldChar w:fldCharType="separate"/>
      </w:r>
      <w:r>
        <w:rPr>
          <w:rFonts w:hint="eastAsia" w:ascii="宋体" w:hAnsi="宋体" w:eastAsia="宋体" w:cs="宋体"/>
          <w:sz w:val="24"/>
          <w:szCs w:val="40"/>
          <w:highlight w:val="none"/>
        </w:rPr>
        <w:t>第五章  采购合同</w:t>
      </w:r>
      <w:r>
        <w:rPr>
          <w:rFonts w:hint="eastAsia" w:ascii="宋体" w:hAnsi="宋体" w:eastAsia="宋体" w:cs="宋体"/>
          <w:sz w:val="24"/>
          <w:szCs w:val="32"/>
        </w:rPr>
        <w:tab/>
      </w: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PAGEREF _Toc24804 \h </w:instrText>
      </w:r>
      <w:r>
        <w:rPr>
          <w:rFonts w:hint="eastAsia" w:ascii="宋体" w:hAnsi="宋体" w:eastAsia="宋体" w:cs="宋体"/>
          <w:sz w:val="24"/>
          <w:szCs w:val="32"/>
        </w:rPr>
        <w:fldChar w:fldCharType="separate"/>
      </w:r>
      <w:r>
        <w:rPr>
          <w:rFonts w:hint="eastAsia" w:ascii="宋体" w:hAnsi="宋体" w:eastAsia="宋体" w:cs="宋体"/>
          <w:sz w:val="24"/>
          <w:szCs w:val="32"/>
        </w:rPr>
        <w:t>22</w:t>
      </w:r>
      <w:r>
        <w:rPr>
          <w:rFonts w:hint="eastAsia" w:ascii="宋体" w:hAnsi="宋体" w:eastAsia="宋体" w:cs="宋体"/>
          <w:sz w:val="24"/>
          <w:szCs w:val="32"/>
        </w:rPr>
        <w:fldChar w:fldCharType="end"/>
      </w:r>
      <w:r>
        <w:rPr>
          <w:rFonts w:hint="eastAsia" w:ascii="宋体" w:hAnsi="宋体" w:eastAsia="宋体" w:cs="宋体"/>
          <w:bCs/>
          <w:color w:val="auto"/>
          <w:sz w:val="24"/>
          <w:szCs w:val="44"/>
          <w:highlight w:val="none"/>
        </w:rPr>
        <w:fldChar w:fldCharType="end"/>
      </w:r>
    </w:p>
    <w:p>
      <w:pPr>
        <w:pStyle w:val="25"/>
        <w:tabs>
          <w:tab w:val="right" w:leader="dot" w:pos="8958"/>
        </w:tabs>
        <w:spacing w:line="480" w:lineRule="auto"/>
        <w:rPr>
          <w:rFonts w:hint="eastAsia" w:ascii="宋体" w:hAnsi="宋体" w:eastAsia="宋体" w:cs="宋体"/>
          <w:sz w:val="24"/>
          <w:szCs w:val="32"/>
        </w:rPr>
      </w:pPr>
      <w:r>
        <w:rPr>
          <w:rFonts w:hint="eastAsia" w:ascii="宋体" w:hAnsi="宋体" w:eastAsia="宋体" w:cs="宋体"/>
          <w:bCs/>
          <w:color w:val="auto"/>
          <w:sz w:val="24"/>
          <w:szCs w:val="44"/>
          <w:highlight w:val="none"/>
        </w:rPr>
        <w:fldChar w:fldCharType="begin"/>
      </w:r>
      <w:r>
        <w:rPr>
          <w:rFonts w:hint="eastAsia" w:ascii="宋体" w:hAnsi="宋体" w:eastAsia="宋体" w:cs="宋体"/>
          <w:bCs/>
          <w:sz w:val="24"/>
          <w:szCs w:val="44"/>
          <w:highlight w:val="none"/>
        </w:rPr>
        <w:instrText xml:space="preserve"> HYPERLINK \l _Toc2116 </w:instrText>
      </w:r>
      <w:r>
        <w:rPr>
          <w:rFonts w:hint="eastAsia" w:ascii="宋体" w:hAnsi="宋体" w:eastAsia="宋体" w:cs="宋体"/>
          <w:bCs/>
          <w:sz w:val="24"/>
          <w:szCs w:val="44"/>
          <w:highlight w:val="none"/>
        </w:rPr>
        <w:fldChar w:fldCharType="separate"/>
      </w:r>
      <w:r>
        <w:rPr>
          <w:rFonts w:hint="eastAsia" w:ascii="宋体" w:hAnsi="宋体" w:eastAsia="宋体" w:cs="宋体"/>
          <w:sz w:val="24"/>
          <w:szCs w:val="40"/>
          <w:highlight w:val="none"/>
        </w:rPr>
        <w:t>第六章  投标文件格式</w:t>
      </w:r>
      <w:r>
        <w:rPr>
          <w:rFonts w:hint="eastAsia" w:ascii="宋体" w:hAnsi="宋体" w:eastAsia="宋体" w:cs="宋体"/>
          <w:sz w:val="24"/>
          <w:szCs w:val="32"/>
        </w:rPr>
        <w:tab/>
      </w: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PAGEREF _Toc2116 \h </w:instrText>
      </w:r>
      <w:r>
        <w:rPr>
          <w:rFonts w:hint="eastAsia" w:ascii="宋体" w:hAnsi="宋体" w:eastAsia="宋体" w:cs="宋体"/>
          <w:sz w:val="24"/>
          <w:szCs w:val="32"/>
        </w:rPr>
        <w:fldChar w:fldCharType="separate"/>
      </w:r>
      <w:r>
        <w:rPr>
          <w:rFonts w:hint="eastAsia" w:ascii="宋体" w:hAnsi="宋体" w:eastAsia="宋体" w:cs="宋体"/>
          <w:sz w:val="24"/>
          <w:szCs w:val="32"/>
        </w:rPr>
        <w:t>23</w:t>
      </w:r>
      <w:r>
        <w:rPr>
          <w:rFonts w:hint="eastAsia" w:ascii="宋体" w:hAnsi="宋体" w:eastAsia="宋体" w:cs="宋体"/>
          <w:sz w:val="24"/>
          <w:szCs w:val="32"/>
        </w:rPr>
        <w:fldChar w:fldCharType="end"/>
      </w:r>
      <w:r>
        <w:rPr>
          <w:rFonts w:hint="eastAsia" w:ascii="宋体" w:hAnsi="宋体" w:eastAsia="宋体" w:cs="宋体"/>
          <w:bCs/>
          <w:color w:val="auto"/>
          <w:sz w:val="24"/>
          <w:szCs w:val="44"/>
          <w:highlight w:val="none"/>
        </w:rPr>
        <w:fldChar w:fldCharType="end"/>
      </w:r>
    </w:p>
    <w:p>
      <w:pPr>
        <w:pStyle w:val="25"/>
        <w:tabs>
          <w:tab w:val="right" w:leader="dot" w:pos="8958"/>
        </w:tabs>
      </w:pPr>
    </w:p>
    <w:p>
      <w:pPr>
        <w:pStyle w:val="82"/>
        <w:pageBreakBefore w:val="0"/>
        <w:tabs>
          <w:tab w:val="right" w:leader="dot" w:pos="8300"/>
        </w:tabs>
        <w:kinsoku/>
        <w:overflowPunct/>
        <w:topLinePunct w:val="0"/>
        <w:bidi w:val="0"/>
        <w:snapToGrid w:val="0"/>
        <w:spacing w:beforeAutospacing="0" w:afterAutospacing="0" w:line="480" w:lineRule="auto"/>
        <w:rPr>
          <w:rFonts w:ascii="宋体" w:hAnsi="宋体" w:cs="宋体"/>
          <w:color w:val="auto"/>
          <w:sz w:val="32"/>
          <w:szCs w:val="32"/>
          <w:highlight w:val="none"/>
        </w:rPr>
      </w:pPr>
      <w:r>
        <w:rPr>
          <w:rFonts w:hint="eastAsia" w:ascii="宋体" w:hAnsi="宋体" w:cs="宋体"/>
          <w:bCs/>
          <w:color w:val="auto"/>
          <w:szCs w:val="36"/>
          <w:highlight w:val="none"/>
        </w:rPr>
        <w:fldChar w:fldCharType="end"/>
      </w:r>
    </w:p>
    <w:p>
      <w:pPr>
        <w:pageBreakBefore w:val="0"/>
        <w:kinsoku/>
        <w:overflowPunct/>
        <w:topLinePunct w:val="0"/>
        <w:bidi w:val="0"/>
        <w:spacing w:beforeAutospacing="0" w:afterAutospacing="0" w:line="360" w:lineRule="auto"/>
        <w:rPr>
          <w:rFonts w:ascii="宋体" w:hAnsi="宋体"/>
          <w:b/>
          <w:color w:val="auto"/>
          <w:sz w:val="32"/>
          <w:szCs w:val="32"/>
          <w:highlight w:val="none"/>
        </w:rPr>
      </w:pPr>
    </w:p>
    <w:p>
      <w:pPr>
        <w:pageBreakBefore w:val="0"/>
        <w:kinsoku/>
        <w:overflowPunct/>
        <w:topLinePunct w:val="0"/>
        <w:bidi w:val="0"/>
        <w:spacing w:beforeAutospacing="0" w:afterAutospacing="0"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pageBreakBefore w:val="0"/>
        <w:kinsoku/>
        <w:overflowPunct/>
        <w:topLinePunct w:val="0"/>
        <w:bidi w:val="0"/>
        <w:spacing w:beforeAutospacing="0" w:afterAutospacing="0" w:line="360" w:lineRule="auto"/>
        <w:jc w:val="center"/>
        <w:outlineLvl w:val="0"/>
        <w:rPr>
          <w:rFonts w:ascii="宋体" w:hAnsi="宋体"/>
          <w:b/>
          <w:color w:val="auto"/>
          <w:sz w:val="32"/>
          <w:szCs w:val="32"/>
          <w:highlight w:val="none"/>
        </w:rPr>
      </w:pPr>
      <w:bookmarkStart w:id="2" w:name="_Toc5702"/>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黑体" w:hAnsi="黑体" w:eastAsia="黑体" w:cs="宋体"/>
          <w:bCs/>
          <w:color w:val="auto"/>
          <w:kern w:val="0"/>
          <w:sz w:val="24"/>
          <w:szCs w:val="24"/>
          <w:u w:val="none"/>
          <w:lang w:val="en-US" w:eastAsia="zh-CN"/>
        </w:rPr>
      </w:pPr>
      <w:r>
        <w:rPr>
          <w:rFonts w:hint="eastAsia" w:ascii="黑体" w:hAnsi="黑体" w:eastAsia="黑体" w:cs="宋体"/>
          <w:bCs/>
          <w:color w:val="auto"/>
          <w:kern w:val="0"/>
          <w:sz w:val="24"/>
          <w:szCs w:val="24"/>
          <w:u w:val="none"/>
          <w:lang w:val="en-US" w:eastAsia="zh-CN"/>
        </w:rPr>
        <w:t>驻马店市中心医院七氟丙烷气体灭火钢瓶检测</w:t>
      </w:r>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黑体" w:hAnsi="黑体" w:eastAsia="黑体" w:cs="宋体"/>
          <w:bCs/>
          <w:color w:val="auto"/>
          <w:kern w:val="0"/>
          <w:sz w:val="28"/>
          <w:szCs w:val="28"/>
        </w:rPr>
      </w:pPr>
      <w:r>
        <w:rPr>
          <w:rFonts w:hint="eastAsia" w:ascii="黑体" w:hAnsi="黑体" w:eastAsia="黑体" w:cs="宋体"/>
          <w:bCs/>
          <w:color w:val="auto"/>
          <w:kern w:val="0"/>
          <w:sz w:val="24"/>
          <w:szCs w:val="24"/>
          <w:u w:val="none"/>
          <w:lang w:val="en-US" w:eastAsia="zh-CN"/>
        </w:rPr>
        <w:t>竞争性磋商</w:t>
      </w:r>
      <w:r>
        <w:rPr>
          <w:rFonts w:hint="eastAsia" w:ascii="黑体" w:hAnsi="黑体" w:eastAsia="黑体" w:cs="宋体"/>
          <w:bCs/>
          <w:color w:val="auto"/>
          <w:kern w:val="0"/>
          <w:sz w:val="24"/>
          <w:szCs w:val="24"/>
        </w:rPr>
        <w:t>公告</w:t>
      </w:r>
    </w:p>
    <w:p>
      <w:pPr>
        <w:pageBreakBefore w:val="0"/>
        <w:kinsoku/>
        <w:overflowPunct/>
        <w:topLinePunct w:val="0"/>
        <w:bidi w:val="0"/>
        <w:snapToGrid w:val="0"/>
        <w:spacing w:beforeAutospacing="0" w:afterAutospacing="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驻马店市中心医院现对</w:t>
      </w:r>
      <w:r>
        <w:rPr>
          <w:rFonts w:hint="eastAsia" w:ascii="宋体" w:hAnsi="宋体" w:eastAsia="宋体" w:cs="宋体"/>
          <w:color w:val="auto"/>
          <w:sz w:val="24"/>
          <w:szCs w:val="24"/>
          <w:u w:val="single"/>
          <w:lang w:val="en-US" w:eastAsia="zh-CN"/>
        </w:rPr>
        <w:t>驻马店市中心医院</w:t>
      </w:r>
      <w:r>
        <w:rPr>
          <w:rFonts w:hint="eastAsia" w:ascii="宋体" w:hAnsi="宋体" w:cs="宋体"/>
          <w:color w:val="auto"/>
          <w:sz w:val="24"/>
          <w:szCs w:val="24"/>
          <w:u w:val="single"/>
          <w:lang w:val="en-US" w:eastAsia="zh-CN"/>
        </w:rPr>
        <w:t>七氟丙烷气体灭火钢瓶检测</w:t>
      </w:r>
      <w:r>
        <w:rPr>
          <w:rFonts w:hint="eastAsia" w:ascii="宋体" w:hAnsi="宋体" w:eastAsia="宋体" w:cs="宋体"/>
          <w:color w:val="auto"/>
          <w:sz w:val="24"/>
          <w:szCs w:val="24"/>
        </w:rPr>
        <w:t>进行院内</w:t>
      </w:r>
      <w:r>
        <w:rPr>
          <w:rFonts w:hint="eastAsia" w:ascii="宋体" w:hAnsi="宋体" w:eastAsia="宋体" w:cs="宋体"/>
          <w:color w:val="auto"/>
          <w:sz w:val="24"/>
          <w:szCs w:val="24"/>
          <w:lang w:val="en-US" w:eastAsia="zh-CN"/>
        </w:rPr>
        <w:t>竞争性磋商</w:t>
      </w:r>
      <w:r>
        <w:rPr>
          <w:rFonts w:hint="eastAsia" w:ascii="宋体" w:hAnsi="宋体" w:eastAsia="宋体" w:cs="宋体"/>
          <w:color w:val="auto"/>
          <w:sz w:val="24"/>
          <w:szCs w:val="24"/>
        </w:rPr>
        <w:t>采购，欢迎符合资格条件的供应商前来</w:t>
      </w:r>
      <w:r>
        <w:rPr>
          <w:rFonts w:hint="eastAsia" w:ascii="宋体" w:hAnsi="宋体" w:eastAsia="宋体" w:cs="宋体"/>
          <w:color w:val="auto"/>
          <w:sz w:val="24"/>
          <w:szCs w:val="24"/>
          <w:lang w:val="en-US" w:eastAsia="zh-CN"/>
        </w:rPr>
        <w:t>报名并</w:t>
      </w:r>
      <w:r>
        <w:rPr>
          <w:rFonts w:hint="eastAsia" w:ascii="宋体" w:hAnsi="宋体" w:eastAsia="宋体" w:cs="宋体"/>
          <w:color w:val="auto"/>
          <w:sz w:val="24"/>
          <w:szCs w:val="24"/>
        </w:rPr>
        <w:t>获取</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w:t>
      </w:r>
    </w:p>
    <w:p>
      <w:pPr>
        <w:keepNext w:val="0"/>
        <w:keepLines w:val="0"/>
        <w:pageBreakBefore w:val="0"/>
        <w:widowControl/>
        <w:kinsoku/>
        <w:overflowPunct/>
        <w:topLinePunct w:val="0"/>
        <w:bidi w:val="0"/>
        <w:snapToGrid w:val="0"/>
        <w:spacing w:beforeAutospacing="0" w:afterAutospacing="0" w:line="360" w:lineRule="auto"/>
        <w:jc w:val="left"/>
        <w:outlineLvl w:val="1"/>
        <w:rPr>
          <w:rFonts w:ascii="宋体" w:hAnsi="宋体" w:eastAsia="宋体" w:cs="宋体"/>
          <w:b/>
          <w:bCs/>
          <w:color w:val="auto"/>
          <w:kern w:val="2"/>
          <w:sz w:val="24"/>
          <w:szCs w:val="24"/>
          <w:shd w:val="clear" w:color="auto" w:fill="FFFFFF"/>
          <w:lang w:val="en-US" w:eastAsia="zh-CN" w:bidi="ar-SA"/>
        </w:rPr>
      </w:pPr>
      <w:r>
        <w:rPr>
          <w:rFonts w:hint="eastAsia" w:ascii="宋体" w:hAnsi="宋体" w:eastAsia="宋体" w:cs="宋体"/>
          <w:b/>
          <w:bCs/>
          <w:color w:val="auto"/>
          <w:kern w:val="2"/>
          <w:sz w:val="24"/>
          <w:szCs w:val="24"/>
          <w:shd w:val="clear" w:color="auto" w:fill="FFFFFF"/>
          <w:lang w:val="en-US" w:eastAsia="zh-CN" w:bidi="ar-SA"/>
        </w:rPr>
        <w:t>一、项目基本情况</w:t>
      </w:r>
    </w:p>
    <w:p>
      <w:pPr>
        <w:pageBreakBefore w:val="0"/>
        <w:widowControl/>
        <w:tabs>
          <w:tab w:val="left" w:pos="840"/>
        </w:tabs>
        <w:kinsoku/>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sz w:val="24"/>
          <w:szCs w:val="24"/>
          <w:highlight w:val="yellow"/>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eastAsia="宋体" w:cs="宋体"/>
          <w:color w:val="auto"/>
          <w:sz w:val="24"/>
          <w:szCs w:val="24"/>
          <w:highlight w:val="none"/>
          <w:shd w:val="clear" w:color="auto" w:fill="FFFFFF"/>
          <w:lang w:val="en-US" w:eastAsia="zh-CN"/>
        </w:rPr>
        <w:t>驻马店市中心医院</w:t>
      </w:r>
      <w:r>
        <w:rPr>
          <w:rFonts w:hint="eastAsia" w:ascii="宋体" w:hAnsi="宋体" w:cs="宋体"/>
          <w:color w:val="auto"/>
          <w:sz w:val="24"/>
          <w:szCs w:val="24"/>
          <w:highlight w:val="none"/>
          <w:shd w:val="clear" w:color="auto" w:fill="FFFFFF"/>
          <w:lang w:val="en-US" w:eastAsia="zh-CN"/>
        </w:rPr>
        <w:t>七氟丙烷气体灭火钢瓶检测</w:t>
      </w:r>
      <w:r>
        <w:rPr>
          <w:rFonts w:hint="eastAsia" w:ascii="宋体" w:hAnsi="宋体" w:eastAsia="宋体" w:cs="宋体"/>
          <w:color w:val="auto"/>
          <w:sz w:val="24"/>
          <w:szCs w:val="24"/>
          <w:highlight w:val="none"/>
          <w:shd w:val="clear" w:color="auto" w:fill="FFFFFF"/>
          <w:lang w:eastAsia="zh-CN"/>
        </w:rPr>
        <w:t>；</w:t>
      </w:r>
    </w:p>
    <w:p>
      <w:pPr>
        <w:pageBreakBefore w:val="0"/>
        <w:widowControl/>
        <w:tabs>
          <w:tab w:val="left" w:pos="840"/>
        </w:tabs>
        <w:kinsoku/>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cs="宋体"/>
          <w:i w:val="0"/>
          <w:caps w:val="0"/>
          <w:color w:val="auto"/>
          <w:spacing w:val="0"/>
          <w:sz w:val="24"/>
          <w:szCs w:val="24"/>
          <w:shd w:val="clear" w:color="auto" w:fill="FFFFFF"/>
          <w:lang w:eastAsia="zh-CN"/>
        </w:rPr>
        <w:t>：</w:t>
      </w:r>
      <w:r>
        <w:rPr>
          <w:rFonts w:hint="eastAsia" w:ascii="宋体" w:hAnsi="宋体" w:eastAsia="宋体" w:cs="宋体"/>
          <w:color w:val="auto"/>
          <w:sz w:val="24"/>
          <w:szCs w:val="24"/>
          <w:highlight w:val="none"/>
          <w:shd w:val="clear" w:color="auto" w:fill="FFFFFF"/>
        </w:rPr>
        <w:t>具体要求详见附件</w:t>
      </w:r>
      <w:r>
        <w:rPr>
          <w:rFonts w:hint="eastAsia" w:ascii="宋体" w:hAnsi="宋体" w:eastAsia="宋体" w:cs="宋体"/>
          <w:color w:val="auto"/>
          <w:sz w:val="24"/>
          <w:szCs w:val="24"/>
          <w:highlight w:val="none"/>
          <w:shd w:val="clear" w:color="auto" w:fill="FFFFFF"/>
          <w:lang w:eastAsia="zh-CN"/>
        </w:rPr>
        <w:t>；</w:t>
      </w:r>
    </w:p>
    <w:p>
      <w:pPr>
        <w:pageBreakBefore w:val="0"/>
        <w:widowControl/>
        <w:tabs>
          <w:tab w:val="left" w:pos="840"/>
        </w:tabs>
        <w:kinsoku/>
        <w:overflowPunct/>
        <w:topLinePunct w:val="0"/>
        <w:bidi w:val="0"/>
        <w:snapToGrid w:val="0"/>
        <w:spacing w:beforeAutospacing="0" w:afterAutospacing="0" w:line="360" w:lineRule="auto"/>
        <w:ind w:firstLine="480" w:firstLineChars="200"/>
        <w:jc w:val="left"/>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auto"/>
          <w:sz w:val="24"/>
          <w:szCs w:val="24"/>
          <w:highlight w:val="none"/>
          <w:shd w:val="clear" w:color="auto" w:fill="FFFFFF"/>
        </w:rPr>
        <w:t>3</w:t>
      </w:r>
      <w:bookmarkStart w:id="3" w:name="_Toc26725"/>
      <w:r>
        <w:rPr>
          <w:rFonts w:hint="eastAsia" w:ascii="宋体" w:hAnsi="宋体" w:eastAsia="宋体" w:cs="宋体"/>
          <w:color w:val="auto"/>
          <w:sz w:val="24"/>
          <w:szCs w:val="24"/>
          <w:highlight w:val="none"/>
          <w:shd w:val="clear" w:color="auto" w:fill="FFFFFF"/>
        </w:rPr>
        <w:t>、</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预算金额：7.097</w:t>
      </w:r>
      <w:r>
        <w:rPr>
          <w:rFonts w:hint="eastAsia" w:ascii="宋体" w:hAnsi="宋体" w:cs="宋体"/>
          <w:color w:val="000000" w:themeColor="text1"/>
          <w:kern w:val="0"/>
          <w:sz w:val="24"/>
          <w:szCs w:val="24"/>
          <w:highlight w:val="none"/>
          <w:u w:val="none"/>
          <w:lang w:val="en-US" w:eastAsia="zh-CN"/>
          <w14:textFill>
            <w14:solidFill>
              <w14:schemeClr w14:val="tx1"/>
            </w14:solidFill>
          </w14:textFill>
        </w:rPr>
        <w:t>万</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元</w:t>
      </w: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w:t>
      </w:r>
      <w:r>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自筹资金；</w:t>
      </w:r>
    </w:p>
    <w:p>
      <w:pPr>
        <w:pageBreakBefore w:val="0"/>
        <w:kinsoku/>
        <w:overflowPunct/>
        <w:topLinePunct w:val="0"/>
        <w:bidi w:val="0"/>
        <w:snapToGrid w:val="0"/>
        <w:spacing w:beforeAutospacing="0" w:afterAutospacing="0" w:line="360" w:lineRule="auto"/>
        <w:ind w:firstLine="480" w:firstLineChars="200"/>
        <w:rPr>
          <w:rFonts w:hint="default" w:ascii="宋体" w:hAnsi="宋体" w:eastAsia="宋体" w:cs="宋体"/>
          <w:color w:val="000000" w:themeColor="text1"/>
          <w:sz w:val="24"/>
          <w:szCs w:val="24"/>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4、</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服务</w:t>
      </w:r>
      <w:r>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地点：采购人指定地点；</w:t>
      </w:r>
    </w:p>
    <w:p>
      <w:pPr>
        <w:pageBreakBefore w:val="0"/>
        <w:widowControl/>
        <w:tabs>
          <w:tab w:val="left" w:pos="840"/>
        </w:tabs>
        <w:kinsoku/>
        <w:overflowPunct/>
        <w:topLinePunct w:val="0"/>
        <w:bidi w:val="0"/>
        <w:snapToGrid w:val="0"/>
        <w:spacing w:beforeAutospacing="0" w:afterAutospacing="0" w:line="360" w:lineRule="auto"/>
        <w:ind w:firstLine="480" w:firstLineChars="200"/>
        <w:jc w:val="left"/>
        <w:rPr>
          <w:rFonts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cs="宋体"/>
          <w:bCs/>
          <w:color w:val="000000" w:themeColor="text1"/>
          <w:sz w:val="24"/>
          <w:szCs w:val="24"/>
          <w:highlight w:val="none"/>
          <w:shd w:val="clear" w:color="auto" w:fill="FFFFFF"/>
          <w:lang w:val="en-US" w:eastAsia="zh-CN"/>
          <w14:textFill>
            <w14:solidFill>
              <w14:schemeClr w14:val="tx1"/>
            </w14:solidFill>
          </w14:textFill>
        </w:rPr>
        <w:t>5</w:t>
      </w:r>
      <w:r>
        <w:rPr>
          <w:rFonts w:hint="eastAsia" w:ascii="宋体" w:hAnsi="宋体" w:eastAsia="宋体" w:cs="宋体"/>
          <w:bCs/>
          <w:color w:val="000000" w:themeColor="text1"/>
          <w:sz w:val="24"/>
          <w:szCs w:val="24"/>
          <w:highlight w:val="none"/>
          <w:shd w:val="clear" w:color="auto" w:fill="FFFFFF"/>
          <w14:textFill>
            <w14:solidFill>
              <w14:schemeClr w14:val="tx1"/>
            </w14:solidFill>
          </w14:textFill>
        </w:rPr>
        <w:t>、</w:t>
      </w:r>
      <w:r>
        <w:rPr>
          <w:rFonts w:hint="eastAsia" w:ascii="宋体" w:hAnsi="宋体" w:cs="宋体"/>
          <w:bCs/>
          <w:color w:val="000000" w:themeColor="text1"/>
          <w:sz w:val="24"/>
          <w:szCs w:val="24"/>
          <w:highlight w:val="none"/>
          <w:shd w:val="clear" w:color="auto" w:fill="FFFFFF"/>
          <w:lang w:val="en-US" w:eastAsia="zh-CN"/>
          <w14:textFill>
            <w14:solidFill>
              <w14:schemeClr w14:val="tx1"/>
            </w14:solidFill>
          </w14:textFill>
        </w:rPr>
        <w:t>服务</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要求：</w:t>
      </w: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合格。</w:t>
      </w:r>
      <w:r>
        <w:rPr>
          <w:rFonts w:hint="eastAsia" w:ascii="宋体" w:hAnsi="宋体" w:cs="宋体"/>
          <w:color w:val="000000" w:themeColor="text1"/>
          <w:sz w:val="24"/>
          <w:szCs w:val="24"/>
          <w:highlight w:val="none"/>
          <w:shd w:val="clear" w:color="auto" w:fill="FFFFFF"/>
          <w:lang w:eastAsia="zh-CN"/>
          <w14:textFill>
            <w14:solidFill>
              <w14:schemeClr w14:val="tx1"/>
            </w14:solidFill>
          </w14:textFill>
        </w:rPr>
        <w:t>（</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以采购人要求为准</w:t>
      </w:r>
      <w:r>
        <w:rPr>
          <w:rFonts w:hint="eastAsia" w:ascii="宋体" w:hAnsi="宋体" w:cs="宋体"/>
          <w:color w:val="000000" w:themeColor="text1"/>
          <w:sz w:val="24"/>
          <w:szCs w:val="24"/>
          <w:highlight w:val="none"/>
          <w:shd w:val="clear" w:color="auto" w:fill="FFFFFF"/>
          <w:lang w:eastAsia="zh-CN"/>
          <w14:textFill>
            <w14:solidFill>
              <w14:schemeClr w14:val="tx1"/>
            </w14:solidFill>
          </w14:textFill>
        </w:rPr>
        <w:t>）</w:t>
      </w:r>
    </w:p>
    <w:p>
      <w:pPr>
        <w:keepNext w:val="0"/>
        <w:keepLines w:val="0"/>
        <w:pageBreakBefore w:val="0"/>
        <w:widowControl/>
        <w:kinsoku/>
        <w:overflowPunct/>
        <w:topLinePunct w:val="0"/>
        <w:bidi w:val="0"/>
        <w:snapToGrid w:val="0"/>
        <w:spacing w:beforeAutospacing="0" w:afterAutospacing="0" w:line="360" w:lineRule="auto"/>
        <w:jc w:val="left"/>
        <w:outlineLvl w:val="1"/>
        <w:rPr>
          <w:rFonts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pPr>
      <w:bookmarkStart w:id="4" w:name="_Toc16639"/>
      <w:bookmarkStart w:id="5" w:name="_Toc23626"/>
      <w:bookmarkStart w:id="6" w:name="_Toc18607"/>
      <w:bookmarkStart w:id="7" w:name="_Toc27704"/>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供应商资格要求：</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360" w:lineRule="auto"/>
        <w:ind w:firstLine="480" w:firstLineChars="200"/>
        <w:textAlignment w:val="auto"/>
        <w:rPr>
          <w:rFonts w:hint="eastAsia" w:ascii="宋体" w:hAnsi="宋体" w:cs="宋体"/>
          <w:color w:val="auto"/>
          <w:kern w:val="2"/>
          <w:sz w:val="24"/>
          <w:szCs w:val="24"/>
          <w:lang w:val="en-US" w:eastAsia="zh-CN" w:bidi="ar-SA"/>
        </w:rPr>
      </w:pPr>
      <w:bookmarkStart w:id="8" w:name="_Toc30643"/>
      <w:bookmarkStart w:id="9" w:name="_Toc23395"/>
      <w:bookmarkStart w:id="10" w:name="_Toc7823"/>
      <w:bookmarkStart w:id="11" w:name="_Toc9562"/>
      <w:bookmarkStart w:id="12" w:name="_Toc30971"/>
      <w:r>
        <w:rPr>
          <w:rFonts w:hint="eastAsia" w:ascii="宋体" w:hAnsi="宋体" w:cs="宋体"/>
          <w:color w:val="auto"/>
          <w:kern w:val="2"/>
          <w:sz w:val="24"/>
          <w:szCs w:val="24"/>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360" w:lineRule="auto"/>
        <w:ind w:firstLine="480" w:firstLineChars="200"/>
        <w:textAlignment w:val="auto"/>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2、供应商应提供2021年度或2022年度经审计的财务报告或者其基本开户银行出具的资信证明；采购活动前近三个月内或上个季度任一个月的依法缴纳税收的凭据和缴纳社会保险的凭据；依法免税或不需要缴纳社会保障资金的供应商，应提供相应文件证明；</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360" w:lineRule="auto"/>
        <w:ind w:firstLine="480" w:firstLineChars="200"/>
        <w:textAlignment w:val="auto"/>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3、具有履行合同所必需的设备和专业技术能力（提供书面声明函）；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360" w:lineRule="auto"/>
        <w:ind w:firstLine="480" w:firstLineChars="200"/>
        <w:textAlignment w:val="auto"/>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4、参加本采购活动前三年内，在经营活动中没有重大违法记录（提供书面声明函）；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360" w:lineRule="auto"/>
        <w:ind w:firstLine="480" w:firstLineChars="200"/>
        <w:textAlignment w:val="auto"/>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5、符合法律、行政法规规定的其他条件；</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360" w:lineRule="auto"/>
        <w:ind w:firstLine="480" w:firstLineChars="200"/>
        <w:textAlignment w:val="auto"/>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6、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360" w:lineRule="auto"/>
        <w:ind w:firstLine="480" w:firstLineChars="200"/>
        <w:textAlignment w:val="auto"/>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7、投标人须具备消防设施工程专业承包二级及以上企业资质，应具备安全生产许可证，委托厂家应有《中华人民共和国特种设备检验检测机构核准证》、《中华人民共和国气瓶充装许可证》；</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8、不接受联合体投标</w:t>
      </w:r>
      <w:r>
        <w:rPr>
          <w:rFonts w:hint="eastAsia" w:ascii="宋体" w:hAnsi="宋体" w:eastAsia="宋体" w:cs="宋体"/>
          <w:color w:val="auto"/>
          <w:kern w:val="2"/>
          <w:sz w:val="24"/>
          <w:szCs w:val="24"/>
          <w:lang w:val="en-US" w:eastAsia="zh-CN" w:bidi="ar-SA"/>
        </w:rPr>
        <w:t>。</w:t>
      </w:r>
    </w:p>
    <w:p>
      <w:pPr>
        <w:keepNext w:val="0"/>
        <w:keepLines w:val="0"/>
        <w:pageBreakBefore w:val="0"/>
        <w:widowControl/>
        <w:kinsoku/>
        <w:overflowPunct/>
        <w:topLinePunct w:val="0"/>
        <w:bidi w:val="0"/>
        <w:snapToGrid w:val="0"/>
        <w:spacing w:beforeAutospacing="0" w:afterAutospacing="0" w:line="360" w:lineRule="auto"/>
        <w:jc w:val="left"/>
        <w:outlineLvl w:val="1"/>
        <w:rPr>
          <w:rFonts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三、获取采购文件</w:t>
      </w:r>
      <w:bookmarkEnd w:id="8"/>
      <w:bookmarkEnd w:id="9"/>
      <w:bookmarkEnd w:id="10"/>
      <w:bookmarkEnd w:id="11"/>
      <w:bookmarkEnd w:id="12"/>
    </w:p>
    <w:p>
      <w:pPr>
        <w:pageBreakBefore w:val="0"/>
        <w:widowControl/>
        <w:kinsoku/>
        <w:overflowPunct/>
        <w:topLinePunct w:val="0"/>
        <w:bidi w:val="0"/>
        <w:adjustRightInd w:val="0"/>
        <w:snapToGrid w:val="0"/>
        <w:spacing w:beforeAutospacing="0" w:afterAutospacing="0" w:line="360" w:lineRule="auto"/>
        <w:ind w:firstLine="480" w:firstLineChars="200"/>
        <w:jc w:val="left"/>
        <w:rPr>
          <w:rFonts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1</w:t>
      </w:r>
      <w:r>
        <w:rPr>
          <w:rFonts w:hint="eastAsia" w:ascii="宋体" w:hAnsi="宋体" w:cs="宋体"/>
          <w:color w:val="000000" w:themeColor="text1"/>
          <w:sz w:val="24"/>
          <w:szCs w:val="24"/>
          <w:shd w:val="clear" w:color="auto" w:fill="FFFFFF"/>
          <w:lang w:val="en-US" w:eastAsia="zh-CN"/>
          <w14:textFill>
            <w14:solidFill>
              <w14:schemeClr w14:val="tx1"/>
            </w14:solidFill>
          </w14:textFill>
        </w:rPr>
        <w:t>.</w:t>
      </w:r>
      <w:r>
        <w:rPr>
          <w:rFonts w:hint="eastAsia" w:ascii="宋体" w:hAnsi="宋体" w:cs="宋体"/>
          <w:color w:val="000000" w:themeColor="text1"/>
          <w:sz w:val="24"/>
          <w:szCs w:val="24"/>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 w:val="24"/>
          <w:szCs w:val="24"/>
          <w:shd w:val="clear" w:color="auto" w:fill="FFFFFF"/>
          <w14:textFill>
            <w14:solidFill>
              <w14:schemeClr w14:val="tx1"/>
            </w14:solidFill>
          </w14:textFill>
        </w:rPr>
        <w:t>时间：20</w:t>
      </w:r>
      <w:r>
        <w:rPr>
          <w:rFonts w:hint="eastAsia" w:ascii="宋体" w:hAnsi="宋体" w:cs="宋体"/>
          <w:color w:val="000000" w:themeColor="text1"/>
          <w:sz w:val="24"/>
          <w:szCs w:val="24"/>
          <w:shd w:val="clear" w:color="auto" w:fill="FFFFFF"/>
          <w:lang w:val="en-US" w:eastAsia="zh-CN"/>
          <w14:textFill>
            <w14:solidFill>
              <w14:schemeClr w14:val="tx1"/>
            </w14:solidFill>
          </w14:textFill>
        </w:rPr>
        <w:t>23</w:t>
      </w:r>
      <w:r>
        <w:rPr>
          <w:rFonts w:hint="eastAsia" w:ascii="宋体" w:hAnsi="宋体" w:eastAsia="宋体" w:cs="宋体"/>
          <w:color w:val="000000" w:themeColor="text1"/>
          <w:sz w:val="24"/>
          <w:szCs w:val="24"/>
          <w:shd w:val="clear" w:color="auto" w:fill="FFFFFF"/>
          <w14:textFill>
            <w14:solidFill>
              <w14:schemeClr w14:val="tx1"/>
            </w14:solidFill>
          </w14:textFill>
        </w:rPr>
        <w:t>年</w:t>
      </w:r>
      <w:r>
        <w:rPr>
          <w:rFonts w:hint="eastAsia" w:ascii="宋体" w:hAnsi="宋体" w:cs="宋体"/>
          <w:color w:val="000000" w:themeColor="text1"/>
          <w:sz w:val="24"/>
          <w:szCs w:val="24"/>
          <w:shd w:val="clear" w:color="auto" w:fill="FFFFFF"/>
          <w:lang w:val="en-US" w:eastAsia="zh-CN"/>
          <w14:textFill>
            <w14:solidFill>
              <w14:schemeClr w14:val="tx1"/>
            </w14:solidFill>
          </w14:textFill>
        </w:rPr>
        <w:t>9</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月</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 xml:space="preserve">20 </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日-202</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3</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年</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9</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月</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 xml:space="preserve"> 22 </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日</w:t>
      </w:r>
      <w:r>
        <w:rPr>
          <w:rFonts w:hint="eastAsia" w:ascii="宋体" w:hAnsi="宋体" w:eastAsia="宋体" w:cs="宋体"/>
          <w:color w:val="000000" w:themeColor="text1"/>
          <w:sz w:val="24"/>
          <w:szCs w:val="24"/>
          <w:shd w:val="clear" w:color="auto" w:fill="FFFFFF"/>
          <w14:textFill>
            <w14:solidFill>
              <w14:schemeClr w14:val="tx1"/>
            </w14:solidFill>
          </w14:textFill>
        </w:rPr>
        <w:t>，</w:t>
      </w:r>
      <w:r>
        <w:rPr>
          <w:rFonts w:hint="eastAsia" w:ascii="宋体" w:hAnsi="宋体" w:eastAsia="宋体" w:cs="宋体"/>
          <w:color w:val="000000" w:themeColor="text1"/>
          <w:sz w:val="24"/>
          <w:szCs w:val="24"/>
          <w:shd w:val="clear" w:color="auto" w:fill="FFFFFF"/>
          <w14:textFill>
            <w14:solidFill>
              <w14:schemeClr w14:val="tx1"/>
            </w14:solidFill>
          </w14:textFill>
        </w:rPr>
        <w:t>上午8：30-11:30，下午14:30-17:30（北京时间，法定节假日除外）</w:t>
      </w:r>
      <w:r>
        <w:rPr>
          <w:rFonts w:hint="eastAsia" w:ascii="宋体" w:hAnsi="宋体" w:eastAsia="宋体" w:cs="宋体"/>
          <w:color w:val="000000" w:themeColor="text1"/>
          <w:sz w:val="24"/>
          <w:szCs w:val="24"/>
          <w:shd w:val="clear" w:color="auto" w:fill="FFFFFF"/>
          <w:lang w:eastAsia="zh-CN"/>
          <w14:textFill>
            <w14:solidFill>
              <w14:schemeClr w14:val="tx1"/>
            </w14:solidFill>
          </w14:textFill>
        </w:rPr>
        <w:t>，</w:t>
      </w:r>
      <w:r>
        <w:rPr>
          <w:rFonts w:hint="eastAsia" w:ascii="宋体" w:hAnsi="宋体" w:cs="宋体"/>
          <w:color w:val="000000" w:themeColor="text1"/>
          <w:sz w:val="24"/>
          <w:szCs w:val="24"/>
          <w:shd w:val="clear" w:color="auto" w:fill="FFFFFF"/>
          <w:lang w:val="en-US" w:eastAsia="zh-CN"/>
          <w14:textFill>
            <w14:solidFill>
              <w14:schemeClr w14:val="tx1"/>
            </w14:solidFill>
          </w14:textFill>
        </w:rPr>
        <w:t>报名费用</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w:t>
      </w:r>
      <w:r>
        <w:rPr>
          <w:rFonts w:hint="eastAsia" w:ascii="宋体" w:hAnsi="宋体" w:cs="宋体"/>
          <w:color w:val="000000" w:themeColor="text1"/>
          <w:sz w:val="24"/>
          <w:szCs w:val="24"/>
          <w:shd w:val="clear" w:color="auto" w:fill="FFFFFF"/>
          <w:lang w:val="en-US" w:eastAsia="zh-CN"/>
          <w14:textFill>
            <w14:solidFill>
              <w14:schemeClr w14:val="tx1"/>
            </w14:solidFill>
          </w14:textFill>
        </w:rPr>
        <w:t>1</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00元。</w:t>
      </w:r>
    </w:p>
    <w:p>
      <w:pPr>
        <w:pageBreakBefore w:val="0"/>
        <w:widowControl/>
        <w:kinsoku/>
        <w:overflowPunct/>
        <w:topLinePunct w:val="0"/>
        <w:bidi w:val="0"/>
        <w:snapToGrid w:val="0"/>
        <w:spacing w:beforeAutospacing="0" w:afterAutospacing="0" w:line="360" w:lineRule="auto"/>
        <w:ind w:firstLine="480" w:firstLineChars="200"/>
        <w:jc w:val="left"/>
        <w:rPr>
          <w:rFonts w:ascii="宋体" w:hAnsi="宋体" w:eastAsia="宋体" w:cs="宋体"/>
          <w:color w:val="auto"/>
          <w:kern w:val="0"/>
          <w:sz w:val="24"/>
          <w:szCs w:val="24"/>
          <w:lang w:val="en-US" w:eastAsia="zh-CN" w:bidi="ar-SA"/>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4"/>
          <w:szCs w:val="24"/>
          <w:shd w:val="clear" w:color="auto" w:fill="FFFFFF"/>
          <w:lang w:val="en-US" w:eastAsia="zh-CN" w:bidi="ar-SA"/>
        </w:rPr>
        <w:t xml:space="preserve">单，一年内不得参与我院任何采购活动。中标供应商缴纳相应服务费。 </w:t>
      </w:r>
    </w:p>
    <w:p>
      <w:pPr>
        <w:pageBreakBefore w:val="0"/>
        <w:widowControl/>
        <w:kinsoku/>
        <w:wordWrap w:val="0"/>
        <w:overflowPunct/>
        <w:topLinePunct w:val="0"/>
        <w:bidi w:val="0"/>
        <w:snapToGrid w:val="0"/>
        <w:spacing w:beforeAutospacing="0" w:afterAutospacing="0" w:line="360" w:lineRule="auto"/>
        <w:ind w:left="0" w:leftChars="0" w:firstLine="480" w:firstLineChars="200"/>
        <w:jc w:val="left"/>
        <w:rPr>
          <w:rFonts w:ascii="宋体" w:hAnsi="宋体" w:eastAsia="宋体" w:cs="宋体"/>
          <w:color w:val="auto"/>
          <w:kern w:val="0"/>
          <w:sz w:val="24"/>
          <w:szCs w:val="24"/>
          <w:u w:val="single"/>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4"/>
          <w:szCs w:val="24"/>
          <w:shd w:val="clear" w:color="auto" w:fill="FFFFFF"/>
          <w:lang w:val="en-US" w:eastAsia="zh-CN" w:bidi="ar-SA"/>
        </w:rPr>
        <w:fldChar w:fldCharType="begin"/>
      </w:r>
      <w:r>
        <w:rPr>
          <w:rFonts w:hint="eastAsia" w:ascii="宋体" w:hAnsi="宋体" w:eastAsia="宋体" w:cs="宋体"/>
          <w:color w:val="auto"/>
          <w:kern w:val="0"/>
          <w:sz w:val="24"/>
          <w:szCs w:val="24"/>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4"/>
          <w:szCs w:val="24"/>
          <w:shd w:val="clear" w:color="auto" w:fill="FFFFFF"/>
          <w:lang w:val="en-US" w:eastAsia="zh-CN" w:bidi="ar-SA"/>
        </w:rPr>
        <w:fldChar w:fldCharType="separate"/>
      </w:r>
      <w:r>
        <w:rPr>
          <w:rFonts w:hint="eastAsia" w:ascii="宋体" w:hAnsi="宋体" w:cs="宋体"/>
          <w:color w:val="auto"/>
          <w:kern w:val="0"/>
          <w:sz w:val="24"/>
          <w:szCs w:val="24"/>
          <w:shd w:val="clear" w:color="auto" w:fill="FFFFFF"/>
          <w:lang w:val="en-US" w:eastAsia="zh-CN" w:bidi="ar-SA"/>
        </w:rPr>
        <w:t>1150105437</w:t>
      </w:r>
      <w:r>
        <w:rPr>
          <w:rFonts w:hint="eastAsia" w:ascii="宋体" w:hAnsi="宋体" w:eastAsia="宋体" w:cs="宋体"/>
          <w:color w:val="auto"/>
          <w:kern w:val="0"/>
          <w:sz w:val="24"/>
          <w:szCs w:val="24"/>
          <w:shd w:val="clear" w:color="auto" w:fill="FFFFFF"/>
          <w:lang w:val="en-US" w:eastAsia="zh-CN" w:bidi="ar-SA"/>
        </w:rPr>
        <w:t>@qq.com并标明XX公司XX</w:t>
      </w:r>
      <w:r>
        <w:rPr>
          <w:rFonts w:hint="eastAsia" w:ascii="宋体" w:hAnsi="宋体" w:eastAsia="宋体" w:cs="宋体"/>
          <w:color w:val="auto"/>
          <w:kern w:val="0"/>
          <w:sz w:val="24"/>
          <w:szCs w:val="24"/>
          <w:shd w:val="clear" w:color="auto" w:fill="FFFFFF"/>
          <w:lang w:val="en-US" w:eastAsia="zh-CN" w:bidi="ar-SA"/>
        </w:rPr>
        <w:fldChar w:fldCharType="end"/>
      </w:r>
      <w:r>
        <w:rPr>
          <w:rFonts w:hint="eastAsia" w:ascii="宋体" w:hAnsi="宋体" w:eastAsia="宋体" w:cs="宋体"/>
          <w:color w:val="auto"/>
          <w:kern w:val="0"/>
          <w:sz w:val="24"/>
          <w:szCs w:val="24"/>
          <w:shd w:val="clear" w:color="auto" w:fill="FFFFFF"/>
          <w:lang w:val="en-US" w:eastAsia="zh-CN" w:bidi="ar-SA"/>
        </w:rPr>
        <w:t>项目报名资料；审核通过后按要求交纳</w:t>
      </w:r>
      <w:r>
        <w:rPr>
          <w:rFonts w:hint="eastAsia" w:ascii="宋体" w:hAnsi="宋体" w:cs="宋体"/>
          <w:color w:val="auto"/>
          <w:kern w:val="0"/>
          <w:sz w:val="24"/>
          <w:szCs w:val="24"/>
          <w:shd w:val="clear" w:color="auto" w:fill="FFFFFF"/>
          <w:lang w:val="en-US" w:eastAsia="zh-CN" w:bidi="ar-SA"/>
        </w:rPr>
        <w:t>报名费</w:t>
      </w:r>
      <w:r>
        <w:rPr>
          <w:rFonts w:hint="eastAsia" w:ascii="宋体" w:hAnsi="宋体" w:eastAsia="宋体" w:cs="宋体"/>
          <w:color w:val="auto"/>
          <w:kern w:val="0"/>
          <w:sz w:val="24"/>
          <w:szCs w:val="24"/>
          <w:shd w:val="clear" w:color="auto" w:fill="FFFFFF"/>
          <w:lang w:val="en-US" w:eastAsia="zh-CN" w:bidi="ar-SA"/>
        </w:rPr>
        <w:t>。</w:t>
      </w:r>
    </w:p>
    <w:p>
      <w:pPr>
        <w:pageBreakBefore w:val="0"/>
        <w:widowControl/>
        <w:kinsoku/>
        <w:wordWrap w:val="0"/>
        <w:overflowPunct/>
        <w:topLinePunct w:val="0"/>
        <w:bidi w:val="0"/>
        <w:snapToGrid w:val="0"/>
        <w:spacing w:beforeAutospacing="0" w:afterAutospacing="0" w:line="360" w:lineRule="auto"/>
        <w:ind w:left="420" w:leftChars="20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shd w:val="clear" w:color="auto" w:fill="FFFFFF"/>
          <w:lang w:val="en-US" w:eastAsia="zh-CN" w:bidi="ar-SA"/>
        </w:rPr>
        <w:t>4.报名登记表：请从附件中下载。</w:t>
      </w:r>
    </w:p>
    <w:p>
      <w:pPr>
        <w:keepNext w:val="0"/>
        <w:keepLines w:val="0"/>
        <w:pageBreakBefore w:val="0"/>
        <w:widowControl/>
        <w:kinsoku/>
        <w:overflowPunct/>
        <w:topLinePunct w:val="0"/>
        <w:bidi w:val="0"/>
        <w:snapToGrid w:val="0"/>
        <w:spacing w:beforeAutospacing="0" w:afterAutospacing="0" w:line="360" w:lineRule="auto"/>
        <w:jc w:val="left"/>
        <w:outlineLvl w:val="1"/>
        <w:rPr>
          <w:rFonts w:ascii="宋体" w:hAnsi="宋体" w:eastAsia="宋体" w:cs="宋体"/>
          <w:b/>
          <w:bCs/>
          <w:color w:val="auto"/>
          <w:kern w:val="2"/>
          <w:sz w:val="24"/>
          <w:szCs w:val="24"/>
          <w:lang w:val="en-US" w:eastAsia="zh-CN" w:bidi="ar-SA"/>
        </w:rPr>
      </w:pPr>
      <w:bookmarkStart w:id="13" w:name="_Toc10738"/>
      <w:bookmarkStart w:id="14" w:name="_Toc27480"/>
      <w:bookmarkStart w:id="15" w:name="_Toc15135"/>
      <w:bookmarkStart w:id="16" w:name="_Toc15111"/>
      <w:bookmarkStart w:id="17" w:name="_Toc25869"/>
      <w:r>
        <w:rPr>
          <w:rFonts w:hint="eastAsia" w:ascii="宋体" w:hAnsi="宋体" w:eastAsia="宋体" w:cs="宋体"/>
          <w:b/>
          <w:bCs/>
          <w:color w:val="auto"/>
          <w:kern w:val="2"/>
          <w:sz w:val="24"/>
          <w:szCs w:val="24"/>
          <w:shd w:val="clear" w:color="auto" w:fill="FFFFFF"/>
          <w:lang w:val="en-US" w:eastAsia="zh-CN" w:bidi="ar-SA"/>
        </w:rPr>
        <w:t>四、投标截止时间及地点</w:t>
      </w:r>
      <w:bookmarkEnd w:id="13"/>
      <w:bookmarkEnd w:id="14"/>
      <w:bookmarkEnd w:id="15"/>
      <w:bookmarkEnd w:id="16"/>
      <w:bookmarkEnd w:id="17"/>
    </w:p>
    <w:p>
      <w:pPr>
        <w:pageBreakBefore w:val="0"/>
        <w:widowControl/>
        <w:kinsoku/>
        <w:overflowPunct/>
        <w:topLinePunct w:val="0"/>
        <w:bidi w:val="0"/>
        <w:snapToGrid w:val="0"/>
        <w:spacing w:beforeAutospacing="0" w:afterAutospacing="0" w:line="360" w:lineRule="auto"/>
        <w:ind w:firstLine="480" w:firstLineChars="20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shd w:val="clear" w:color="auto" w:fill="FFFFFF"/>
          <w:lang w:val="en-US" w:eastAsia="zh-CN" w:bidi="ar-SA"/>
        </w:rPr>
        <w:t>1.时间：</w:t>
      </w:r>
      <w:r>
        <w:rPr>
          <w:rFonts w:hint="eastAsia" w:ascii="宋体" w:hAnsi="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shd w:val="clear" w:color="auto" w:fill="FFFFFF"/>
          <w:lang w:val="en-US" w:eastAsia="zh-CN" w:bidi="ar-SA"/>
        </w:rPr>
        <w:t>。</w:t>
      </w:r>
    </w:p>
    <w:p>
      <w:pPr>
        <w:pageBreakBefore w:val="0"/>
        <w:widowControl/>
        <w:kinsoku/>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2.地点：</w:t>
      </w:r>
      <w:r>
        <w:rPr>
          <w:rFonts w:hint="eastAsia" w:ascii="宋体" w:hAnsi="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shd w:val="clear" w:color="auto" w:fill="FFFFFF"/>
          <w:lang w:val="en-US" w:eastAsia="zh-CN" w:bidi="ar-SA"/>
        </w:rPr>
        <w:t>。</w:t>
      </w:r>
    </w:p>
    <w:p>
      <w:pPr>
        <w:keepNext w:val="0"/>
        <w:keepLines w:val="0"/>
        <w:pageBreakBefore w:val="0"/>
        <w:widowControl/>
        <w:kinsoku/>
        <w:overflowPunct/>
        <w:topLinePunct w:val="0"/>
        <w:bidi w:val="0"/>
        <w:snapToGrid w:val="0"/>
        <w:spacing w:beforeAutospacing="0" w:afterAutospacing="0" w:line="360" w:lineRule="auto"/>
        <w:jc w:val="left"/>
        <w:outlineLvl w:val="1"/>
        <w:rPr>
          <w:rFonts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shd w:val="clear" w:color="auto" w:fill="FFFFFF"/>
          <w:lang w:val="en-US" w:eastAsia="zh-CN" w:bidi="ar-SA"/>
        </w:rPr>
        <w:t>五、开标时间及地点</w:t>
      </w:r>
    </w:p>
    <w:p>
      <w:pPr>
        <w:pageBreakBefore w:val="0"/>
        <w:widowControl/>
        <w:kinsoku/>
        <w:overflowPunct/>
        <w:topLinePunct w:val="0"/>
        <w:bidi w:val="0"/>
        <w:snapToGrid w:val="0"/>
        <w:spacing w:beforeAutospacing="0" w:afterAutospacing="0" w:line="360" w:lineRule="auto"/>
        <w:ind w:firstLine="480" w:firstLineChars="20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shd w:val="clear" w:color="auto" w:fill="FFFFFF"/>
          <w:lang w:val="en-US" w:eastAsia="zh-CN" w:bidi="ar-SA"/>
        </w:rPr>
        <w:t>1.时间：</w:t>
      </w:r>
      <w:r>
        <w:rPr>
          <w:rFonts w:hint="eastAsia" w:ascii="宋体" w:hAnsi="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shd w:val="clear" w:color="auto" w:fill="FFFFFF"/>
          <w:lang w:val="en-US" w:eastAsia="zh-CN" w:bidi="ar-SA"/>
        </w:rPr>
        <w:t>。</w:t>
      </w:r>
    </w:p>
    <w:p>
      <w:pPr>
        <w:pageBreakBefore w:val="0"/>
        <w:widowControl/>
        <w:kinsoku/>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2.地点：</w:t>
      </w:r>
      <w:r>
        <w:rPr>
          <w:rFonts w:hint="eastAsia" w:ascii="宋体" w:hAnsi="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shd w:val="clear" w:color="auto" w:fill="FFFFFF"/>
          <w:lang w:val="en-US" w:eastAsia="zh-CN" w:bidi="ar-SA"/>
        </w:rPr>
        <w:t>。</w:t>
      </w:r>
    </w:p>
    <w:p>
      <w:pPr>
        <w:keepNext w:val="0"/>
        <w:keepLines w:val="0"/>
        <w:pageBreakBefore w:val="0"/>
        <w:widowControl/>
        <w:kinsoku/>
        <w:overflowPunct/>
        <w:topLinePunct w:val="0"/>
        <w:bidi w:val="0"/>
        <w:snapToGrid w:val="0"/>
        <w:spacing w:beforeAutospacing="0" w:afterAutospacing="0" w:line="360" w:lineRule="auto"/>
        <w:jc w:val="left"/>
        <w:outlineLvl w:val="1"/>
        <w:rPr>
          <w:rFonts w:ascii="宋体" w:hAnsi="宋体" w:eastAsia="宋体" w:cs="宋体"/>
          <w:b/>
          <w:bCs/>
          <w:color w:val="auto"/>
          <w:kern w:val="2"/>
          <w:sz w:val="24"/>
          <w:szCs w:val="24"/>
          <w:lang w:val="en-US" w:eastAsia="zh-CN" w:bidi="ar-SA"/>
        </w:rPr>
      </w:pPr>
      <w:bookmarkStart w:id="18" w:name="_Toc20287"/>
      <w:bookmarkStart w:id="19" w:name="_Toc30918"/>
      <w:bookmarkStart w:id="20" w:name="_Toc29784"/>
      <w:bookmarkStart w:id="21" w:name="_Toc6523"/>
      <w:r>
        <w:rPr>
          <w:rFonts w:hint="eastAsia" w:ascii="宋体" w:hAnsi="宋体" w:eastAsia="宋体" w:cs="宋体"/>
          <w:b/>
          <w:bCs/>
          <w:color w:val="auto"/>
          <w:kern w:val="2"/>
          <w:sz w:val="24"/>
          <w:szCs w:val="24"/>
          <w:shd w:val="clear" w:color="auto" w:fill="FFFFFF"/>
          <w:lang w:val="en-US" w:eastAsia="zh-CN" w:bidi="ar-SA"/>
        </w:rPr>
        <w:t>六、发布公告的媒介及</w:t>
      </w:r>
      <w:r>
        <w:rPr>
          <w:rFonts w:hint="eastAsia" w:ascii="宋体" w:hAnsi="宋体" w:eastAsia="宋体" w:cs="宋体"/>
          <w:b/>
          <w:bCs/>
          <w:color w:val="auto"/>
          <w:sz w:val="24"/>
          <w:szCs w:val="24"/>
          <w:shd w:val="clear" w:color="auto" w:fill="auto"/>
          <w:lang w:val="en-US" w:eastAsia="zh-CN"/>
        </w:rPr>
        <w:t>采购</w:t>
      </w:r>
      <w:r>
        <w:rPr>
          <w:rFonts w:hint="eastAsia" w:ascii="宋体" w:hAnsi="宋体" w:eastAsia="宋体" w:cs="宋体"/>
          <w:b/>
          <w:bCs/>
          <w:color w:val="auto"/>
          <w:kern w:val="2"/>
          <w:sz w:val="24"/>
          <w:szCs w:val="24"/>
          <w:shd w:val="clear" w:color="auto" w:fill="FFFFFF"/>
          <w:lang w:val="en-US" w:eastAsia="zh-CN" w:bidi="ar-SA"/>
        </w:rPr>
        <w:t>公告期限</w:t>
      </w:r>
      <w:bookmarkEnd w:id="18"/>
      <w:bookmarkEnd w:id="19"/>
      <w:bookmarkEnd w:id="20"/>
      <w:bookmarkEnd w:id="21"/>
    </w:p>
    <w:p>
      <w:pPr>
        <w:pageBreakBefore w:val="0"/>
        <w:widowControl/>
        <w:kinsoku/>
        <w:overflowPunct/>
        <w:topLinePunct w:val="0"/>
        <w:bidi w:val="0"/>
        <w:snapToGrid w:val="0"/>
        <w:spacing w:beforeAutospacing="0" w:afterAutospacing="0" w:line="360" w:lineRule="auto"/>
        <w:ind w:firstLine="480" w:firstLineChars="200"/>
        <w:jc w:val="left"/>
        <w:rPr>
          <w:rFonts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本次</w:t>
      </w:r>
      <w:r>
        <w:rPr>
          <w:rFonts w:hint="eastAsia" w:ascii="宋体" w:hAnsi="宋体" w:eastAsia="宋体" w:cs="宋体"/>
          <w:color w:val="auto"/>
          <w:sz w:val="24"/>
          <w:szCs w:val="24"/>
          <w:shd w:val="clear" w:color="auto" w:fill="auto"/>
          <w:lang w:val="en-US" w:eastAsia="zh-CN"/>
        </w:rPr>
        <w:t>采购</w:t>
      </w:r>
      <w:r>
        <w:rPr>
          <w:rFonts w:hint="eastAsia" w:ascii="宋体" w:hAnsi="宋体" w:eastAsia="宋体" w:cs="宋体"/>
          <w:color w:val="auto"/>
          <w:kern w:val="0"/>
          <w:sz w:val="24"/>
          <w:szCs w:val="24"/>
          <w:shd w:val="clear" w:color="auto" w:fill="FFFFFF"/>
          <w:lang w:val="en-US" w:eastAsia="zh-CN" w:bidi="ar-SA"/>
        </w:rPr>
        <w:t>公告在《驻马店市中心医院》</w:t>
      </w:r>
      <w:r>
        <w:rPr>
          <w:rFonts w:hint="eastAsia" w:ascii="宋体" w:hAnsi="宋体" w:cs="宋体"/>
          <w:color w:val="auto"/>
          <w:kern w:val="0"/>
          <w:sz w:val="24"/>
          <w:szCs w:val="24"/>
          <w:shd w:val="clear" w:color="auto" w:fill="FFFFFF"/>
          <w:lang w:val="en-US" w:eastAsia="zh-CN" w:bidi="ar-SA"/>
        </w:rPr>
        <w:t>院内</w:t>
      </w:r>
      <w:r>
        <w:rPr>
          <w:rFonts w:hint="eastAsia" w:ascii="宋体" w:hAnsi="宋体" w:eastAsia="宋体" w:cs="宋体"/>
          <w:color w:val="auto"/>
          <w:kern w:val="0"/>
          <w:sz w:val="24"/>
          <w:szCs w:val="24"/>
          <w:shd w:val="clear" w:color="auto" w:fill="FFFFFF"/>
          <w:lang w:val="en-US" w:eastAsia="zh-CN" w:bidi="ar-SA"/>
        </w:rPr>
        <w:t>网</w:t>
      </w:r>
      <w:r>
        <w:rPr>
          <w:rFonts w:hint="eastAsia" w:ascii="宋体" w:hAnsi="宋体" w:eastAsia="宋体" w:cs="宋体"/>
          <w:color w:val="auto"/>
          <w:sz w:val="24"/>
          <w:szCs w:val="24"/>
          <w:shd w:val="clear" w:color="auto" w:fill="auto"/>
        </w:rPr>
        <w:t>上发布</w:t>
      </w:r>
      <w:r>
        <w:rPr>
          <w:rFonts w:hint="eastAsia" w:ascii="宋体" w:hAnsi="宋体" w:cs="宋体"/>
          <w:color w:val="auto"/>
          <w:sz w:val="24"/>
          <w:szCs w:val="24"/>
          <w:highlight w:val="none"/>
          <w:shd w:val="clear" w:color="auto" w:fill="auto"/>
          <w:lang w:eastAsia="zh-CN"/>
        </w:rPr>
        <w:t>，</w:t>
      </w:r>
      <w:r>
        <w:rPr>
          <w:rFonts w:hint="eastAsia" w:ascii="宋体" w:hAnsi="宋体" w:eastAsia="宋体" w:cs="宋体"/>
          <w:color w:val="auto"/>
          <w:sz w:val="24"/>
          <w:szCs w:val="24"/>
          <w:shd w:val="clear" w:color="auto" w:fill="auto"/>
          <w:lang w:val="en-US" w:eastAsia="zh-CN"/>
        </w:rPr>
        <w:t>采购</w:t>
      </w:r>
      <w:r>
        <w:rPr>
          <w:rFonts w:hint="eastAsia" w:ascii="宋体" w:hAnsi="宋体" w:cs="宋体"/>
          <w:color w:val="auto"/>
          <w:sz w:val="24"/>
          <w:szCs w:val="24"/>
          <w:highlight w:val="none"/>
          <w:shd w:val="clear" w:color="auto" w:fill="auto"/>
          <w:lang w:eastAsia="zh-CN"/>
        </w:rPr>
        <w:t>公告期限为</w:t>
      </w:r>
      <w:r>
        <w:rPr>
          <w:rFonts w:hint="eastAsia" w:ascii="宋体" w:hAnsi="宋体" w:cs="宋体"/>
          <w:color w:val="auto"/>
          <w:sz w:val="24"/>
          <w:szCs w:val="24"/>
          <w:highlight w:val="none"/>
          <w:shd w:val="clear" w:color="auto" w:fill="auto"/>
          <w:lang w:val="en-US" w:eastAsia="zh-CN"/>
        </w:rPr>
        <w:t>三</w:t>
      </w:r>
      <w:r>
        <w:rPr>
          <w:rFonts w:hint="eastAsia" w:ascii="宋体" w:hAnsi="宋体" w:cs="宋体"/>
          <w:color w:val="auto"/>
          <w:sz w:val="24"/>
          <w:szCs w:val="24"/>
          <w:highlight w:val="none"/>
          <w:shd w:val="clear" w:color="auto" w:fill="auto"/>
          <w:lang w:eastAsia="zh-CN"/>
        </w:rPr>
        <w:t>个工作日</w:t>
      </w:r>
      <w:r>
        <w:rPr>
          <w:rFonts w:hint="eastAsia" w:ascii="宋体" w:hAnsi="宋体" w:eastAsia="宋体" w:cs="宋体"/>
          <w:color w:val="auto"/>
          <w:kern w:val="0"/>
          <w:sz w:val="24"/>
          <w:szCs w:val="24"/>
          <w:highlight w:val="none"/>
          <w:shd w:val="clear" w:color="auto" w:fill="FFFFFF"/>
          <w:lang w:val="en-US" w:eastAsia="zh-CN" w:bidi="ar-SA"/>
        </w:rPr>
        <w:t>。</w:t>
      </w:r>
      <w:bookmarkStart w:id="22" w:name="_Toc35393626"/>
      <w:bookmarkStart w:id="23" w:name="_Toc35393795"/>
    </w:p>
    <w:bookmarkEnd w:id="22"/>
    <w:bookmarkEnd w:id="23"/>
    <w:p>
      <w:pPr>
        <w:keepNext w:val="0"/>
        <w:keepLines w:val="0"/>
        <w:pageBreakBefore w:val="0"/>
        <w:widowControl/>
        <w:kinsoku/>
        <w:overflowPunct/>
        <w:topLinePunct w:val="0"/>
        <w:bidi w:val="0"/>
        <w:snapToGrid w:val="0"/>
        <w:spacing w:beforeAutospacing="0" w:afterAutospacing="0" w:line="360" w:lineRule="auto"/>
        <w:jc w:val="left"/>
        <w:outlineLvl w:val="1"/>
        <w:rPr>
          <w:rFonts w:ascii="宋体" w:hAnsi="宋体" w:eastAsia="宋体" w:cs="宋体"/>
          <w:b/>
          <w:bCs/>
          <w:color w:val="auto"/>
          <w:kern w:val="2"/>
          <w:sz w:val="24"/>
          <w:szCs w:val="24"/>
          <w:highlight w:val="none"/>
          <w:lang w:val="en-US" w:eastAsia="zh-CN" w:bidi="ar-SA"/>
        </w:rPr>
      </w:pPr>
      <w:bookmarkStart w:id="24" w:name="_Toc24274"/>
      <w:bookmarkStart w:id="25" w:name="_Toc27370"/>
      <w:bookmarkStart w:id="26" w:name="_Toc31928"/>
      <w:bookmarkStart w:id="27" w:name="_Toc16291"/>
      <w:bookmarkStart w:id="28" w:name="_Toc3604"/>
      <w:r>
        <w:rPr>
          <w:rFonts w:hint="eastAsia" w:ascii="宋体" w:hAnsi="宋体" w:cs="宋体"/>
          <w:b/>
          <w:bCs/>
          <w:color w:val="auto"/>
          <w:kern w:val="2"/>
          <w:sz w:val="24"/>
          <w:szCs w:val="24"/>
          <w:shd w:val="clear" w:color="auto" w:fill="FFFFFF"/>
          <w:lang w:val="en-US" w:eastAsia="zh-CN" w:bidi="ar-SA"/>
        </w:rPr>
        <w:t>七</w:t>
      </w:r>
      <w:r>
        <w:rPr>
          <w:rFonts w:hint="eastAsia" w:ascii="宋体" w:hAnsi="宋体" w:eastAsia="宋体" w:cs="宋体"/>
          <w:b/>
          <w:bCs/>
          <w:color w:val="auto"/>
          <w:kern w:val="2"/>
          <w:sz w:val="24"/>
          <w:szCs w:val="24"/>
          <w:shd w:val="clear" w:color="auto" w:fill="FFFFFF"/>
          <w:lang w:val="en-US" w:eastAsia="zh-CN" w:bidi="ar-SA"/>
        </w:rPr>
        <w:t>、</w:t>
      </w:r>
      <w:bookmarkEnd w:id="24"/>
      <w:bookmarkEnd w:id="25"/>
      <w:bookmarkEnd w:id="26"/>
      <w:bookmarkEnd w:id="27"/>
      <w:bookmarkEnd w:id="28"/>
      <w:r>
        <w:rPr>
          <w:rFonts w:hint="eastAsia" w:ascii="宋体" w:hAnsi="宋体" w:eastAsia="宋体" w:cs="宋体"/>
          <w:b/>
          <w:bCs/>
          <w:color w:val="auto"/>
          <w:kern w:val="2"/>
          <w:sz w:val="24"/>
          <w:szCs w:val="24"/>
          <w:highlight w:val="none"/>
          <w:shd w:val="clear" w:color="auto" w:fill="FFFFFF"/>
          <w:lang w:val="en-US" w:eastAsia="zh-CN" w:bidi="ar-SA"/>
        </w:rPr>
        <w:t>凡对本次招标提出询问，请按照以下方式联系</w:t>
      </w:r>
    </w:p>
    <w:p>
      <w:pPr>
        <w:pageBreakBefore w:val="0"/>
        <w:widowControl/>
        <w:kinsoku/>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报名联系人：王女士</w:t>
      </w:r>
    </w:p>
    <w:p>
      <w:pPr>
        <w:pageBreakBefore w:val="0"/>
        <w:widowControl/>
        <w:kinsoku/>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联系电话：0396-2858369    18639627370</w:t>
      </w:r>
    </w:p>
    <w:p>
      <w:pPr>
        <w:pageBreakBefore w:val="0"/>
        <w:widowControl/>
        <w:kinsoku/>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联系人：陈先生</w:t>
      </w:r>
    </w:p>
    <w:p>
      <w:pPr>
        <w:pageBreakBefore w:val="0"/>
        <w:widowControl/>
        <w:kinsoku/>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联系电话：0396-2726379</w:t>
      </w:r>
    </w:p>
    <w:p>
      <w:pPr>
        <w:pageBreakBefore w:val="0"/>
        <w:widowControl/>
        <w:kinsoku/>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联系邮箱：zxyyjzcgbgs@163.com</w:t>
      </w:r>
    </w:p>
    <w:p>
      <w:pPr>
        <w:pageBreakBefore w:val="0"/>
        <w:widowControl/>
        <w:kinsoku/>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监督部门：驻马店市中心医院纪检监察室</w:t>
      </w:r>
    </w:p>
    <w:p>
      <w:pPr>
        <w:pageBreakBefore w:val="0"/>
        <w:widowControl/>
        <w:kinsoku/>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监督电话：0396-2726678</w:t>
      </w:r>
    </w:p>
    <w:p>
      <w:pPr>
        <w:pStyle w:val="2"/>
        <w:pageBreakBefore w:val="0"/>
        <w:kinsoku/>
        <w:overflowPunct/>
        <w:topLinePunct w:val="0"/>
        <w:bidi w:val="0"/>
        <w:spacing w:beforeAutospacing="0" w:afterAutospacing="0" w:line="360" w:lineRule="auto"/>
        <w:rPr>
          <w:rFonts w:hint="eastAsia"/>
          <w:sz w:val="24"/>
          <w:szCs w:val="24"/>
          <w:lang w:val="en-US" w:eastAsia="zh-CN"/>
        </w:rPr>
      </w:pPr>
    </w:p>
    <w:p>
      <w:pPr>
        <w:pStyle w:val="5"/>
        <w:pageBreakBefore w:val="0"/>
        <w:kinsoku/>
        <w:overflowPunct/>
        <w:topLinePunct w:val="0"/>
        <w:bidi w:val="0"/>
        <w:spacing w:beforeAutospacing="0" w:afterAutospacing="0" w:line="360" w:lineRule="auto"/>
        <w:rPr>
          <w:rFonts w:hint="eastAsia"/>
          <w:sz w:val="24"/>
          <w:szCs w:val="24"/>
          <w:lang w:val="en-US" w:eastAsia="zh-CN"/>
        </w:rPr>
      </w:pPr>
    </w:p>
    <w:p>
      <w:pPr>
        <w:pageBreakBefore w:val="0"/>
        <w:widowControl/>
        <w:kinsoku/>
        <w:overflowPunct/>
        <w:topLinePunct w:val="0"/>
        <w:bidi w:val="0"/>
        <w:snapToGrid w:val="0"/>
        <w:spacing w:beforeAutospacing="0" w:afterAutospacing="0" w:line="360" w:lineRule="auto"/>
        <w:ind w:firstLine="480" w:firstLineChars="200"/>
        <w:jc w:val="right"/>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驻马</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店市中心医院采购科</w:t>
      </w:r>
    </w:p>
    <w:p>
      <w:pPr>
        <w:pStyle w:val="29"/>
        <w:pageBreakBefore w:val="0"/>
        <w:widowControl/>
        <w:kinsoku/>
        <w:overflowPunct/>
        <w:topLinePunct w:val="0"/>
        <w:bidi w:val="0"/>
        <w:snapToGrid w:val="0"/>
        <w:spacing w:before="0" w:beforeAutospacing="0" w:after="0" w:afterAutospacing="0" w:line="360" w:lineRule="auto"/>
        <w:ind w:firstLine="480" w:firstLineChars="200"/>
        <w:jc w:val="center"/>
        <w:rPr>
          <w:rFonts w:ascii="宋体" w:hAnsi="宋体" w:cs="宋体"/>
          <w:color w:val="000000" w:themeColor="text1"/>
          <w:sz w:val="21"/>
          <w:szCs w:val="21"/>
          <w:highlight w:val="none"/>
          <w:shd w:val="clear" w:color="auto" w:fill="FFFFFF"/>
          <w14:textFill>
            <w14:solidFill>
              <w14:schemeClr w14:val="tx1"/>
            </w14:solidFill>
          </w14:textFill>
        </w:rPr>
      </w:pPr>
      <w:r>
        <w:rPr>
          <w:rFonts w:hint="eastAsia" w:ascii="宋体" w:hAnsi="宋体" w:cs="宋体"/>
          <w:color w:val="000000" w:themeColor="text1"/>
          <w:kern w:val="0"/>
          <w:sz w:val="24"/>
          <w:szCs w:val="24"/>
          <w:shd w:val="clear" w:color="auto" w:fill="FFFFFF"/>
          <w:lang w:val="en-US" w:eastAsia="zh-CN" w:bidi="ar-SA"/>
          <w14:textFill>
            <w14:solidFill>
              <w14:schemeClr w14:val="tx1"/>
            </w14:solidFill>
          </w14:textFill>
        </w:rPr>
        <w:t xml:space="preserve">                                                     </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202</w:t>
      </w:r>
      <w:r>
        <w:rPr>
          <w:rFonts w:hint="eastAsia" w:ascii="宋体" w:hAnsi="宋体" w:cs="宋体"/>
          <w:color w:val="000000" w:themeColor="text1"/>
          <w:kern w:val="0"/>
          <w:sz w:val="24"/>
          <w:szCs w:val="24"/>
          <w:shd w:val="clear" w:color="auto" w:fill="FFFFFF"/>
          <w:lang w:val="en-US" w:eastAsia="zh-CN" w:bidi="ar-SA"/>
          <w14:textFill>
            <w14:solidFill>
              <w14:schemeClr w14:val="tx1"/>
            </w14:solidFill>
          </w14:textFill>
        </w:rPr>
        <w:t>3</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年</w:t>
      </w:r>
      <w:r>
        <w:rPr>
          <w:rFonts w:hint="eastAsia" w:ascii="宋体" w:hAnsi="宋体" w:cs="宋体"/>
          <w:color w:val="000000" w:themeColor="text1"/>
          <w:kern w:val="0"/>
          <w:sz w:val="24"/>
          <w:szCs w:val="24"/>
          <w:shd w:val="clear" w:color="auto" w:fill="FFFFFF"/>
          <w:lang w:val="en-US" w:eastAsia="zh-CN" w:bidi="ar-SA"/>
          <w14:textFill>
            <w14:solidFill>
              <w14:schemeClr w14:val="tx1"/>
            </w14:solidFill>
          </w14:textFill>
        </w:rPr>
        <w:t>9</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月</w:t>
      </w:r>
      <w:r>
        <w:rPr>
          <w:rFonts w:hint="eastAsia" w:ascii="宋体" w:hAnsi="宋体" w:cs="宋体"/>
          <w:color w:val="000000" w:themeColor="text1"/>
          <w:kern w:val="0"/>
          <w:sz w:val="24"/>
          <w:szCs w:val="24"/>
          <w:shd w:val="clear" w:color="auto" w:fill="FFFFFF"/>
          <w:lang w:val="en-US" w:eastAsia="zh-CN" w:bidi="ar-SA"/>
          <w14:textFill>
            <w14:solidFill>
              <w14:schemeClr w14:val="tx1"/>
            </w14:solidFill>
          </w14:textFill>
        </w:rPr>
        <w:t>19</w:t>
      </w: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t>日</w:t>
      </w:r>
    </w:p>
    <w:p>
      <w:pPr>
        <w:pStyle w:val="29"/>
        <w:pageBreakBefore w:val="0"/>
        <w:widowControl/>
        <w:kinsoku/>
        <w:overflowPunct/>
        <w:topLinePunct w:val="0"/>
        <w:bidi w:val="0"/>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pStyle w:val="29"/>
        <w:pageBreakBefore w:val="0"/>
        <w:widowControl/>
        <w:kinsoku/>
        <w:overflowPunct/>
        <w:topLinePunct w:val="0"/>
        <w:bidi w:val="0"/>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pStyle w:val="29"/>
        <w:pageBreakBefore w:val="0"/>
        <w:widowControl/>
        <w:kinsoku/>
        <w:overflowPunct/>
        <w:topLinePunct w:val="0"/>
        <w:bidi w:val="0"/>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pStyle w:val="29"/>
        <w:pageBreakBefore w:val="0"/>
        <w:widowControl/>
        <w:kinsoku/>
        <w:overflowPunct/>
        <w:topLinePunct w:val="0"/>
        <w:bidi w:val="0"/>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pStyle w:val="29"/>
        <w:pageBreakBefore w:val="0"/>
        <w:widowControl/>
        <w:kinsoku/>
        <w:overflowPunct/>
        <w:topLinePunct w:val="0"/>
        <w:bidi w:val="0"/>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pStyle w:val="29"/>
        <w:pageBreakBefore w:val="0"/>
        <w:widowControl/>
        <w:kinsoku/>
        <w:overflowPunct/>
        <w:topLinePunct w:val="0"/>
        <w:bidi w:val="0"/>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pStyle w:val="29"/>
        <w:pageBreakBefore w:val="0"/>
        <w:widowControl/>
        <w:kinsoku/>
        <w:overflowPunct/>
        <w:topLinePunct w:val="0"/>
        <w:bidi w:val="0"/>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pStyle w:val="29"/>
        <w:pageBreakBefore w:val="0"/>
        <w:widowControl/>
        <w:kinsoku/>
        <w:overflowPunct/>
        <w:topLinePunct w:val="0"/>
        <w:bidi w:val="0"/>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pStyle w:val="29"/>
        <w:pageBreakBefore w:val="0"/>
        <w:widowControl/>
        <w:kinsoku/>
        <w:overflowPunct/>
        <w:topLinePunct w:val="0"/>
        <w:bidi w:val="0"/>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pStyle w:val="29"/>
        <w:pageBreakBefore w:val="0"/>
        <w:widowControl/>
        <w:kinsoku/>
        <w:overflowPunct/>
        <w:topLinePunct w:val="0"/>
        <w:bidi w:val="0"/>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pStyle w:val="29"/>
        <w:pageBreakBefore w:val="0"/>
        <w:widowControl/>
        <w:kinsoku/>
        <w:overflowPunct/>
        <w:topLinePunct w:val="0"/>
        <w:bidi w:val="0"/>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pStyle w:val="29"/>
        <w:pageBreakBefore w:val="0"/>
        <w:widowControl/>
        <w:kinsoku/>
        <w:overflowPunct/>
        <w:topLinePunct w:val="0"/>
        <w:bidi w:val="0"/>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pStyle w:val="29"/>
        <w:pageBreakBefore w:val="0"/>
        <w:widowControl/>
        <w:kinsoku/>
        <w:overflowPunct/>
        <w:topLinePunct w:val="0"/>
        <w:bidi w:val="0"/>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pStyle w:val="29"/>
        <w:pageBreakBefore w:val="0"/>
        <w:widowControl/>
        <w:kinsoku/>
        <w:overflowPunct/>
        <w:topLinePunct w:val="0"/>
        <w:bidi w:val="0"/>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pStyle w:val="29"/>
        <w:pageBreakBefore w:val="0"/>
        <w:widowControl/>
        <w:kinsoku/>
        <w:overflowPunct/>
        <w:topLinePunct w:val="0"/>
        <w:bidi w:val="0"/>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pStyle w:val="29"/>
        <w:pageBreakBefore w:val="0"/>
        <w:widowControl/>
        <w:kinsoku/>
        <w:overflowPunct/>
        <w:topLinePunct w:val="0"/>
        <w:bidi w:val="0"/>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pStyle w:val="29"/>
        <w:pageBreakBefore w:val="0"/>
        <w:widowControl/>
        <w:kinsoku/>
        <w:overflowPunct/>
        <w:topLinePunct w:val="0"/>
        <w:bidi w:val="0"/>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pStyle w:val="29"/>
        <w:pageBreakBefore w:val="0"/>
        <w:widowControl/>
        <w:kinsoku/>
        <w:overflowPunct/>
        <w:topLinePunct w:val="0"/>
        <w:bidi w:val="0"/>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pStyle w:val="29"/>
        <w:pageBreakBefore w:val="0"/>
        <w:widowControl/>
        <w:kinsoku/>
        <w:overflowPunct/>
        <w:topLinePunct w:val="0"/>
        <w:bidi w:val="0"/>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pStyle w:val="29"/>
        <w:pageBreakBefore w:val="0"/>
        <w:widowControl/>
        <w:kinsoku/>
        <w:overflowPunct/>
        <w:topLinePunct w:val="0"/>
        <w:bidi w:val="0"/>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pStyle w:val="29"/>
        <w:pageBreakBefore w:val="0"/>
        <w:widowControl/>
        <w:kinsoku/>
        <w:overflowPunct/>
        <w:topLinePunct w:val="0"/>
        <w:bidi w:val="0"/>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pStyle w:val="29"/>
        <w:pageBreakBefore w:val="0"/>
        <w:widowControl/>
        <w:kinsoku/>
        <w:overflowPunct/>
        <w:topLinePunct w:val="0"/>
        <w:bidi w:val="0"/>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pStyle w:val="29"/>
        <w:pageBreakBefore w:val="0"/>
        <w:widowControl/>
        <w:kinsoku/>
        <w:overflowPunct/>
        <w:topLinePunct w:val="0"/>
        <w:bidi w:val="0"/>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pStyle w:val="29"/>
        <w:pageBreakBefore w:val="0"/>
        <w:widowControl/>
        <w:kinsoku/>
        <w:overflowPunct/>
        <w:topLinePunct w:val="0"/>
        <w:bidi w:val="0"/>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pStyle w:val="29"/>
        <w:pageBreakBefore w:val="0"/>
        <w:widowControl/>
        <w:kinsoku/>
        <w:overflowPunct/>
        <w:topLinePunct w:val="0"/>
        <w:bidi w:val="0"/>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pStyle w:val="29"/>
        <w:pageBreakBefore w:val="0"/>
        <w:widowControl/>
        <w:kinsoku/>
        <w:overflowPunct/>
        <w:topLinePunct w:val="0"/>
        <w:bidi w:val="0"/>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pStyle w:val="29"/>
        <w:pageBreakBefore w:val="0"/>
        <w:widowControl/>
        <w:kinsoku/>
        <w:overflowPunct/>
        <w:topLinePunct w:val="0"/>
        <w:bidi w:val="0"/>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pStyle w:val="29"/>
        <w:pageBreakBefore w:val="0"/>
        <w:widowControl/>
        <w:kinsoku/>
        <w:overflowPunct/>
        <w:topLinePunct w:val="0"/>
        <w:bidi w:val="0"/>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pStyle w:val="29"/>
        <w:pageBreakBefore w:val="0"/>
        <w:widowControl/>
        <w:kinsoku/>
        <w:overflowPunct/>
        <w:topLinePunct w:val="0"/>
        <w:bidi w:val="0"/>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pStyle w:val="29"/>
        <w:pageBreakBefore w:val="0"/>
        <w:widowControl/>
        <w:kinsoku/>
        <w:overflowPunct/>
        <w:topLinePunct w:val="0"/>
        <w:bidi w:val="0"/>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pageBreakBefore w:val="0"/>
        <w:widowControl/>
        <w:kinsoku/>
        <w:overflowPunct/>
        <w:topLinePunct w:val="0"/>
        <w:bidi w:val="0"/>
        <w:spacing w:beforeAutospacing="0" w:afterAutospacing="0" w:line="360" w:lineRule="auto"/>
        <w:ind w:firstLine="643" w:firstLineChars="200"/>
        <w:jc w:val="center"/>
        <w:outlineLvl w:val="0"/>
        <w:rPr>
          <w:rFonts w:ascii="宋体" w:hAnsi="宋体"/>
          <w:b/>
          <w:color w:val="auto"/>
          <w:sz w:val="32"/>
          <w:szCs w:val="32"/>
          <w:highlight w:val="none"/>
        </w:rPr>
      </w:pPr>
      <w:bookmarkStart w:id="29" w:name="_Toc412"/>
      <w:bookmarkStart w:id="30" w:name="_Toc29890"/>
      <w:bookmarkStart w:id="31" w:name="_Toc23793"/>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29"/>
      <w:bookmarkStart w:id="95" w:name="_GoBack"/>
      <w:bookmarkEnd w:id="95"/>
      <w:bookmarkStart w:id="32" w:name="_Toc23610"/>
      <w:bookmarkStart w:id="33" w:name="_Toc9989"/>
      <w:bookmarkStart w:id="34" w:name="_Toc31536"/>
    </w:p>
    <w:bookmarkEnd w:id="30"/>
    <w:bookmarkEnd w:id="31"/>
    <w:bookmarkEnd w:id="32"/>
    <w:bookmarkEnd w:id="33"/>
    <w:bookmarkEnd w:id="34"/>
    <w:p>
      <w:pPr>
        <w:pStyle w:val="6"/>
        <w:keepNext w:val="0"/>
        <w:keepLines w:val="0"/>
        <w:pageBreakBefore w:val="0"/>
        <w:kinsoku/>
        <w:wordWrap/>
        <w:overflowPunct/>
        <w:topLinePunct w:val="0"/>
        <w:autoSpaceDE/>
        <w:autoSpaceDN/>
        <w:bidi w:val="0"/>
        <w:adjustRightInd/>
        <w:snapToGrid/>
        <w:spacing w:beforeAutospacing="0" w:afterAutospacing="0" w:line="360" w:lineRule="auto"/>
        <w:jc w:val="both"/>
        <w:rPr>
          <w:rFonts w:hint="eastAsia" w:ascii="宋体" w:hAnsi="宋体" w:eastAsia="宋体" w:cs="宋体"/>
          <w:kern w:val="2"/>
          <w:sz w:val="24"/>
          <w:szCs w:val="24"/>
          <w:lang w:val="en-US" w:eastAsia="zh-CN" w:bidi="ar-SA"/>
        </w:rPr>
      </w:pPr>
      <w:r>
        <w:rPr>
          <w:rFonts w:hint="eastAsia" w:cs="宋体"/>
          <w:b/>
          <w:bCs/>
          <w:kern w:val="2"/>
          <w:sz w:val="24"/>
          <w:szCs w:val="24"/>
          <w:lang w:val="en-US" w:eastAsia="zh-CN" w:bidi="ar-SA"/>
        </w:rPr>
        <w:t>一、</w:t>
      </w:r>
      <w:r>
        <w:rPr>
          <w:rFonts w:hint="eastAsia" w:ascii="宋体" w:hAnsi="宋体" w:eastAsia="宋体" w:cs="宋体"/>
          <w:b/>
          <w:bCs/>
          <w:kern w:val="2"/>
          <w:sz w:val="24"/>
          <w:szCs w:val="24"/>
          <w:lang w:val="en-US" w:eastAsia="zh-CN" w:bidi="ar-SA"/>
        </w:rPr>
        <w:t>项目名称：</w:t>
      </w:r>
      <w:r>
        <w:rPr>
          <w:rFonts w:hint="eastAsia" w:ascii="宋体" w:hAnsi="宋体" w:eastAsia="宋体" w:cs="宋体"/>
          <w:kern w:val="2"/>
          <w:sz w:val="24"/>
          <w:szCs w:val="24"/>
          <w:lang w:val="en-US" w:eastAsia="zh-CN" w:bidi="ar-SA"/>
        </w:rPr>
        <w:t>驻马店市中心医院</w:t>
      </w:r>
      <w:r>
        <w:rPr>
          <w:rFonts w:hint="eastAsia" w:cs="宋体"/>
          <w:kern w:val="2"/>
          <w:sz w:val="24"/>
          <w:szCs w:val="24"/>
          <w:lang w:val="en-US" w:eastAsia="zh-CN" w:bidi="ar-SA"/>
        </w:rPr>
        <w:t>七氟丙烷气体灭火钢瓶检测</w:t>
      </w:r>
    </w:p>
    <w:p>
      <w:pPr>
        <w:pStyle w:val="6"/>
        <w:keepNext w:val="0"/>
        <w:keepLines w:val="0"/>
        <w:pageBreakBefore w:val="0"/>
        <w:kinsoku/>
        <w:wordWrap/>
        <w:overflowPunct/>
        <w:topLinePunct w:val="0"/>
        <w:autoSpaceDE/>
        <w:autoSpaceDN/>
        <w:bidi w:val="0"/>
        <w:adjustRightInd/>
        <w:snapToGrid/>
        <w:spacing w:beforeAutospacing="0" w:afterAutospacing="0" w:line="360" w:lineRule="auto"/>
        <w:jc w:val="both"/>
        <w:rPr>
          <w:rFonts w:hint="eastAsia" w:cs="宋体"/>
          <w:kern w:val="2"/>
          <w:sz w:val="24"/>
          <w:szCs w:val="24"/>
          <w:highlight w:val="yellow"/>
          <w:lang w:val="en-US" w:eastAsia="zh-CN" w:bidi="ar-SA"/>
        </w:rPr>
      </w:pPr>
      <w:r>
        <w:rPr>
          <w:rFonts w:hint="eastAsia" w:cs="宋体"/>
          <w:b/>
          <w:bCs/>
          <w:kern w:val="2"/>
          <w:sz w:val="24"/>
          <w:szCs w:val="24"/>
          <w:lang w:val="en-US" w:eastAsia="zh-CN" w:bidi="ar-SA"/>
        </w:rPr>
        <w:t>二、项目用途说明：</w:t>
      </w:r>
      <w:r>
        <w:rPr>
          <w:rFonts w:hint="eastAsia" w:cs="宋体"/>
          <w:kern w:val="2"/>
          <w:sz w:val="24"/>
          <w:szCs w:val="24"/>
          <w:lang w:val="en-US" w:eastAsia="zh-CN" w:bidi="ar-SA"/>
        </w:rPr>
        <w:t xml:space="preserve"> 根据国家规范《气瓶安全技术规程》（TSG23-2021）规定，七氟丙烷气体灭火钢瓶需</w:t>
      </w:r>
      <w:r>
        <w:rPr>
          <w:rFonts w:hint="eastAsia" w:cs="宋体"/>
          <w:kern w:val="2"/>
          <w:sz w:val="24"/>
          <w:szCs w:val="24"/>
          <w:highlight w:val="none"/>
          <w:lang w:val="en-US" w:eastAsia="zh-CN" w:bidi="ar-SA"/>
        </w:rPr>
        <w:t>每三年检测1次。</w:t>
      </w:r>
    </w:p>
    <w:p>
      <w:pPr>
        <w:pStyle w:val="6"/>
        <w:keepNext w:val="0"/>
        <w:keepLines w:val="0"/>
        <w:pageBreakBefore w:val="0"/>
        <w:kinsoku/>
        <w:wordWrap/>
        <w:overflowPunct/>
        <w:topLinePunct w:val="0"/>
        <w:autoSpaceDE/>
        <w:autoSpaceDN/>
        <w:bidi w:val="0"/>
        <w:adjustRightInd/>
        <w:snapToGrid/>
        <w:spacing w:beforeAutospacing="0" w:afterAutospacing="0" w:line="360" w:lineRule="auto"/>
        <w:jc w:val="both"/>
        <w:rPr>
          <w:rFonts w:hint="eastAsia" w:cs="宋体"/>
          <w:b/>
          <w:bCs/>
          <w:kern w:val="2"/>
          <w:sz w:val="24"/>
          <w:szCs w:val="24"/>
          <w:lang w:val="en-US" w:eastAsia="zh-CN" w:bidi="ar-SA"/>
        </w:rPr>
      </w:pPr>
      <w:r>
        <w:rPr>
          <w:rFonts w:hint="eastAsia" w:cs="宋体"/>
          <w:b/>
          <w:bCs/>
          <w:kern w:val="2"/>
          <w:sz w:val="24"/>
          <w:szCs w:val="24"/>
          <w:lang w:val="en-US" w:eastAsia="zh-CN" w:bidi="ar-SA"/>
        </w:rPr>
        <w:t>三、配置规格、附件及零配件（包括专用工具）：</w:t>
      </w:r>
    </w:p>
    <w:tbl>
      <w:tblPr>
        <w:tblStyle w:val="3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963"/>
        <w:gridCol w:w="2925"/>
        <w:gridCol w:w="1313"/>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6"/>
              <w:pageBreakBefore w:val="0"/>
              <w:kinsoku/>
              <w:overflowPunct/>
              <w:topLinePunct w:val="0"/>
              <w:bidi w:val="0"/>
              <w:spacing w:beforeAutospacing="0" w:afterAutospacing="0" w:line="360" w:lineRule="auto"/>
              <w:ind w:left="0" w:leftChars="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序号</w:t>
            </w:r>
          </w:p>
        </w:tc>
        <w:tc>
          <w:tcPr>
            <w:tcW w:w="1963" w:type="dxa"/>
            <w:tcBorders>
              <w:top w:val="single" w:color="auto" w:sz="4" w:space="0"/>
              <w:left w:val="nil"/>
              <w:bottom w:val="single" w:color="auto" w:sz="4" w:space="0"/>
              <w:right w:val="single" w:color="auto" w:sz="4" w:space="0"/>
            </w:tcBorders>
            <w:vAlign w:val="center"/>
          </w:tcPr>
          <w:p>
            <w:pPr>
              <w:pStyle w:val="6"/>
              <w:pageBreakBefore w:val="0"/>
              <w:kinsoku/>
              <w:overflowPunct/>
              <w:topLinePunct w:val="0"/>
              <w:bidi w:val="0"/>
              <w:spacing w:beforeAutospacing="0" w:afterAutospacing="0" w:line="360" w:lineRule="auto"/>
              <w:ind w:left="0" w:leftChars="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项目名称</w:t>
            </w:r>
          </w:p>
        </w:tc>
        <w:tc>
          <w:tcPr>
            <w:tcW w:w="2925" w:type="dxa"/>
            <w:tcBorders>
              <w:top w:val="single" w:color="auto" w:sz="4" w:space="0"/>
              <w:left w:val="nil"/>
              <w:bottom w:val="single" w:color="auto" w:sz="4" w:space="0"/>
              <w:right w:val="single" w:color="auto" w:sz="4" w:space="0"/>
            </w:tcBorders>
            <w:vAlign w:val="center"/>
          </w:tcPr>
          <w:p>
            <w:pPr>
              <w:pStyle w:val="6"/>
              <w:pageBreakBefore w:val="0"/>
              <w:kinsoku/>
              <w:overflowPunct/>
              <w:topLinePunct w:val="0"/>
              <w:bidi w:val="0"/>
              <w:spacing w:beforeAutospacing="0" w:afterAutospacing="0" w:line="360" w:lineRule="auto"/>
              <w:ind w:left="0" w:leftChars="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数量或规模</w:t>
            </w:r>
          </w:p>
        </w:tc>
        <w:tc>
          <w:tcPr>
            <w:tcW w:w="1313" w:type="dxa"/>
            <w:tcBorders>
              <w:top w:val="single" w:color="auto" w:sz="4" w:space="0"/>
              <w:left w:val="nil"/>
              <w:bottom w:val="single" w:color="auto" w:sz="4" w:space="0"/>
              <w:right w:val="single" w:color="auto" w:sz="4" w:space="0"/>
            </w:tcBorders>
            <w:vAlign w:val="center"/>
          </w:tcPr>
          <w:p>
            <w:pPr>
              <w:pStyle w:val="6"/>
              <w:pageBreakBefore w:val="0"/>
              <w:kinsoku/>
              <w:overflowPunct/>
              <w:topLinePunct w:val="0"/>
              <w:bidi w:val="0"/>
              <w:spacing w:beforeAutospacing="0" w:afterAutospacing="0" w:line="360" w:lineRule="auto"/>
              <w:ind w:left="0" w:leftChars="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资金预算</w:t>
            </w:r>
          </w:p>
        </w:tc>
        <w:tc>
          <w:tcPr>
            <w:tcW w:w="1280" w:type="dxa"/>
            <w:tcBorders>
              <w:top w:val="single" w:color="auto" w:sz="4" w:space="0"/>
              <w:left w:val="nil"/>
              <w:bottom w:val="single" w:color="auto" w:sz="4" w:space="0"/>
              <w:right w:val="single" w:color="auto" w:sz="4" w:space="0"/>
            </w:tcBorders>
            <w:vAlign w:val="center"/>
          </w:tcPr>
          <w:p>
            <w:pPr>
              <w:pStyle w:val="6"/>
              <w:pageBreakBefore w:val="0"/>
              <w:kinsoku/>
              <w:overflowPunct/>
              <w:topLinePunct w:val="0"/>
              <w:bidi w:val="0"/>
              <w:spacing w:beforeAutospacing="0" w:afterAutospacing="0" w:line="360" w:lineRule="auto"/>
              <w:ind w:left="0" w:leftChars="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6"/>
              <w:pageBreakBefore w:val="0"/>
              <w:kinsoku/>
              <w:overflowPunct/>
              <w:topLinePunct w:val="0"/>
              <w:bidi w:val="0"/>
              <w:spacing w:beforeAutospacing="0" w:afterAutospacing="0"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1963" w:type="dxa"/>
            <w:tcBorders>
              <w:top w:val="single" w:color="auto" w:sz="4" w:space="0"/>
              <w:left w:val="nil"/>
              <w:bottom w:val="single" w:color="auto" w:sz="4" w:space="0"/>
              <w:right w:val="single" w:color="auto" w:sz="4" w:space="0"/>
            </w:tcBorders>
            <w:vAlign w:val="center"/>
          </w:tcPr>
          <w:p>
            <w:pPr>
              <w:pStyle w:val="6"/>
              <w:pageBreakBefore w:val="0"/>
              <w:kinsoku/>
              <w:overflowPunct/>
              <w:topLinePunct w:val="0"/>
              <w:bidi w:val="0"/>
              <w:spacing w:beforeAutospacing="0" w:afterAutospacing="0"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驻马店市中心医院七氟丙烷气体灭火钢瓶检测</w:t>
            </w:r>
          </w:p>
        </w:tc>
        <w:tc>
          <w:tcPr>
            <w:tcW w:w="2925" w:type="dxa"/>
            <w:tcBorders>
              <w:top w:val="single" w:color="auto" w:sz="4" w:space="0"/>
              <w:left w:val="nil"/>
              <w:bottom w:val="single" w:color="auto" w:sz="4" w:space="0"/>
              <w:right w:val="single" w:color="auto" w:sz="4" w:space="0"/>
            </w:tcBorders>
            <w:vAlign w:val="center"/>
          </w:tcPr>
          <w:p>
            <w:pPr>
              <w:pStyle w:val="6"/>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启动瓶3套瓶体检测；</w:t>
            </w:r>
          </w:p>
          <w:p>
            <w:pPr>
              <w:pStyle w:val="6"/>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120L钢瓶16套瓶体检测。</w:t>
            </w:r>
          </w:p>
        </w:tc>
        <w:tc>
          <w:tcPr>
            <w:tcW w:w="1313" w:type="dxa"/>
            <w:tcBorders>
              <w:top w:val="single" w:color="auto" w:sz="4" w:space="0"/>
              <w:left w:val="nil"/>
              <w:bottom w:val="single" w:color="auto" w:sz="4" w:space="0"/>
              <w:right w:val="single" w:color="auto" w:sz="4" w:space="0"/>
            </w:tcBorders>
            <w:vAlign w:val="center"/>
          </w:tcPr>
          <w:p>
            <w:pPr>
              <w:pStyle w:val="6"/>
              <w:pageBreakBefore w:val="0"/>
              <w:kinsoku/>
              <w:overflowPunct/>
              <w:topLinePunct w:val="0"/>
              <w:bidi w:val="0"/>
              <w:spacing w:beforeAutospacing="0" w:afterAutospacing="0"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70970元</w:t>
            </w:r>
          </w:p>
        </w:tc>
        <w:tc>
          <w:tcPr>
            <w:tcW w:w="1280" w:type="dxa"/>
            <w:tcBorders>
              <w:top w:val="single" w:color="auto" w:sz="4" w:space="0"/>
              <w:left w:val="nil"/>
              <w:bottom w:val="single" w:color="auto" w:sz="4" w:space="0"/>
              <w:right w:val="single" w:color="auto" w:sz="4" w:space="0"/>
            </w:tcBorders>
            <w:vAlign w:val="center"/>
          </w:tcPr>
          <w:p>
            <w:pPr>
              <w:pStyle w:val="6"/>
              <w:pageBreakBefore w:val="0"/>
              <w:kinsoku/>
              <w:overflowPunct/>
              <w:topLinePunct w:val="0"/>
              <w:bidi w:val="0"/>
              <w:spacing w:beforeAutospacing="0" w:afterAutospacing="0"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自筹</w:t>
            </w:r>
          </w:p>
        </w:tc>
      </w:tr>
    </w:tbl>
    <w:p>
      <w:pPr>
        <w:pStyle w:val="6"/>
        <w:keepNext w:val="0"/>
        <w:keepLines w:val="0"/>
        <w:pageBreakBefore w:val="0"/>
        <w:kinsoku/>
        <w:wordWrap/>
        <w:overflowPunct/>
        <w:topLinePunct w:val="0"/>
        <w:autoSpaceDE/>
        <w:autoSpaceDN/>
        <w:bidi w:val="0"/>
        <w:adjustRightInd/>
        <w:snapToGrid/>
        <w:spacing w:beforeAutospacing="0" w:afterAutospacing="0" w:line="360" w:lineRule="auto"/>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四、详细技术要求、参数及产品资料等：</w:t>
      </w:r>
    </w:p>
    <w:tbl>
      <w:tblPr>
        <w:tblStyle w:val="31"/>
        <w:tblpPr w:leftFromText="180" w:rightFromText="180" w:vertAnchor="text" w:horzAnchor="page" w:tblpX="1391" w:tblpY="256"/>
        <w:tblOverlap w:val="never"/>
        <w:tblW w:w="8541" w:type="dxa"/>
        <w:tblInd w:w="0" w:type="dxa"/>
        <w:tblLayout w:type="fixed"/>
        <w:tblCellMar>
          <w:top w:w="0" w:type="dxa"/>
          <w:left w:w="0" w:type="dxa"/>
          <w:bottom w:w="0" w:type="dxa"/>
          <w:right w:w="0" w:type="dxa"/>
        </w:tblCellMar>
      </w:tblPr>
      <w:tblGrid>
        <w:gridCol w:w="767"/>
        <w:gridCol w:w="1800"/>
        <w:gridCol w:w="926"/>
        <w:gridCol w:w="850"/>
        <w:gridCol w:w="709"/>
        <w:gridCol w:w="1315"/>
        <w:gridCol w:w="2174"/>
      </w:tblGrid>
      <w:tr>
        <w:tblPrEx>
          <w:tblCellMar>
            <w:top w:w="0" w:type="dxa"/>
            <w:left w:w="0" w:type="dxa"/>
            <w:bottom w:w="0" w:type="dxa"/>
            <w:right w:w="0" w:type="dxa"/>
          </w:tblCellMar>
        </w:tblPrEx>
        <w:trPr>
          <w:trHeight w:val="303" w:hRule="atLeast"/>
        </w:trPr>
        <w:tc>
          <w:tcPr>
            <w:tcW w:w="767" w:type="dxa"/>
            <w:tcBorders>
              <w:top w:val="single" w:color="000000" w:sz="8" w:space="0"/>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pStyle w:val="6"/>
              <w:pageBreakBefore w:val="0"/>
              <w:kinsoku/>
              <w:overflowPunct/>
              <w:topLinePunct w:val="0"/>
              <w:bidi w:val="0"/>
              <w:spacing w:beforeAutospacing="0" w:afterAutospacing="0" w:line="360" w:lineRule="auto"/>
              <w:ind w:left="0" w:leftChars="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序号</w:t>
            </w:r>
          </w:p>
        </w:tc>
        <w:tc>
          <w:tcPr>
            <w:tcW w:w="1800" w:type="dxa"/>
            <w:tcBorders>
              <w:top w:val="single" w:color="000000" w:sz="8" w:space="0"/>
              <w:left w:val="nil"/>
              <w:bottom w:val="single" w:color="000000" w:sz="8" w:space="0"/>
              <w:right w:val="single" w:color="000000" w:sz="8" w:space="0"/>
            </w:tcBorders>
            <w:shd w:val="clear" w:color="auto" w:fill="FFFFFF"/>
            <w:noWrap/>
            <w:tcMar>
              <w:top w:w="12" w:type="dxa"/>
              <w:left w:w="12" w:type="dxa"/>
              <w:right w:w="12" w:type="dxa"/>
            </w:tcMar>
            <w:vAlign w:val="center"/>
          </w:tcPr>
          <w:p>
            <w:pPr>
              <w:pStyle w:val="6"/>
              <w:pageBreakBefore w:val="0"/>
              <w:kinsoku/>
              <w:overflowPunct/>
              <w:topLinePunct w:val="0"/>
              <w:bidi w:val="0"/>
              <w:spacing w:beforeAutospacing="0" w:afterAutospacing="0" w:line="360" w:lineRule="auto"/>
              <w:ind w:left="0" w:leftChars="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产品名称</w:t>
            </w:r>
          </w:p>
        </w:tc>
        <w:tc>
          <w:tcPr>
            <w:tcW w:w="926" w:type="dxa"/>
            <w:tcBorders>
              <w:top w:val="single" w:color="000000" w:sz="8" w:space="0"/>
              <w:left w:val="nil"/>
              <w:bottom w:val="single" w:color="000000" w:sz="8" w:space="0"/>
              <w:right w:val="single" w:color="000000" w:sz="8" w:space="0"/>
            </w:tcBorders>
            <w:shd w:val="clear" w:color="auto" w:fill="FFFFFF"/>
            <w:noWrap/>
            <w:tcMar>
              <w:top w:w="12" w:type="dxa"/>
              <w:left w:w="12" w:type="dxa"/>
              <w:right w:w="12" w:type="dxa"/>
            </w:tcMar>
            <w:vAlign w:val="center"/>
          </w:tcPr>
          <w:p>
            <w:pPr>
              <w:pStyle w:val="6"/>
              <w:pageBreakBefore w:val="0"/>
              <w:kinsoku/>
              <w:overflowPunct/>
              <w:topLinePunct w:val="0"/>
              <w:bidi w:val="0"/>
              <w:spacing w:beforeAutospacing="0" w:afterAutospacing="0" w:line="360" w:lineRule="auto"/>
              <w:ind w:left="0" w:leftChars="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规格</w:t>
            </w:r>
          </w:p>
        </w:tc>
        <w:tc>
          <w:tcPr>
            <w:tcW w:w="850" w:type="dxa"/>
            <w:tcBorders>
              <w:top w:val="single" w:color="000000" w:sz="8" w:space="0"/>
              <w:left w:val="nil"/>
              <w:bottom w:val="single" w:color="000000" w:sz="8" w:space="0"/>
              <w:right w:val="single" w:color="000000" w:sz="8" w:space="0"/>
            </w:tcBorders>
            <w:shd w:val="clear" w:color="auto" w:fill="FFFFFF"/>
            <w:noWrap/>
            <w:tcMar>
              <w:top w:w="12" w:type="dxa"/>
              <w:left w:w="12" w:type="dxa"/>
              <w:right w:w="12" w:type="dxa"/>
            </w:tcMar>
            <w:vAlign w:val="center"/>
          </w:tcPr>
          <w:p>
            <w:pPr>
              <w:pStyle w:val="6"/>
              <w:pageBreakBefore w:val="0"/>
              <w:kinsoku/>
              <w:overflowPunct/>
              <w:topLinePunct w:val="0"/>
              <w:bidi w:val="0"/>
              <w:spacing w:beforeAutospacing="0" w:afterAutospacing="0" w:line="360" w:lineRule="auto"/>
              <w:ind w:left="0" w:leftChars="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单位</w:t>
            </w:r>
          </w:p>
        </w:tc>
        <w:tc>
          <w:tcPr>
            <w:tcW w:w="709" w:type="dxa"/>
            <w:tcBorders>
              <w:top w:val="single" w:color="000000" w:sz="8" w:space="0"/>
              <w:left w:val="nil"/>
              <w:bottom w:val="single" w:color="000000" w:sz="8" w:space="0"/>
              <w:right w:val="single" w:color="000000" w:sz="8" w:space="0"/>
            </w:tcBorders>
            <w:shd w:val="clear" w:color="auto" w:fill="FFFFFF"/>
            <w:noWrap/>
            <w:tcMar>
              <w:top w:w="12" w:type="dxa"/>
              <w:left w:w="12" w:type="dxa"/>
              <w:right w:w="12" w:type="dxa"/>
            </w:tcMar>
            <w:vAlign w:val="center"/>
          </w:tcPr>
          <w:p>
            <w:pPr>
              <w:pStyle w:val="6"/>
              <w:pageBreakBefore w:val="0"/>
              <w:kinsoku/>
              <w:overflowPunct/>
              <w:topLinePunct w:val="0"/>
              <w:bidi w:val="0"/>
              <w:spacing w:beforeAutospacing="0" w:afterAutospacing="0" w:line="360" w:lineRule="auto"/>
              <w:ind w:left="0" w:leftChars="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数量</w:t>
            </w:r>
          </w:p>
        </w:tc>
        <w:tc>
          <w:tcPr>
            <w:tcW w:w="1315" w:type="dxa"/>
            <w:tcBorders>
              <w:top w:val="single" w:color="000000" w:sz="8" w:space="0"/>
              <w:left w:val="nil"/>
              <w:bottom w:val="single" w:color="000000" w:sz="8" w:space="0"/>
              <w:right w:val="single" w:color="auto" w:sz="4" w:space="0"/>
            </w:tcBorders>
            <w:shd w:val="clear" w:color="auto" w:fill="FFFFFF"/>
            <w:noWrap/>
            <w:tcMar>
              <w:top w:w="12" w:type="dxa"/>
              <w:left w:w="12" w:type="dxa"/>
              <w:right w:w="12" w:type="dxa"/>
            </w:tcMar>
            <w:vAlign w:val="center"/>
          </w:tcPr>
          <w:p>
            <w:pPr>
              <w:pStyle w:val="6"/>
              <w:pageBreakBefore w:val="0"/>
              <w:kinsoku/>
              <w:overflowPunct/>
              <w:topLinePunct w:val="0"/>
              <w:bidi w:val="0"/>
              <w:spacing w:beforeAutospacing="0" w:afterAutospacing="0" w:line="360" w:lineRule="auto"/>
              <w:ind w:left="0" w:leftChars="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单价</w:t>
            </w:r>
          </w:p>
        </w:tc>
        <w:tc>
          <w:tcPr>
            <w:tcW w:w="2174" w:type="dxa"/>
            <w:tcBorders>
              <w:top w:val="single" w:color="000000" w:sz="8" w:space="0"/>
              <w:left w:val="single" w:color="auto" w:sz="4" w:space="0"/>
              <w:bottom w:val="single" w:color="000000" w:sz="8" w:space="0"/>
              <w:right w:val="single" w:color="000000" w:sz="8" w:space="0"/>
            </w:tcBorders>
            <w:shd w:val="clear" w:color="auto" w:fill="FFFFFF"/>
            <w:vAlign w:val="center"/>
          </w:tcPr>
          <w:p>
            <w:pPr>
              <w:pStyle w:val="6"/>
              <w:pageBreakBefore w:val="0"/>
              <w:kinsoku/>
              <w:overflowPunct/>
              <w:topLinePunct w:val="0"/>
              <w:bidi w:val="0"/>
              <w:spacing w:beforeAutospacing="0" w:afterAutospacing="0" w:line="360" w:lineRule="auto"/>
              <w:ind w:left="0" w:leftChars="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备注</w:t>
            </w:r>
          </w:p>
        </w:tc>
      </w:tr>
      <w:tr>
        <w:tblPrEx>
          <w:tblCellMar>
            <w:top w:w="0" w:type="dxa"/>
            <w:left w:w="0" w:type="dxa"/>
            <w:bottom w:w="0" w:type="dxa"/>
            <w:right w:w="0" w:type="dxa"/>
          </w:tblCellMar>
        </w:tblPrEx>
        <w:trPr>
          <w:trHeight w:val="488" w:hRule="atLeast"/>
        </w:trPr>
        <w:tc>
          <w:tcPr>
            <w:tcW w:w="767" w:type="dxa"/>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pStyle w:val="6"/>
              <w:pageBreakBefore w:val="0"/>
              <w:kinsoku/>
              <w:overflowPunct/>
              <w:topLinePunct w:val="0"/>
              <w:bidi w:val="0"/>
              <w:spacing w:beforeAutospacing="0" w:afterAutospacing="0"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1800" w:type="dxa"/>
            <w:tcBorders>
              <w:top w:val="nil"/>
              <w:left w:val="nil"/>
              <w:bottom w:val="single" w:color="000000" w:sz="8" w:space="0"/>
              <w:right w:val="single" w:color="000000" w:sz="8" w:space="0"/>
            </w:tcBorders>
            <w:tcMar>
              <w:top w:w="12" w:type="dxa"/>
              <w:left w:w="12" w:type="dxa"/>
              <w:right w:w="12" w:type="dxa"/>
            </w:tcMar>
            <w:vAlign w:val="center"/>
          </w:tcPr>
          <w:p>
            <w:pPr>
              <w:pStyle w:val="6"/>
              <w:pageBreakBefore w:val="0"/>
              <w:kinsoku/>
              <w:overflowPunct/>
              <w:topLinePunct w:val="0"/>
              <w:bidi w:val="0"/>
              <w:spacing w:beforeAutospacing="0" w:afterAutospacing="0"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钢瓶检测费</w:t>
            </w:r>
          </w:p>
        </w:tc>
        <w:tc>
          <w:tcPr>
            <w:tcW w:w="926" w:type="dxa"/>
            <w:tcBorders>
              <w:top w:val="nil"/>
              <w:left w:val="nil"/>
              <w:bottom w:val="single" w:color="000000" w:sz="8" w:space="0"/>
              <w:right w:val="single" w:color="000000" w:sz="8" w:space="0"/>
            </w:tcBorders>
            <w:noWrap/>
            <w:tcMar>
              <w:top w:w="12" w:type="dxa"/>
              <w:left w:w="12" w:type="dxa"/>
              <w:right w:w="12" w:type="dxa"/>
            </w:tcMar>
            <w:vAlign w:val="center"/>
          </w:tcPr>
          <w:p>
            <w:pPr>
              <w:pStyle w:val="6"/>
              <w:pageBreakBefore w:val="0"/>
              <w:kinsoku/>
              <w:overflowPunct/>
              <w:topLinePunct w:val="0"/>
              <w:bidi w:val="0"/>
              <w:spacing w:beforeAutospacing="0" w:afterAutospacing="0"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120L</w:t>
            </w:r>
          </w:p>
        </w:tc>
        <w:tc>
          <w:tcPr>
            <w:tcW w:w="850" w:type="dxa"/>
            <w:tcBorders>
              <w:top w:val="nil"/>
              <w:left w:val="nil"/>
              <w:bottom w:val="single" w:color="000000" w:sz="8" w:space="0"/>
              <w:right w:val="single" w:color="000000" w:sz="8" w:space="0"/>
            </w:tcBorders>
            <w:noWrap/>
            <w:tcMar>
              <w:top w:w="12" w:type="dxa"/>
              <w:left w:w="12" w:type="dxa"/>
              <w:right w:w="12" w:type="dxa"/>
            </w:tcMar>
            <w:vAlign w:val="center"/>
          </w:tcPr>
          <w:p>
            <w:pPr>
              <w:pStyle w:val="6"/>
              <w:pageBreakBefore w:val="0"/>
              <w:kinsoku/>
              <w:overflowPunct/>
              <w:topLinePunct w:val="0"/>
              <w:bidi w:val="0"/>
              <w:spacing w:beforeAutospacing="0" w:afterAutospacing="0"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套</w:t>
            </w:r>
          </w:p>
        </w:tc>
        <w:tc>
          <w:tcPr>
            <w:tcW w:w="709" w:type="dxa"/>
            <w:tcBorders>
              <w:top w:val="nil"/>
              <w:left w:val="nil"/>
              <w:bottom w:val="single" w:color="000000" w:sz="8" w:space="0"/>
              <w:right w:val="single" w:color="000000" w:sz="8" w:space="0"/>
            </w:tcBorders>
            <w:noWrap/>
            <w:tcMar>
              <w:top w:w="12" w:type="dxa"/>
              <w:left w:w="12" w:type="dxa"/>
              <w:right w:w="12" w:type="dxa"/>
            </w:tcMar>
            <w:vAlign w:val="center"/>
          </w:tcPr>
          <w:p>
            <w:pPr>
              <w:pStyle w:val="6"/>
              <w:pageBreakBefore w:val="0"/>
              <w:kinsoku/>
              <w:overflowPunct/>
              <w:topLinePunct w:val="0"/>
              <w:bidi w:val="0"/>
              <w:spacing w:beforeAutospacing="0" w:afterAutospacing="0"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16</w:t>
            </w:r>
          </w:p>
        </w:tc>
        <w:tc>
          <w:tcPr>
            <w:tcW w:w="1315" w:type="dxa"/>
            <w:tcBorders>
              <w:top w:val="nil"/>
              <w:left w:val="nil"/>
              <w:bottom w:val="single" w:color="000000" w:sz="8" w:space="0"/>
              <w:right w:val="single" w:color="auto" w:sz="4" w:space="0"/>
            </w:tcBorders>
            <w:tcMar>
              <w:top w:w="12" w:type="dxa"/>
              <w:left w:w="12" w:type="dxa"/>
              <w:right w:w="12" w:type="dxa"/>
            </w:tcMar>
            <w:vAlign w:val="center"/>
          </w:tcPr>
          <w:p>
            <w:pPr>
              <w:pStyle w:val="6"/>
              <w:pageBreakBefore w:val="0"/>
              <w:kinsoku/>
              <w:overflowPunct/>
              <w:topLinePunct w:val="0"/>
              <w:bidi w:val="0"/>
              <w:spacing w:beforeAutospacing="0" w:afterAutospacing="0"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1800元/套</w:t>
            </w:r>
          </w:p>
        </w:tc>
        <w:tc>
          <w:tcPr>
            <w:tcW w:w="2174" w:type="dxa"/>
            <w:tcBorders>
              <w:top w:val="nil"/>
              <w:left w:val="single" w:color="auto" w:sz="4" w:space="0"/>
              <w:bottom w:val="single" w:color="000000" w:sz="8" w:space="0"/>
              <w:right w:val="single" w:color="000000" w:sz="8" w:space="0"/>
            </w:tcBorders>
            <w:vAlign w:val="center"/>
          </w:tcPr>
          <w:p>
            <w:pPr>
              <w:pStyle w:val="6"/>
              <w:pageBreakBefore w:val="0"/>
              <w:kinsoku/>
              <w:overflowPunct/>
              <w:topLinePunct w:val="0"/>
              <w:bidi w:val="0"/>
              <w:spacing w:beforeAutospacing="0" w:afterAutospacing="0"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瓶体、阀门、更换密封圈</w:t>
            </w:r>
          </w:p>
        </w:tc>
      </w:tr>
      <w:tr>
        <w:tblPrEx>
          <w:tblCellMar>
            <w:top w:w="0" w:type="dxa"/>
            <w:left w:w="0" w:type="dxa"/>
            <w:bottom w:w="0" w:type="dxa"/>
            <w:right w:w="0" w:type="dxa"/>
          </w:tblCellMar>
        </w:tblPrEx>
        <w:trPr>
          <w:trHeight w:val="567" w:hRule="atLeast"/>
        </w:trPr>
        <w:tc>
          <w:tcPr>
            <w:tcW w:w="767" w:type="dxa"/>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pStyle w:val="6"/>
              <w:pageBreakBefore w:val="0"/>
              <w:kinsoku/>
              <w:overflowPunct/>
              <w:topLinePunct w:val="0"/>
              <w:bidi w:val="0"/>
              <w:spacing w:beforeAutospacing="0" w:afterAutospacing="0"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1800" w:type="dxa"/>
            <w:tcBorders>
              <w:top w:val="nil"/>
              <w:left w:val="nil"/>
              <w:bottom w:val="single" w:color="000000" w:sz="8" w:space="0"/>
              <w:right w:val="single" w:color="000000" w:sz="8" w:space="0"/>
            </w:tcBorders>
            <w:tcMar>
              <w:top w:w="12" w:type="dxa"/>
              <w:left w:w="12" w:type="dxa"/>
              <w:right w:w="12" w:type="dxa"/>
            </w:tcMar>
            <w:vAlign w:val="center"/>
          </w:tcPr>
          <w:p>
            <w:pPr>
              <w:pStyle w:val="6"/>
              <w:pageBreakBefore w:val="0"/>
              <w:kinsoku/>
              <w:overflowPunct/>
              <w:topLinePunct w:val="0"/>
              <w:bidi w:val="0"/>
              <w:spacing w:beforeAutospacing="0" w:afterAutospacing="0"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启动瓶检测及充装</w:t>
            </w:r>
          </w:p>
        </w:tc>
        <w:tc>
          <w:tcPr>
            <w:tcW w:w="926" w:type="dxa"/>
            <w:tcBorders>
              <w:top w:val="nil"/>
              <w:left w:val="nil"/>
              <w:bottom w:val="single" w:color="000000" w:sz="8" w:space="0"/>
              <w:right w:val="single" w:color="000000" w:sz="8" w:space="0"/>
            </w:tcBorders>
            <w:noWrap/>
            <w:tcMar>
              <w:top w:w="12" w:type="dxa"/>
              <w:left w:w="12" w:type="dxa"/>
              <w:right w:w="12" w:type="dxa"/>
            </w:tcMar>
            <w:vAlign w:val="center"/>
          </w:tcPr>
          <w:p>
            <w:pPr>
              <w:pStyle w:val="6"/>
              <w:pageBreakBefore w:val="0"/>
              <w:kinsoku/>
              <w:overflowPunct/>
              <w:topLinePunct w:val="0"/>
              <w:bidi w:val="0"/>
              <w:spacing w:beforeAutospacing="0" w:afterAutospacing="0" w:line="360" w:lineRule="auto"/>
              <w:jc w:val="center"/>
              <w:rPr>
                <w:rFonts w:hint="eastAsia" w:asciiTheme="minorEastAsia" w:hAnsiTheme="minorEastAsia" w:eastAsiaTheme="minorEastAsia" w:cstheme="minorEastAsia"/>
                <w:sz w:val="24"/>
                <w:szCs w:val="24"/>
                <w:lang w:val="en-US" w:eastAsia="zh-CN"/>
              </w:rPr>
            </w:pPr>
          </w:p>
        </w:tc>
        <w:tc>
          <w:tcPr>
            <w:tcW w:w="850" w:type="dxa"/>
            <w:tcBorders>
              <w:top w:val="nil"/>
              <w:left w:val="nil"/>
              <w:bottom w:val="single" w:color="000000" w:sz="8" w:space="0"/>
              <w:right w:val="single" w:color="000000" w:sz="8" w:space="0"/>
            </w:tcBorders>
            <w:noWrap/>
            <w:tcMar>
              <w:top w:w="12" w:type="dxa"/>
              <w:left w:w="12" w:type="dxa"/>
              <w:right w:w="12" w:type="dxa"/>
            </w:tcMar>
            <w:vAlign w:val="center"/>
          </w:tcPr>
          <w:p>
            <w:pPr>
              <w:pStyle w:val="6"/>
              <w:pageBreakBefore w:val="0"/>
              <w:kinsoku/>
              <w:overflowPunct/>
              <w:topLinePunct w:val="0"/>
              <w:bidi w:val="0"/>
              <w:spacing w:beforeAutospacing="0" w:afterAutospacing="0"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套</w:t>
            </w:r>
          </w:p>
        </w:tc>
        <w:tc>
          <w:tcPr>
            <w:tcW w:w="709" w:type="dxa"/>
            <w:tcBorders>
              <w:top w:val="nil"/>
              <w:left w:val="nil"/>
              <w:bottom w:val="single" w:color="000000" w:sz="8" w:space="0"/>
              <w:right w:val="single" w:color="000000" w:sz="8" w:space="0"/>
            </w:tcBorders>
            <w:noWrap/>
            <w:tcMar>
              <w:top w:w="12" w:type="dxa"/>
              <w:left w:w="12" w:type="dxa"/>
              <w:right w:w="12" w:type="dxa"/>
            </w:tcMar>
            <w:vAlign w:val="center"/>
          </w:tcPr>
          <w:p>
            <w:pPr>
              <w:pStyle w:val="6"/>
              <w:pageBreakBefore w:val="0"/>
              <w:kinsoku/>
              <w:overflowPunct/>
              <w:topLinePunct w:val="0"/>
              <w:bidi w:val="0"/>
              <w:spacing w:beforeAutospacing="0" w:afterAutospacing="0"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c>
          <w:tcPr>
            <w:tcW w:w="1315" w:type="dxa"/>
            <w:tcBorders>
              <w:top w:val="nil"/>
              <w:left w:val="nil"/>
              <w:bottom w:val="single" w:color="000000" w:sz="8" w:space="0"/>
              <w:right w:val="single" w:color="auto" w:sz="4" w:space="0"/>
            </w:tcBorders>
            <w:tcMar>
              <w:top w:w="12" w:type="dxa"/>
              <w:left w:w="12" w:type="dxa"/>
              <w:right w:w="12" w:type="dxa"/>
            </w:tcMar>
            <w:vAlign w:val="center"/>
          </w:tcPr>
          <w:p>
            <w:pPr>
              <w:pStyle w:val="6"/>
              <w:pageBreakBefore w:val="0"/>
              <w:kinsoku/>
              <w:overflowPunct/>
              <w:topLinePunct w:val="0"/>
              <w:bidi w:val="0"/>
              <w:spacing w:beforeAutospacing="0" w:afterAutospacing="0"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1000元/套</w:t>
            </w:r>
          </w:p>
        </w:tc>
        <w:tc>
          <w:tcPr>
            <w:tcW w:w="2174" w:type="dxa"/>
            <w:tcBorders>
              <w:top w:val="nil"/>
              <w:left w:val="single" w:color="auto" w:sz="4" w:space="0"/>
              <w:bottom w:val="single" w:color="000000" w:sz="8" w:space="0"/>
              <w:right w:val="single" w:color="000000" w:sz="8" w:space="0"/>
            </w:tcBorders>
            <w:vAlign w:val="center"/>
          </w:tcPr>
          <w:p>
            <w:pPr>
              <w:pStyle w:val="6"/>
              <w:pageBreakBefore w:val="0"/>
              <w:kinsoku/>
              <w:overflowPunct/>
              <w:topLinePunct w:val="0"/>
              <w:bidi w:val="0"/>
              <w:spacing w:beforeAutospacing="0" w:afterAutospacing="0"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瓶体、阀门、更换密封圈、换氮气</w:t>
            </w:r>
          </w:p>
        </w:tc>
      </w:tr>
      <w:tr>
        <w:tblPrEx>
          <w:tblCellMar>
            <w:top w:w="0" w:type="dxa"/>
            <w:left w:w="0" w:type="dxa"/>
            <w:bottom w:w="0" w:type="dxa"/>
            <w:right w:w="0" w:type="dxa"/>
          </w:tblCellMar>
        </w:tblPrEx>
        <w:trPr>
          <w:trHeight w:val="669" w:hRule="atLeast"/>
        </w:trPr>
        <w:tc>
          <w:tcPr>
            <w:tcW w:w="767" w:type="dxa"/>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pStyle w:val="6"/>
              <w:pageBreakBefore w:val="0"/>
              <w:kinsoku/>
              <w:overflowPunct/>
              <w:topLinePunct w:val="0"/>
              <w:bidi w:val="0"/>
              <w:spacing w:beforeAutospacing="0" w:afterAutospacing="0"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c>
          <w:tcPr>
            <w:tcW w:w="1800" w:type="dxa"/>
            <w:tcBorders>
              <w:top w:val="nil"/>
              <w:left w:val="nil"/>
              <w:bottom w:val="single" w:color="000000" w:sz="8" w:space="0"/>
              <w:right w:val="single" w:color="000000" w:sz="8" w:space="0"/>
            </w:tcBorders>
            <w:tcMar>
              <w:top w:w="12" w:type="dxa"/>
              <w:left w:w="12" w:type="dxa"/>
              <w:right w:w="12" w:type="dxa"/>
            </w:tcMar>
            <w:vAlign w:val="center"/>
          </w:tcPr>
          <w:p>
            <w:pPr>
              <w:pStyle w:val="6"/>
              <w:pageBreakBefore w:val="0"/>
              <w:kinsoku/>
              <w:overflowPunct/>
              <w:topLinePunct w:val="0"/>
              <w:bidi w:val="0"/>
              <w:spacing w:beforeAutospacing="0" w:afterAutospacing="0"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七氟丙烷药剂充装</w:t>
            </w:r>
          </w:p>
        </w:tc>
        <w:tc>
          <w:tcPr>
            <w:tcW w:w="926" w:type="dxa"/>
            <w:tcBorders>
              <w:top w:val="nil"/>
              <w:left w:val="nil"/>
              <w:bottom w:val="single" w:color="000000" w:sz="8" w:space="0"/>
              <w:right w:val="single" w:color="000000" w:sz="8" w:space="0"/>
            </w:tcBorders>
            <w:noWrap/>
            <w:tcMar>
              <w:top w:w="12" w:type="dxa"/>
              <w:left w:w="12" w:type="dxa"/>
              <w:right w:w="12" w:type="dxa"/>
            </w:tcMar>
            <w:vAlign w:val="center"/>
          </w:tcPr>
          <w:p>
            <w:pPr>
              <w:pStyle w:val="6"/>
              <w:pageBreakBefore w:val="0"/>
              <w:kinsoku/>
              <w:overflowPunct/>
              <w:topLinePunct w:val="0"/>
              <w:bidi w:val="0"/>
              <w:spacing w:beforeAutospacing="0" w:afterAutospacing="0"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HFC-227ea</w:t>
            </w:r>
          </w:p>
        </w:tc>
        <w:tc>
          <w:tcPr>
            <w:tcW w:w="850" w:type="dxa"/>
            <w:tcBorders>
              <w:top w:val="nil"/>
              <w:left w:val="nil"/>
              <w:bottom w:val="single" w:color="000000" w:sz="8" w:space="0"/>
              <w:right w:val="single" w:color="000000" w:sz="8" w:space="0"/>
            </w:tcBorders>
            <w:noWrap/>
            <w:tcMar>
              <w:top w:w="12" w:type="dxa"/>
              <w:left w:w="12" w:type="dxa"/>
              <w:right w:w="12" w:type="dxa"/>
            </w:tcMar>
            <w:vAlign w:val="center"/>
          </w:tcPr>
          <w:p>
            <w:pPr>
              <w:pStyle w:val="6"/>
              <w:pageBreakBefore w:val="0"/>
              <w:kinsoku/>
              <w:overflowPunct/>
              <w:topLinePunct w:val="0"/>
              <w:bidi w:val="0"/>
              <w:spacing w:beforeAutospacing="0" w:afterAutospacing="0"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L</w:t>
            </w:r>
          </w:p>
        </w:tc>
        <w:tc>
          <w:tcPr>
            <w:tcW w:w="709" w:type="dxa"/>
            <w:tcBorders>
              <w:top w:val="nil"/>
              <w:left w:val="nil"/>
              <w:bottom w:val="single" w:color="000000" w:sz="8" w:space="0"/>
              <w:right w:val="single" w:color="000000" w:sz="8" w:space="0"/>
            </w:tcBorders>
            <w:noWrap/>
            <w:tcMar>
              <w:top w:w="12" w:type="dxa"/>
              <w:left w:w="12" w:type="dxa"/>
              <w:right w:w="12" w:type="dxa"/>
            </w:tcMar>
            <w:vAlign w:val="center"/>
          </w:tcPr>
          <w:p>
            <w:pPr>
              <w:pStyle w:val="6"/>
              <w:pageBreakBefore w:val="0"/>
              <w:kinsoku/>
              <w:overflowPunct/>
              <w:topLinePunct w:val="0"/>
              <w:bidi w:val="0"/>
              <w:spacing w:beforeAutospacing="0" w:afterAutospacing="0"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384</w:t>
            </w:r>
          </w:p>
        </w:tc>
        <w:tc>
          <w:tcPr>
            <w:tcW w:w="1315" w:type="dxa"/>
            <w:tcBorders>
              <w:top w:val="nil"/>
              <w:left w:val="nil"/>
              <w:bottom w:val="single" w:color="000000" w:sz="8" w:space="0"/>
              <w:right w:val="single" w:color="auto" w:sz="4" w:space="0"/>
            </w:tcBorders>
            <w:tcMar>
              <w:top w:w="12" w:type="dxa"/>
              <w:left w:w="12" w:type="dxa"/>
              <w:right w:w="12" w:type="dxa"/>
            </w:tcMar>
            <w:vAlign w:val="center"/>
          </w:tcPr>
          <w:p>
            <w:pPr>
              <w:pStyle w:val="6"/>
              <w:pageBreakBefore w:val="0"/>
              <w:kinsoku/>
              <w:overflowPunct/>
              <w:topLinePunct w:val="0"/>
              <w:bidi w:val="0"/>
              <w:spacing w:beforeAutospacing="0" w:afterAutospacing="0"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80元/L</w:t>
            </w:r>
          </w:p>
        </w:tc>
        <w:tc>
          <w:tcPr>
            <w:tcW w:w="2174" w:type="dxa"/>
            <w:tcBorders>
              <w:top w:val="nil"/>
              <w:left w:val="single" w:color="auto" w:sz="4" w:space="0"/>
              <w:bottom w:val="single" w:color="000000" w:sz="8" w:space="0"/>
              <w:right w:val="single" w:color="000000" w:sz="8" w:space="0"/>
            </w:tcBorders>
            <w:vAlign w:val="center"/>
          </w:tcPr>
          <w:p>
            <w:pPr>
              <w:pStyle w:val="6"/>
              <w:pageBreakBefore w:val="0"/>
              <w:kinsoku/>
              <w:overflowPunct/>
              <w:topLinePunct w:val="0"/>
              <w:bidi w:val="0"/>
              <w:spacing w:beforeAutospacing="0" w:afterAutospacing="0"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钢瓶充装量20%损耗：120L×16×20％＝384L</w:t>
            </w:r>
          </w:p>
        </w:tc>
      </w:tr>
      <w:tr>
        <w:tblPrEx>
          <w:tblCellMar>
            <w:top w:w="0" w:type="dxa"/>
            <w:left w:w="0" w:type="dxa"/>
            <w:bottom w:w="0" w:type="dxa"/>
            <w:right w:w="0" w:type="dxa"/>
          </w:tblCellMar>
        </w:tblPrEx>
        <w:trPr>
          <w:trHeight w:val="442" w:hRule="atLeast"/>
        </w:trPr>
        <w:tc>
          <w:tcPr>
            <w:tcW w:w="767" w:type="dxa"/>
            <w:tcBorders>
              <w:top w:val="nil"/>
              <w:left w:val="single" w:color="000000" w:sz="8" w:space="0"/>
              <w:bottom w:val="single" w:color="auto" w:sz="4" w:space="0"/>
              <w:right w:val="single" w:color="000000" w:sz="8" w:space="0"/>
            </w:tcBorders>
            <w:shd w:val="clear" w:color="auto" w:fill="FFFFFF"/>
            <w:noWrap/>
            <w:tcMar>
              <w:top w:w="12" w:type="dxa"/>
              <w:left w:w="12" w:type="dxa"/>
              <w:right w:w="12" w:type="dxa"/>
            </w:tcMar>
            <w:vAlign w:val="center"/>
          </w:tcPr>
          <w:p>
            <w:pPr>
              <w:pStyle w:val="6"/>
              <w:pageBreakBefore w:val="0"/>
              <w:kinsoku/>
              <w:overflowPunct/>
              <w:topLinePunct w:val="0"/>
              <w:bidi w:val="0"/>
              <w:spacing w:beforeAutospacing="0" w:afterAutospacing="0"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c>
          <w:tcPr>
            <w:tcW w:w="1800" w:type="dxa"/>
            <w:tcBorders>
              <w:top w:val="nil"/>
              <w:left w:val="nil"/>
              <w:bottom w:val="single" w:color="auto" w:sz="4" w:space="0"/>
              <w:right w:val="single" w:color="000000" w:sz="8" w:space="0"/>
            </w:tcBorders>
            <w:tcMar>
              <w:top w:w="12" w:type="dxa"/>
              <w:left w:w="12" w:type="dxa"/>
              <w:right w:w="12" w:type="dxa"/>
            </w:tcMar>
            <w:vAlign w:val="center"/>
          </w:tcPr>
          <w:p>
            <w:pPr>
              <w:pStyle w:val="6"/>
              <w:pageBreakBefore w:val="0"/>
              <w:kinsoku/>
              <w:overflowPunct/>
              <w:topLinePunct w:val="0"/>
              <w:bidi w:val="0"/>
              <w:spacing w:beforeAutospacing="0" w:afterAutospacing="0"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拆卸及安装</w:t>
            </w:r>
          </w:p>
        </w:tc>
        <w:tc>
          <w:tcPr>
            <w:tcW w:w="926" w:type="dxa"/>
            <w:tcBorders>
              <w:top w:val="nil"/>
              <w:left w:val="nil"/>
              <w:bottom w:val="single" w:color="auto" w:sz="4" w:space="0"/>
              <w:right w:val="single" w:color="000000" w:sz="8" w:space="0"/>
            </w:tcBorders>
            <w:noWrap/>
            <w:tcMar>
              <w:top w:w="12" w:type="dxa"/>
              <w:left w:w="12" w:type="dxa"/>
              <w:right w:w="12" w:type="dxa"/>
            </w:tcMar>
            <w:vAlign w:val="center"/>
          </w:tcPr>
          <w:p>
            <w:pPr>
              <w:pStyle w:val="6"/>
              <w:pageBreakBefore w:val="0"/>
              <w:kinsoku/>
              <w:overflowPunct/>
              <w:topLinePunct w:val="0"/>
              <w:bidi w:val="0"/>
              <w:spacing w:beforeAutospacing="0" w:afterAutospacing="0" w:line="360" w:lineRule="auto"/>
              <w:jc w:val="center"/>
              <w:rPr>
                <w:rFonts w:hint="eastAsia" w:asciiTheme="minorEastAsia" w:hAnsiTheme="minorEastAsia" w:eastAsiaTheme="minorEastAsia" w:cstheme="minorEastAsia"/>
                <w:sz w:val="24"/>
                <w:szCs w:val="24"/>
                <w:lang w:val="en-US" w:eastAsia="zh-CN"/>
              </w:rPr>
            </w:pPr>
          </w:p>
        </w:tc>
        <w:tc>
          <w:tcPr>
            <w:tcW w:w="850" w:type="dxa"/>
            <w:tcBorders>
              <w:top w:val="nil"/>
              <w:left w:val="nil"/>
              <w:bottom w:val="single" w:color="auto" w:sz="4" w:space="0"/>
              <w:right w:val="single" w:color="000000" w:sz="8" w:space="0"/>
            </w:tcBorders>
            <w:noWrap/>
            <w:tcMar>
              <w:top w:w="12" w:type="dxa"/>
              <w:left w:w="12" w:type="dxa"/>
              <w:right w:w="12" w:type="dxa"/>
            </w:tcMar>
            <w:vAlign w:val="center"/>
          </w:tcPr>
          <w:p>
            <w:pPr>
              <w:pStyle w:val="6"/>
              <w:pageBreakBefore w:val="0"/>
              <w:kinsoku/>
              <w:overflowPunct/>
              <w:topLinePunct w:val="0"/>
              <w:bidi w:val="0"/>
              <w:spacing w:beforeAutospacing="0" w:afterAutospacing="0"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个</w:t>
            </w:r>
          </w:p>
        </w:tc>
        <w:tc>
          <w:tcPr>
            <w:tcW w:w="709" w:type="dxa"/>
            <w:tcBorders>
              <w:top w:val="nil"/>
              <w:left w:val="nil"/>
              <w:bottom w:val="single" w:color="auto" w:sz="4" w:space="0"/>
              <w:right w:val="single" w:color="000000" w:sz="8" w:space="0"/>
            </w:tcBorders>
            <w:noWrap/>
            <w:tcMar>
              <w:top w:w="12" w:type="dxa"/>
              <w:left w:w="12" w:type="dxa"/>
              <w:right w:w="12" w:type="dxa"/>
            </w:tcMar>
            <w:vAlign w:val="center"/>
          </w:tcPr>
          <w:p>
            <w:pPr>
              <w:pStyle w:val="6"/>
              <w:pageBreakBefore w:val="0"/>
              <w:kinsoku/>
              <w:overflowPunct/>
              <w:topLinePunct w:val="0"/>
              <w:bidi w:val="0"/>
              <w:spacing w:beforeAutospacing="0" w:afterAutospacing="0"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19</w:t>
            </w:r>
          </w:p>
        </w:tc>
        <w:tc>
          <w:tcPr>
            <w:tcW w:w="1315" w:type="dxa"/>
            <w:tcBorders>
              <w:top w:val="nil"/>
              <w:left w:val="nil"/>
              <w:bottom w:val="single" w:color="auto" w:sz="4" w:space="0"/>
              <w:right w:val="single" w:color="auto" w:sz="4" w:space="0"/>
            </w:tcBorders>
            <w:tcMar>
              <w:top w:w="12" w:type="dxa"/>
              <w:left w:w="12" w:type="dxa"/>
              <w:right w:w="12" w:type="dxa"/>
            </w:tcMar>
            <w:vAlign w:val="center"/>
          </w:tcPr>
          <w:p>
            <w:pPr>
              <w:pStyle w:val="6"/>
              <w:pageBreakBefore w:val="0"/>
              <w:kinsoku/>
              <w:overflowPunct/>
              <w:topLinePunct w:val="0"/>
              <w:bidi w:val="0"/>
              <w:spacing w:beforeAutospacing="0" w:afterAutospacing="0"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350元/个</w:t>
            </w:r>
          </w:p>
        </w:tc>
        <w:tc>
          <w:tcPr>
            <w:tcW w:w="2174" w:type="dxa"/>
            <w:tcBorders>
              <w:top w:val="nil"/>
              <w:left w:val="single" w:color="auto" w:sz="4" w:space="0"/>
              <w:bottom w:val="single" w:color="auto" w:sz="4" w:space="0"/>
              <w:right w:val="single" w:color="000000" w:sz="8" w:space="0"/>
            </w:tcBorders>
            <w:vAlign w:val="center"/>
          </w:tcPr>
          <w:p>
            <w:pPr>
              <w:pStyle w:val="6"/>
              <w:pageBreakBefore w:val="0"/>
              <w:kinsoku/>
              <w:overflowPunct/>
              <w:topLinePunct w:val="0"/>
              <w:bidi w:val="0"/>
              <w:spacing w:beforeAutospacing="0" w:afterAutospacing="0" w:line="360" w:lineRule="auto"/>
              <w:jc w:val="center"/>
              <w:rPr>
                <w:rFonts w:hint="eastAsia" w:asciiTheme="minorEastAsia" w:hAnsiTheme="minorEastAsia" w:eastAsiaTheme="minorEastAsia" w:cstheme="minorEastAsia"/>
                <w:sz w:val="24"/>
                <w:szCs w:val="24"/>
                <w:lang w:val="en-US" w:eastAsia="zh-CN"/>
              </w:rPr>
            </w:pPr>
          </w:p>
        </w:tc>
      </w:tr>
      <w:tr>
        <w:tblPrEx>
          <w:tblCellMar>
            <w:top w:w="0" w:type="dxa"/>
            <w:left w:w="0" w:type="dxa"/>
            <w:bottom w:w="0" w:type="dxa"/>
            <w:right w:w="0" w:type="dxa"/>
          </w:tblCellMar>
        </w:tblPrEx>
        <w:trPr>
          <w:trHeight w:val="427" w:hRule="atLeast"/>
        </w:trPr>
        <w:tc>
          <w:tcPr>
            <w:tcW w:w="767" w:type="dxa"/>
            <w:tcBorders>
              <w:top w:val="single" w:color="auto" w:sz="4" w:space="0"/>
              <w:left w:val="single" w:color="auto" w:sz="4" w:space="0"/>
              <w:bottom w:val="single" w:color="auto" w:sz="4" w:space="0"/>
              <w:right w:val="single" w:color="000000" w:sz="8" w:space="0"/>
            </w:tcBorders>
            <w:shd w:val="clear" w:color="auto" w:fill="FFFFFF"/>
            <w:noWrap/>
            <w:tcMar>
              <w:top w:w="12" w:type="dxa"/>
              <w:left w:w="12" w:type="dxa"/>
              <w:right w:w="12" w:type="dxa"/>
            </w:tcMar>
            <w:vAlign w:val="center"/>
          </w:tcPr>
          <w:p>
            <w:pPr>
              <w:pStyle w:val="6"/>
              <w:pageBreakBefore w:val="0"/>
              <w:kinsoku/>
              <w:overflowPunct/>
              <w:topLinePunct w:val="0"/>
              <w:bidi w:val="0"/>
              <w:spacing w:beforeAutospacing="0" w:afterAutospacing="0"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c>
          <w:tcPr>
            <w:tcW w:w="1800" w:type="dxa"/>
            <w:tcBorders>
              <w:top w:val="single" w:color="auto" w:sz="4" w:space="0"/>
              <w:left w:val="nil"/>
              <w:bottom w:val="single" w:color="auto" w:sz="4" w:space="0"/>
              <w:right w:val="single" w:color="000000" w:sz="8" w:space="0"/>
            </w:tcBorders>
            <w:tcMar>
              <w:top w:w="12" w:type="dxa"/>
              <w:left w:w="12" w:type="dxa"/>
              <w:right w:w="12" w:type="dxa"/>
            </w:tcMar>
            <w:vAlign w:val="center"/>
          </w:tcPr>
          <w:p>
            <w:pPr>
              <w:pStyle w:val="6"/>
              <w:pageBreakBefore w:val="0"/>
              <w:kinsoku/>
              <w:overflowPunct/>
              <w:topLinePunct w:val="0"/>
              <w:bidi w:val="0"/>
              <w:spacing w:beforeAutospacing="0" w:afterAutospacing="0"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运输费</w:t>
            </w:r>
          </w:p>
        </w:tc>
        <w:tc>
          <w:tcPr>
            <w:tcW w:w="926" w:type="dxa"/>
            <w:tcBorders>
              <w:top w:val="single" w:color="auto" w:sz="4" w:space="0"/>
              <w:left w:val="nil"/>
              <w:bottom w:val="single" w:color="auto" w:sz="4" w:space="0"/>
              <w:right w:val="single" w:color="000000" w:sz="8" w:space="0"/>
            </w:tcBorders>
            <w:noWrap/>
            <w:tcMar>
              <w:top w:w="12" w:type="dxa"/>
              <w:left w:w="12" w:type="dxa"/>
              <w:right w:w="12" w:type="dxa"/>
            </w:tcMar>
            <w:vAlign w:val="center"/>
          </w:tcPr>
          <w:p>
            <w:pPr>
              <w:pStyle w:val="6"/>
              <w:pageBreakBefore w:val="0"/>
              <w:kinsoku/>
              <w:overflowPunct/>
              <w:topLinePunct w:val="0"/>
              <w:bidi w:val="0"/>
              <w:spacing w:beforeAutospacing="0" w:afterAutospacing="0"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单程</w:t>
            </w:r>
          </w:p>
        </w:tc>
        <w:tc>
          <w:tcPr>
            <w:tcW w:w="850" w:type="dxa"/>
            <w:tcBorders>
              <w:top w:val="single" w:color="auto" w:sz="4" w:space="0"/>
              <w:left w:val="nil"/>
              <w:bottom w:val="single" w:color="auto" w:sz="4" w:space="0"/>
              <w:right w:val="single" w:color="000000" w:sz="8" w:space="0"/>
            </w:tcBorders>
            <w:noWrap/>
            <w:tcMar>
              <w:top w:w="12" w:type="dxa"/>
              <w:left w:w="12" w:type="dxa"/>
              <w:right w:w="12" w:type="dxa"/>
            </w:tcMar>
            <w:vAlign w:val="center"/>
          </w:tcPr>
          <w:p>
            <w:pPr>
              <w:pStyle w:val="6"/>
              <w:pageBreakBefore w:val="0"/>
              <w:kinsoku/>
              <w:overflowPunct/>
              <w:topLinePunct w:val="0"/>
              <w:bidi w:val="0"/>
              <w:spacing w:beforeAutospacing="0" w:afterAutospacing="0"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次</w:t>
            </w:r>
          </w:p>
        </w:tc>
        <w:tc>
          <w:tcPr>
            <w:tcW w:w="709" w:type="dxa"/>
            <w:tcBorders>
              <w:top w:val="single" w:color="auto" w:sz="4" w:space="0"/>
              <w:left w:val="nil"/>
              <w:bottom w:val="single" w:color="auto" w:sz="4" w:space="0"/>
              <w:right w:val="single" w:color="000000" w:sz="8" w:space="0"/>
            </w:tcBorders>
            <w:noWrap/>
            <w:tcMar>
              <w:top w:w="12" w:type="dxa"/>
              <w:left w:w="12" w:type="dxa"/>
              <w:right w:w="12" w:type="dxa"/>
            </w:tcMar>
            <w:vAlign w:val="center"/>
          </w:tcPr>
          <w:p>
            <w:pPr>
              <w:pStyle w:val="6"/>
              <w:pageBreakBefore w:val="0"/>
              <w:kinsoku/>
              <w:overflowPunct/>
              <w:topLinePunct w:val="0"/>
              <w:bidi w:val="0"/>
              <w:spacing w:beforeAutospacing="0" w:afterAutospacing="0"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1315" w:type="dxa"/>
            <w:tcBorders>
              <w:top w:val="single" w:color="auto" w:sz="4" w:space="0"/>
              <w:left w:val="nil"/>
              <w:bottom w:val="single" w:color="auto" w:sz="4" w:space="0"/>
              <w:right w:val="single" w:color="auto" w:sz="4" w:space="0"/>
            </w:tcBorders>
            <w:tcMar>
              <w:top w:w="12" w:type="dxa"/>
              <w:left w:w="12" w:type="dxa"/>
              <w:right w:w="12" w:type="dxa"/>
            </w:tcMar>
            <w:vAlign w:val="center"/>
          </w:tcPr>
          <w:p>
            <w:pPr>
              <w:pStyle w:val="6"/>
              <w:pageBreakBefore w:val="0"/>
              <w:kinsoku/>
              <w:overflowPunct/>
              <w:topLinePunct w:val="0"/>
              <w:bidi w:val="0"/>
              <w:spacing w:beforeAutospacing="0" w:afterAutospacing="0"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900元/次</w:t>
            </w:r>
          </w:p>
        </w:tc>
        <w:tc>
          <w:tcPr>
            <w:tcW w:w="2174" w:type="dxa"/>
            <w:tcBorders>
              <w:top w:val="single" w:color="auto" w:sz="4" w:space="0"/>
              <w:left w:val="nil"/>
              <w:bottom w:val="single" w:color="auto" w:sz="4" w:space="0"/>
              <w:right w:val="single" w:color="auto" w:sz="4" w:space="0"/>
            </w:tcBorders>
            <w:vAlign w:val="center"/>
          </w:tcPr>
          <w:p>
            <w:pPr>
              <w:pStyle w:val="6"/>
              <w:pageBreakBefore w:val="0"/>
              <w:kinsoku/>
              <w:overflowPunct/>
              <w:topLinePunct w:val="0"/>
              <w:bidi w:val="0"/>
              <w:spacing w:beforeAutospacing="0" w:afterAutospacing="0" w:line="360" w:lineRule="auto"/>
              <w:jc w:val="center"/>
              <w:rPr>
                <w:rFonts w:hint="eastAsia" w:asciiTheme="minorEastAsia" w:hAnsiTheme="minorEastAsia" w:eastAsiaTheme="minorEastAsia" w:cstheme="minorEastAsia"/>
                <w:sz w:val="24"/>
                <w:szCs w:val="24"/>
                <w:lang w:val="en-US" w:eastAsia="zh-CN"/>
              </w:rPr>
            </w:pPr>
          </w:p>
        </w:tc>
      </w:tr>
      <w:tr>
        <w:tblPrEx>
          <w:tblCellMar>
            <w:top w:w="0" w:type="dxa"/>
            <w:left w:w="0" w:type="dxa"/>
            <w:bottom w:w="0" w:type="dxa"/>
            <w:right w:w="0" w:type="dxa"/>
          </w:tblCellMar>
        </w:tblPrEx>
        <w:trPr>
          <w:trHeight w:val="360" w:hRule="atLeast"/>
        </w:trPr>
        <w:tc>
          <w:tcPr>
            <w:tcW w:w="767" w:type="dxa"/>
            <w:tcBorders>
              <w:top w:val="single" w:color="auto" w:sz="4" w:space="0"/>
              <w:left w:val="single" w:color="auto" w:sz="4" w:space="0"/>
              <w:bottom w:val="single" w:color="auto" w:sz="4" w:space="0"/>
              <w:right w:val="single" w:color="000000" w:sz="8" w:space="0"/>
            </w:tcBorders>
            <w:shd w:val="clear" w:color="auto" w:fill="FFFFFF"/>
            <w:noWrap/>
            <w:tcMar>
              <w:top w:w="12" w:type="dxa"/>
              <w:left w:w="12" w:type="dxa"/>
              <w:right w:w="12" w:type="dxa"/>
            </w:tcMar>
            <w:vAlign w:val="center"/>
          </w:tcPr>
          <w:p>
            <w:pPr>
              <w:pStyle w:val="6"/>
              <w:pageBreakBefore w:val="0"/>
              <w:kinsoku/>
              <w:overflowPunct/>
              <w:topLinePunct w:val="0"/>
              <w:bidi w:val="0"/>
              <w:spacing w:beforeAutospacing="0" w:afterAutospacing="0"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p>
        </w:tc>
        <w:tc>
          <w:tcPr>
            <w:tcW w:w="1800" w:type="dxa"/>
            <w:tcBorders>
              <w:top w:val="single" w:color="auto" w:sz="4" w:space="0"/>
              <w:left w:val="nil"/>
              <w:bottom w:val="single" w:color="auto" w:sz="4" w:space="0"/>
              <w:right w:val="single" w:color="000000" w:sz="8" w:space="0"/>
            </w:tcBorders>
            <w:tcMar>
              <w:top w:w="12" w:type="dxa"/>
              <w:left w:w="12" w:type="dxa"/>
              <w:right w:w="12" w:type="dxa"/>
            </w:tcMar>
            <w:vAlign w:val="center"/>
          </w:tcPr>
          <w:p>
            <w:pPr>
              <w:pStyle w:val="6"/>
              <w:pageBreakBefore w:val="0"/>
              <w:kinsoku/>
              <w:overflowPunct/>
              <w:topLinePunct w:val="0"/>
              <w:bidi w:val="0"/>
              <w:spacing w:beforeAutospacing="0" w:afterAutospacing="0" w:line="360" w:lineRule="auto"/>
              <w:jc w:val="center"/>
              <w:rPr>
                <w:rFonts w:hint="eastAsia" w:asciiTheme="minorEastAsia" w:hAnsiTheme="minorEastAsia" w:eastAsiaTheme="minorEastAsia" w:cstheme="minorEastAsia"/>
                <w:sz w:val="24"/>
                <w:szCs w:val="24"/>
                <w:lang w:val="en-US" w:eastAsia="zh-CN"/>
              </w:rPr>
            </w:pPr>
          </w:p>
        </w:tc>
        <w:tc>
          <w:tcPr>
            <w:tcW w:w="926" w:type="dxa"/>
            <w:tcBorders>
              <w:top w:val="single" w:color="auto" w:sz="4" w:space="0"/>
              <w:left w:val="nil"/>
              <w:bottom w:val="single" w:color="auto" w:sz="4" w:space="0"/>
              <w:right w:val="single" w:color="000000" w:sz="8" w:space="0"/>
            </w:tcBorders>
            <w:noWrap/>
            <w:tcMar>
              <w:top w:w="12" w:type="dxa"/>
              <w:left w:w="12" w:type="dxa"/>
              <w:right w:w="12" w:type="dxa"/>
            </w:tcMar>
            <w:vAlign w:val="center"/>
          </w:tcPr>
          <w:p>
            <w:pPr>
              <w:pStyle w:val="6"/>
              <w:pageBreakBefore w:val="0"/>
              <w:kinsoku/>
              <w:overflowPunct/>
              <w:topLinePunct w:val="0"/>
              <w:bidi w:val="0"/>
              <w:spacing w:beforeAutospacing="0" w:afterAutospacing="0" w:line="360" w:lineRule="auto"/>
              <w:jc w:val="center"/>
              <w:rPr>
                <w:rFonts w:hint="eastAsia" w:asciiTheme="minorEastAsia" w:hAnsiTheme="minorEastAsia" w:eastAsiaTheme="minorEastAsia" w:cstheme="minorEastAsia"/>
                <w:sz w:val="24"/>
                <w:szCs w:val="24"/>
                <w:lang w:val="en-US" w:eastAsia="zh-CN"/>
              </w:rPr>
            </w:pPr>
          </w:p>
        </w:tc>
        <w:tc>
          <w:tcPr>
            <w:tcW w:w="850" w:type="dxa"/>
            <w:tcBorders>
              <w:top w:val="single" w:color="auto" w:sz="4" w:space="0"/>
              <w:left w:val="nil"/>
              <w:bottom w:val="single" w:color="auto" w:sz="4" w:space="0"/>
              <w:right w:val="single" w:color="000000" w:sz="8" w:space="0"/>
            </w:tcBorders>
            <w:noWrap/>
            <w:tcMar>
              <w:top w:w="12" w:type="dxa"/>
              <w:left w:w="12" w:type="dxa"/>
              <w:right w:w="12" w:type="dxa"/>
            </w:tcMar>
            <w:vAlign w:val="center"/>
          </w:tcPr>
          <w:p>
            <w:pPr>
              <w:pStyle w:val="6"/>
              <w:pageBreakBefore w:val="0"/>
              <w:kinsoku/>
              <w:overflowPunct/>
              <w:topLinePunct w:val="0"/>
              <w:bidi w:val="0"/>
              <w:spacing w:beforeAutospacing="0" w:afterAutospacing="0" w:line="360" w:lineRule="auto"/>
              <w:jc w:val="center"/>
              <w:rPr>
                <w:rFonts w:hint="eastAsia" w:asciiTheme="minorEastAsia" w:hAnsiTheme="minorEastAsia" w:eastAsiaTheme="minorEastAsia" w:cstheme="minorEastAsia"/>
                <w:sz w:val="24"/>
                <w:szCs w:val="24"/>
                <w:lang w:val="en-US" w:eastAsia="zh-CN"/>
              </w:rPr>
            </w:pPr>
          </w:p>
        </w:tc>
        <w:tc>
          <w:tcPr>
            <w:tcW w:w="709" w:type="dxa"/>
            <w:tcBorders>
              <w:top w:val="single" w:color="auto" w:sz="4" w:space="0"/>
              <w:left w:val="nil"/>
              <w:bottom w:val="single" w:color="auto" w:sz="4" w:space="0"/>
              <w:right w:val="single" w:color="000000" w:sz="8" w:space="0"/>
            </w:tcBorders>
            <w:noWrap/>
            <w:tcMar>
              <w:top w:w="12" w:type="dxa"/>
              <w:left w:w="12" w:type="dxa"/>
              <w:right w:w="12" w:type="dxa"/>
            </w:tcMar>
            <w:vAlign w:val="center"/>
          </w:tcPr>
          <w:p>
            <w:pPr>
              <w:pStyle w:val="6"/>
              <w:pageBreakBefore w:val="0"/>
              <w:kinsoku/>
              <w:overflowPunct/>
              <w:topLinePunct w:val="0"/>
              <w:bidi w:val="0"/>
              <w:spacing w:beforeAutospacing="0" w:afterAutospacing="0"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合计</w:t>
            </w:r>
          </w:p>
        </w:tc>
        <w:tc>
          <w:tcPr>
            <w:tcW w:w="1315" w:type="dxa"/>
            <w:tcBorders>
              <w:top w:val="single" w:color="auto" w:sz="4" w:space="0"/>
              <w:left w:val="nil"/>
              <w:bottom w:val="single" w:color="auto" w:sz="4" w:space="0"/>
              <w:right w:val="single" w:color="auto" w:sz="4" w:space="0"/>
            </w:tcBorders>
            <w:tcMar>
              <w:top w:w="12" w:type="dxa"/>
              <w:left w:w="12" w:type="dxa"/>
              <w:right w:w="12" w:type="dxa"/>
            </w:tcMar>
            <w:vAlign w:val="center"/>
          </w:tcPr>
          <w:p>
            <w:pPr>
              <w:pStyle w:val="6"/>
              <w:pageBreakBefore w:val="0"/>
              <w:kinsoku/>
              <w:overflowPunct/>
              <w:topLinePunct w:val="0"/>
              <w:bidi w:val="0"/>
              <w:spacing w:beforeAutospacing="0" w:afterAutospacing="0"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70970元</w:t>
            </w:r>
          </w:p>
        </w:tc>
        <w:tc>
          <w:tcPr>
            <w:tcW w:w="2174" w:type="dxa"/>
            <w:tcBorders>
              <w:top w:val="single" w:color="auto" w:sz="4" w:space="0"/>
              <w:left w:val="nil"/>
              <w:bottom w:val="single" w:color="auto" w:sz="4" w:space="0"/>
              <w:right w:val="single" w:color="auto" w:sz="4" w:space="0"/>
            </w:tcBorders>
            <w:vAlign w:val="center"/>
          </w:tcPr>
          <w:p>
            <w:pPr>
              <w:pStyle w:val="6"/>
              <w:pageBreakBefore w:val="0"/>
              <w:kinsoku/>
              <w:overflowPunct/>
              <w:topLinePunct w:val="0"/>
              <w:bidi w:val="0"/>
              <w:spacing w:beforeAutospacing="0" w:afterAutospacing="0" w:line="360" w:lineRule="auto"/>
              <w:jc w:val="center"/>
              <w:rPr>
                <w:rFonts w:hint="eastAsia" w:asciiTheme="minorEastAsia" w:hAnsiTheme="minorEastAsia" w:eastAsiaTheme="minorEastAsia" w:cstheme="minorEastAsia"/>
                <w:sz w:val="24"/>
                <w:szCs w:val="24"/>
                <w:lang w:val="en-US" w:eastAsia="zh-CN"/>
              </w:rPr>
            </w:pPr>
          </w:p>
        </w:tc>
      </w:tr>
    </w:tbl>
    <w:p>
      <w:pPr>
        <w:pStyle w:val="6"/>
        <w:keepNext w:val="0"/>
        <w:keepLines w:val="0"/>
        <w:pageBreakBefore w:val="0"/>
        <w:kinsoku/>
        <w:wordWrap/>
        <w:overflowPunct/>
        <w:topLinePunct w:val="0"/>
        <w:autoSpaceDE/>
        <w:autoSpaceDN/>
        <w:bidi w:val="0"/>
        <w:adjustRightInd/>
        <w:snapToGrid/>
        <w:spacing w:beforeAutospacing="0" w:afterAutospacing="0" w:line="360" w:lineRule="auto"/>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bCs/>
          <w:kern w:val="2"/>
          <w:sz w:val="24"/>
          <w:szCs w:val="24"/>
          <w:lang w:val="en-US" w:eastAsia="zh-CN" w:bidi="ar-SA"/>
        </w:rPr>
        <w:t>（五）售后服务条件及交货日期（或工期）：</w:t>
      </w:r>
      <w:r>
        <w:rPr>
          <w:rFonts w:hint="eastAsia" w:ascii="宋体" w:hAnsi="宋体" w:eastAsia="宋体" w:cs="宋体"/>
          <w:b w:val="0"/>
          <w:bCs w:val="0"/>
          <w:kern w:val="2"/>
          <w:sz w:val="24"/>
          <w:szCs w:val="24"/>
          <w:lang w:val="en-US" w:eastAsia="zh-CN" w:bidi="ar-SA"/>
        </w:rPr>
        <w:t>自合同签订之日起15天之内完成；在检测期间做好气体灭火防护区内消防安全防范措施，提供相应检测报告、检测合格证。</w:t>
      </w:r>
    </w:p>
    <w:p>
      <w:pPr>
        <w:pStyle w:val="6"/>
        <w:keepNext w:val="0"/>
        <w:keepLines w:val="0"/>
        <w:pageBreakBefore w:val="0"/>
        <w:kinsoku/>
        <w:wordWrap/>
        <w:overflowPunct/>
        <w:topLinePunct w:val="0"/>
        <w:autoSpaceDE/>
        <w:autoSpaceDN/>
        <w:bidi w:val="0"/>
        <w:adjustRightInd/>
        <w:snapToGrid/>
        <w:spacing w:beforeAutospacing="0" w:afterAutospacing="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w:t>
      </w:r>
    </w:p>
    <w:p>
      <w:pPr>
        <w:pStyle w:val="6"/>
        <w:keepNext w:val="0"/>
        <w:keepLines w:val="0"/>
        <w:pageBreakBefore w:val="0"/>
        <w:kinsoku/>
        <w:wordWrap/>
        <w:overflowPunct/>
        <w:topLinePunct w:val="0"/>
        <w:autoSpaceDE/>
        <w:autoSpaceDN/>
        <w:bidi w:val="0"/>
        <w:adjustRightInd/>
        <w:snapToGrid/>
        <w:spacing w:beforeAutospacing="0" w:afterAutospacing="0" w:line="360" w:lineRule="auto"/>
        <w:jc w:val="center"/>
        <w:rPr>
          <w:b/>
          <w:bCs/>
          <w:color w:val="auto"/>
          <w:sz w:val="24"/>
          <w:szCs w:val="24"/>
          <w:highlight w:val="none"/>
        </w:rPr>
      </w:pPr>
      <w:r>
        <w:rPr>
          <w:rFonts w:hint="eastAsia"/>
          <w:b/>
          <w:bCs/>
          <w:color w:val="auto"/>
          <w:sz w:val="24"/>
          <w:szCs w:val="24"/>
          <w:highlight w:val="none"/>
        </w:rPr>
        <w:t>商务要求</w:t>
      </w:r>
    </w:p>
    <w:tbl>
      <w:tblPr>
        <w:tblStyle w:val="31"/>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6"/>
              <w:pageBreakBefore w:val="0"/>
              <w:kinsoku/>
              <w:overflowPunct/>
              <w:topLinePunct w:val="0"/>
              <w:bidi w:val="0"/>
              <w:spacing w:beforeAutospacing="0" w:afterAutospacing="0" w:line="360" w:lineRule="auto"/>
              <w:ind w:left="0"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6"/>
              <w:pageBreakBefore w:val="0"/>
              <w:kinsoku/>
              <w:overflowPunct/>
              <w:topLinePunct w:val="0"/>
              <w:bidi w:val="0"/>
              <w:spacing w:beforeAutospacing="0" w:afterAutospacing="0" w:line="360" w:lineRule="auto"/>
              <w:ind w:left="0" w:left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自中标通知书发出之日起</w:t>
            </w:r>
            <w:r>
              <w:rPr>
                <w:rFonts w:hint="eastAsia" w:cs="宋体"/>
                <w:sz w:val="24"/>
                <w:szCs w:val="24"/>
                <w:lang w:val="en-US" w:eastAsia="zh-CN"/>
              </w:rPr>
              <w:t>三十</w:t>
            </w:r>
            <w:r>
              <w:rPr>
                <w:rFonts w:hint="eastAsia" w:ascii="宋体" w:hAnsi="宋体" w:eastAsia="宋体" w:cs="宋体"/>
                <w:sz w:val="24"/>
                <w:szCs w:val="24"/>
                <w:lang w:val="en-US" w:eastAsia="zh-CN"/>
              </w:rPr>
              <w:t>个</w:t>
            </w:r>
            <w:r>
              <w:rPr>
                <w:rFonts w:hint="eastAsia" w:cs="宋体"/>
                <w:sz w:val="24"/>
                <w:szCs w:val="24"/>
                <w:lang w:val="en-US" w:eastAsia="zh-CN"/>
              </w:rPr>
              <w:t>日历天</w:t>
            </w:r>
            <w:r>
              <w:rPr>
                <w:rFonts w:hint="eastAsia" w:ascii="宋体" w:hAnsi="宋体" w:eastAsia="宋体" w:cs="宋体"/>
                <w:sz w:val="24"/>
                <w:szCs w:val="24"/>
                <w:lang w:val="en-US" w:eastAsia="zh-CN"/>
              </w:rPr>
              <w:t>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6"/>
              <w:pageBreakBefore w:val="0"/>
              <w:kinsoku/>
              <w:overflowPunct/>
              <w:topLinePunct w:val="0"/>
              <w:bidi w:val="0"/>
              <w:spacing w:beforeAutospacing="0" w:afterAutospacing="0" w:line="360" w:lineRule="auto"/>
              <w:ind w:left="0" w:lef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6"/>
              <w:pageBreakBefore w:val="0"/>
              <w:kinsoku/>
              <w:overflowPunct/>
              <w:topLinePunct w:val="0"/>
              <w:bidi w:val="0"/>
              <w:spacing w:beforeAutospacing="0" w:afterAutospacing="0" w:line="360" w:lineRule="auto"/>
              <w:ind w:left="0" w:leftChars="0"/>
              <w:jc w:val="left"/>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6"/>
              <w:pageBreakBefore w:val="0"/>
              <w:kinsoku/>
              <w:overflowPunct/>
              <w:topLinePunct w:val="0"/>
              <w:bidi w:val="0"/>
              <w:spacing w:beforeAutospacing="0" w:afterAutospacing="0" w:line="360" w:lineRule="auto"/>
              <w:ind w:left="0" w:lef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验   收</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6"/>
              <w:pageBreakBefore w:val="0"/>
              <w:kinsoku/>
              <w:overflowPunct/>
              <w:topLinePunct w:val="0"/>
              <w:bidi w:val="0"/>
              <w:spacing w:beforeAutospacing="0" w:afterAutospacing="0" w:line="360" w:lineRule="auto"/>
              <w:ind w:left="0" w:leftChars="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6"/>
              <w:pageBreakBefore w:val="0"/>
              <w:kinsoku/>
              <w:overflowPunct/>
              <w:topLinePunct w:val="0"/>
              <w:bidi w:val="0"/>
              <w:spacing w:beforeAutospacing="0" w:afterAutospacing="0" w:line="360" w:lineRule="auto"/>
              <w:ind w:left="0"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6"/>
              <w:pageBreakBefore w:val="0"/>
              <w:kinsoku/>
              <w:overflowPunct/>
              <w:topLinePunct w:val="0"/>
              <w:bidi w:val="0"/>
              <w:spacing w:beforeAutospacing="0" w:afterAutospacing="0" w:line="360" w:lineRule="auto"/>
              <w:ind w:left="0" w:left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合格。</w:t>
            </w:r>
            <w:r>
              <w:rPr>
                <w:rFonts w:hint="eastAsia" w:cs="宋体"/>
                <w:color w:val="auto"/>
                <w:sz w:val="24"/>
                <w:szCs w:val="24"/>
                <w:highlight w:val="none"/>
                <w:lang w:val="en-US" w:eastAsia="zh-CN"/>
              </w:rPr>
              <w:t>（以采购人要求为准）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6"/>
              <w:pageBreakBefore w:val="0"/>
              <w:kinsoku/>
              <w:overflowPunct/>
              <w:topLinePunct w:val="0"/>
              <w:bidi w:val="0"/>
              <w:spacing w:beforeAutospacing="0" w:afterAutospacing="0" w:line="360" w:lineRule="auto"/>
              <w:ind w:left="0"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6"/>
              <w:pageBreakBefore w:val="0"/>
              <w:kinsoku/>
              <w:overflowPunct/>
              <w:topLinePunct w:val="0"/>
              <w:bidi w:val="0"/>
              <w:spacing w:beforeAutospacing="0" w:afterAutospacing="0" w:line="360" w:lineRule="auto"/>
              <w:ind w:left="0" w:left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以合同签订为准。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6"/>
              <w:pageBreakBefore w:val="0"/>
              <w:kinsoku/>
              <w:overflowPunct/>
              <w:topLinePunct w:val="0"/>
              <w:bidi w:val="0"/>
              <w:spacing w:beforeAutospacing="0" w:afterAutospacing="0" w:line="360" w:lineRule="auto"/>
              <w:ind w:left="0"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售后技术服务要求、售后服务保障要求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6"/>
              <w:pageBreakBefore w:val="0"/>
              <w:kinsoku/>
              <w:overflowPunct/>
              <w:topLinePunct w:val="0"/>
              <w:bidi w:val="0"/>
              <w:spacing w:beforeAutospacing="0" w:afterAutospacing="0" w:line="360" w:lineRule="auto"/>
              <w:ind w:left="0" w:left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中标人须提供后期服务保障和技术支持。</w:t>
            </w:r>
          </w:p>
        </w:tc>
      </w:tr>
    </w:tbl>
    <w:p>
      <w:pPr>
        <w:pageBreakBefore w:val="0"/>
        <w:kinsoku/>
        <w:overflowPunct/>
        <w:topLinePunct w:val="0"/>
        <w:bidi w:val="0"/>
        <w:snapToGrid w:val="0"/>
        <w:spacing w:beforeAutospacing="0" w:afterAutospacing="0" w:line="360" w:lineRule="auto"/>
        <w:jc w:val="center"/>
        <w:rPr>
          <w:b/>
          <w:bCs/>
          <w:color w:val="auto"/>
          <w:sz w:val="24"/>
          <w:szCs w:val="24"/>
          <w:highlight w:val="none"/>
        </w:rPr>
      </w:pPr>
      <w:r>
        <w:rPr>
          <w:rFonts w:hint="eastAsia"/>
          <w:b/>
          <w:bCs/>
          <w:color w:val="auto"/>
          <w:sz w:val="24"/>
          <w:szCs w:val="24"/>
          <w:highlight w:val="none"/>
        </w:rPr>
        <w:t xml:space="preserve"> 采购人对项目的特殊要求及说明</w:t>
      </w:r>
    </w:p>
    <w:tbl>
      <w:tblPr>
        <w:tblStyle w:val="31"/>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4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bidi w:val="0"/>
              <w:snapToGrid w:val="0"/>
              <w:spacing w:beforeAutospacing="0" w:afterAutospacing="0"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pPr>
              <w:pageBreakBefore w:val="0"/>
              <w:widowControl/>
              <w:numPr>
                <w:ilvl w:val="0"/>
                <w:numId w:val="2"/>
              </w:numPr>
              <w:kinsoku/>
              <w:overflowPunct/>
              <w:topLinePunct w:val="0"/>
              <w:bidi w:val="0"/>
              <w:snapToGrid w:val="0"/>
              <w:spacing w:beforeAutospacing="0" w:afterAutospacing="0" w:line="360" w:lineRule="auto"/>
              <w:rPr>
                <w:sz w:val="24"/>
                <w:szCs w:val="24"/>
              </w:rPr>
            </w:pPr>
            <w:r>
              <w:rPr>
                <w:rFonts w:hint="eastAsia"/>
                <w:sz w:val="24"/>
                <w:szCs w:val="24"/>
              </w:rPr>
              <w:t>不接受联合体投标，不允许转包和分包。</w:t>
            </w:r>
          </w:p>
          <w:p>
            <w:pPr>
              <w:pageBreakBefore w:val="0"/>
              <w:widowControl/>
              <w:kinsoku/>
              <w:overflowPunct/>
              <w:topLinePunct w:val="0"/>
              <w:bidi w:val="0"/>
              <w:snapToGrid w:val="0"/>
              <w:spacing w:beforeAutospacing="0" w:afterAutospacing="0" w:line="360" w:lineRule="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2、授权评标委员会确定一名中标人并推荐</w:t>
            </w:r>
            <w:r>
              <w:rPr>
                <w:rFonts w:hint="eastAsia" w:cs="Times New Roman"/>
                <w:sz w:val="24"/>
                <w:szCs w:val="24"/>
                <w:lang w:val="en-US" w:eastAsia="zh-CN"/>
              </w:rPr>
              <w:t>一</w:t>
            </w:r>
            <w:r>
              <w:rPr>
                <w:rFonts w:hint="eastAsia" w:ascii="Times New Roman" w:hAnsi="Times New Roman" w:eastAsia="宋体" w:cs="Times New Roman"/>
                <w:sz w:val="24"/>
                <w:szCs w:val="24"/>
                <w:lang w:val="en-US" w:eastAsia="zh-CN"/>
              </w:rPr>
              <w:t>名中标候选人。</w:t>
            </w:r>
          </w:p>
          <w:p>
            <w:pPr>
              <w:pageBreakBefore w:val="0"/>
              <w:widowControl/>
              <w:kinsoku/>
              <w:overflowPunct/>
              <w:topLinePunct w:val="0"/>
              <w:bidi w:val="0"/>
              <w:snapToGrid w:val="0"/>
              <w:spacing w:beforeAutospacing="0" w:afterAutospacing="0" w:line="360" w:lineRule="auto"/>
              <w:rPr>
                <w:rFonts w:hint="default" w:eastAsia="宋体"/>
                <w:sz w:val="24"/>
                <w:szCs w:val="24"/>
                <w:lang w:val="en-US" w:eastAsia="zh-CN"/>
              </w:rPr>
            </w:pPr>
            <w:r>
              <w:rPr>
                <w:rFonts w:hint="eastAsia" w:ascii="Times New Roman" w:hAnsi="Times New Roman" w:eastAsia="宋体" w:cs="Times New Roman"/>
                <w:sz w:val="24"/>
                <w:szCs w:val="24"/>
                <w:lang w:val="en-US" w:eastAsia="zh-CN"/>
              </w:rPr>
              <w:t>3、供应商应根据采购文件的要求提供技术响应表、商务响应表等内容以对采购文件作出响应。</w:t>
            </w:r>
          </w:p>
        </w:tc>
      </w:tr>
    </w:tbl>
    <w:p>
      <w:pPr>
        <w:pageBreakBefore w:val="0"/>
        <w:kinsoku/>
        <w:overflowPunct/>
        <w:topLinePunct w:val="0"/>
        <w:bidi w:val="0"/>
        <w:spacing w:beforeAutospacing="0" w:afterAutospacing="0" w:line="360" w:lineRule="auto"/>
        <w:rPr>
          <w:color w:val="auto"/>
          <w:highlight w:val="none"/>
        </w:rPr>
      </w:pPr>
    </w:p>
    <w:p>
      <w:pPr>
        <w:pageBreakBefore w:val="0"/>
        <w:kinsoku/>
        <w:overflowPunct/>
        <w:topLinePunct w:val="0"/>
        <w:bidi w:val="0"/>
        <w:spacing w:beforeAutospacing="0" w:afterAutospacing="0" w:line="360" w:lineRule="auto"/>
        <w:jc w:val="center"/>
        <w:rPr>
          <w:rFonts w:hint="eastAsia"/>
          <w:b/>
          <w:bCs/>
          <w:color w:val="auto"/>
          <w:sz w:val="32"/>
          <w:szCs w:val="32"/>
          <w:highlight w:val="none"/>
        </w:rPr>
      </w:pPr>
    </w:p>
    <w:p>
      <w:pPr>
        <w:pageBreakBefore w:val="0"/>
        <w:kinsoku/>
        <w:overflowPunct/>
        <w:topLinePunct w:val="0"/>
        <w:bidi w:val="0"/>
        <w:spacing w:beforeAutospacing="0" w:afterAutospacing="0" w:line="360" w:lineRule="auto"/>
        <w:jc w:val="center"/>
        <w:rPr>
          <w:rFonts w:hint="eastAsia"/>
          <w:b/>
          <w:bCs/>
          <w:color w:val="auto"/>
          <w:sz w:val="32"/>
          <w:szCs w:val="32"/>
          <w:highlight w:val="none"/>
        </w:rPr>
      </w:pPr>
    </w:p>
    <w:p>
      <w:pPr>
        <w:pageBreakBefore w:val="0"/>
        <w:kinsoku/>
        <w:overflowPunct/>
        <w:topLinePunct w:val="0"/>
        <w:bidi w:val="0"/>
        <w:spacing w:beforeAutospacing="0" w:afterAutospacing="0" w:line="360" w:lineRule="auto"/>
        <w:rPr>
          <w:rFonts w:hint="eastAsia"/>
          <w:b/>
          <w:bCs/>
          <w:color w:val="auto"/>
          <w:sz w:val="32"/>
          <w:szCs w:val="32"/>
          <w:highlight w:val="none"/>
        </w:rPr>
      </w:pPr>
      <w:r>
        <w:rPr>
          <w:rFonts w:hint="eastAsia"/>
          <w:b/>
          <w:bCs/>
          <w:color w:val="auto"/>
          <w:sz w:val="32"/>
          <w:szCs w:val="32"/>
          <w:highlight w:val="none"/>
        </w:rPr>
        <w:br w:type="page"/>
      </w:r>
    </w:p>
    <w:p>
      <w:pPr>
        <w:pageBreakBefore w:val="0"/>
        <w:kinsoku/>
        <w:overflowPunct/>
        <w:topLinePunct w:val="0"/>
        <w:bidi w:val="0"/>
        <w:spacing w:beforeAutospacing="0" w:afterAutospacing="0" w:line="360" w:lineRule="auto"/>
        <w:jc w:val="center"/>
        <w:outlineLvl w:val="0"/>
        <w:rPr>
          <w:b/>
          <w:bCs/>
          <w:color w:val="auto"/>
          <w:sz w:val="32"/>
          <w:szCs w:val="32"/>
          <w:highlight w:val="none"/>
        </w:rPr>
      </w:pPr>
      <w:bookmarkStart w:id="35" w:name="_Toc13209"/>
      <w:r>
        <w:rPr>
          <w:rFonts w:hint="eastAsia"/>
          <w:b/>
          <w:bCs/>
          <w:color w:val="auto"/>
          <w:sz w:val="32"/>
          <w:szCs w:val="32"/>
          <w:highlight w:val="none"/>
        </w:rPr>
        <w:t>第三章  投标人须知</w:t>
      </w:r>
      <w:bookmarkEnd w:id="35"/>
    </w:p>
    <w:p>
      <w:pPr>
        <w:pageBreakBefore w:val="0"/>
        <w:kinsoku/>
        <w:overflowPunct/>
        <w:topLinePunct w:val="0"/>
        <w:bidi w:val="0"/>
        <w:snapToGrid w:val="0"/>
        <w:spacing w:beforeAutospacing="0" w:afterAutospacing="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1"/>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left"/>
              <w:outlineLvl w:val="0"/>
              <w:rPr>
                <w:rFonts w:hint="eastAsia" w:ascii="宋体" w:hAnsi="宋体" w:eastAsia="宋体" w:cs="宋体"/>
                <w:sz w:val="24"/>
                <w:szCs w:val="24"/>
              </w:rPr>
            </w:pPr>
            <w:bookmarkStart w:id="36" w:name="_Toc20762"/>
            <w:r>
              <w:rPr>
                <w:rFonts w:hint="eastAsia" w:ascii="宋体" w:hAnsi="宋体" w:eastAsia="宋体" w:cs="宋体"/>
                <w:color w:val="auto"/>
                <w:sz w:val="24"/>
                <w:szCs w:val="24"/>
                <w:highlight w:val="none"/>
              </w:rPr>
              <w:t>1.1 项目名称：</w:t>
            </w:r>
            <w:r>
              <w:rPr>
                <w:rFonts w:hint="eastAsia" w:ascii="宋体" w:hAnsi="宋体" w:eastAsia="宋体" w:cs="宋体"/>
                <w:color w:val="auto"/>
                <w:sz w:val="24"/>
                <w:szCs w:val="24"/>
                <w:highlight w:val="none"/>
                <w:lang w:val="en-US" w:eastAsia="zh-CN"/>
              </w:rPr>
              <w:t>驻马店市中心医院七氟丙烷气体灭火钢瓶检测</w:t>
            </w:r>
            <w:bookmarkEnd w:id="36"/>
          </w:p>
          <w:p>
            <w:pPr>
              <w:pageBreakBefore w:val="0"/>
              <w:widowControl/>
              <w:kinsoku/>
              <w:overflowPunct/>
              <w:topLinePunct w:val="0"/>
              <w:bidi w:val="0"/>
              <w:snapToGrid w:val="0"/>
              <w:spacing w:beforeAutospacing="0" w:afterAutospacing="0" w:line="360" w:lineRule="auto"/>
              <w:jc w:val="left"/>
              <w:outlineLvl w:val="0"/>
              <w:rPr>
                <w:rFonts w:hint="eastAsia" w:ascii="宋体" w:hAnsi="宋体" w:eastAsia="宋体" w:cs="宋体"/>
                <w:color w:val="auto"/>
                <w:sz w:val="24"/>
                <w:szCs w:val="24"/>
                <w:highlight w:val="none"/>
              </w:rPr>
            </w:pPr>
            <w:bookmarkStart w:id="37" w:name="_Toc28637"/>
            <w:r>
              <w:rPr>
                <w:rFonts w:hint="eastAsia" w:ascii="宋体" w:hAnsi="宋体" w:eastAsia="宋体" w:cs="宋体"/>
                <w:color w:val="auto"/>
                <w:sz w:val="24"/>
                <w:szCs w:val="24"/>
                <w:highlight w:val="none"/>
              </w:rPr>
              <w:t>1.2 采购人名称：驻马店市中心医院</w:t>
            </w:r>
            <w:bookmarkEnd w:id="37"/>
          </w:p>
          <w:p>
            <w:pPr>
              <w:pageBreakBefore w:val="0"/>
              <w:widowControl/>
              <w:kinsoku/>
              <w:overflowPunct/>
              <w:topLinePunct w:val="0"/>
              <w:bidi w:val="0"/>
              <w:snapToGrid w:val="0"/>
              <w:spacing w:beforeAutospacing="0" w:afterAutospacing="0" w:line="360" w:lineRule="auto"/>
              <w:jc w:val="left"/>
              <w:outlineLvl w:val="0"/>
              <w:rPr>
                <w:rFonts w:hint="eastAsia" w:ascii="宋体" w:hAnsi="宋体" w:eastAsia="宋体" w:cs="宋体"/>
                <w:color w:val="auto"/>
                <w:kern w:val="2"/>
                <w:sz w:val="24"/>
                <w:szCs w:val="24"/>
                <w:highlight w:val="none"/>
                <w:lang w:val="en-US" w:eastAsia="zh-CN" w:bidi="ar-SA"/>
              </w:rPr>
            </w:pPr>
            <w:bookmarkStart w:id="38" w:name="_Toc14512"/>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采购范围：详</w:t>
            </w:r>
            <w:r>
              <w:rPr>
                <w:rFonts w:hint="eastAsia" w:ascii="宋体" w:hAnsi="宋体" w:eastAsia="宋体" w:cs="宋体"/>
                <w:color w:val="auto"/>
                <w:sz w:val="24"/>
                <w:szCs w:val="24"/>
                <w:highlight w:val="none"/>
                <w:lang w:val="en-US" w:eastAsia="zh-CN"/>
              </w:rPr>
              <w:t>见第二章采购</w:t>
            </w:r>
            <w:r>
              <w:rPr>
                <w:rFonts w:hint="eastAsia" w:ascii="宋体" w:hAnsi="宋体" w:eastAsia="宋体" w:cs="宋体"/>
                <w:color w:val="auto"/>
                <w:sz w:val="24"/>
                <w:szCs w:val="24"/>
                <w:highlight w:val="none"/>
              </w:rPr>
              <w:t>需求</w:t>
            </w:r>
            <w:bookmarkEnd w:id="38"/>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合格投标人：具备</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本次采购预算：7.097</w:t>
            </w:r>
            <w:r>
              <w:rPr>
                <w:rFonts w:hint="eastAsia" w:ascii="宋体" w:hAnsi="宋体" w:eastAsia="宋体" w:cs="宋体"/>
                <w:color w:val="auto"/>
                <w:kern w:val="0"/>
                <w:sz w:val="24"/>
                <w:szCs w:val="24"/>
                <w:highlight w:val="none"/>
                <w:lang w:val="en-US" w:eastAsia="zh-CN"/>
              </w:rPr>
              <w:t>万</w:t>
            </w:r>
            <w:r>
              <w:rPr>
                <w:rFonts w:hint="eastAsia" w:ascii="宋体" w:hAnsi="宋体" w:eastAsia="宋体" w:cs="宋体"/>
                <w:color w:val="auto"/>
                <w:kern w:val="0"/>
                <w:sz w:val="24"/>
                <w:szCs w:val="24"/>
                <w:highlight w:val="none"/>
              </w:rPr>
              <w:t>元</w:t>
            </w:r>
            <w:r>
              <w:rPr>
                <w:rFonts w:hint="eastAsia" w:ascii="宋体" w:hAnsi="宋体" w:eastAsia="宋体" w:cs="宋体"/>
                <w:color w:val="auto"/>
                <w:kern w:val="0"/>
                <w:sz w:val="24"/>
                <w:szCs w:val="24"/>
                <w:highlight w:val="none"/>
                <w:lang w:val="en-US" w:eastAsia="zh-CN"/>
              </w:rPr>
              <w:t>。</w:t>
            </w:r>
          </w:p>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 本项目投标以人民币报价。</w:t>
            </w:r>
          </w:p>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 供应商的报价超过采购预算，采购人不能支付的，按废标处理。</w:t>
            </w:r>
          </w:p>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 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sz w:val="24"/>
                <w:szCs w:val="24"/>
              </w:rPr>
            </w:pPr>
            <w:r>
              <w:rPr>
                <w:rFonts w:hint="eastAsia" w:ascii="宋体" w:hAnsi="宋体" w:eastAsia="宋体" w:cs="宋体"/>
                <w:sz w:val="24"/>
                <w:szCs w:val="24"/>
              </w:rPr>
              <w:t>投标文件组成：纸质投标文件正本1份</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副本2份</w:t>
            </w:r>
            <w:r>
              <w:rPr>
                <w:rFonts w:hint="eastAsia" w:ascii="宋体" w:hAnsi="宋体" w:eastAsia="宋体" w:cs="宋体"/>
                <w:sz w:val="24"/>
                <w:szCs w:val="24"/>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投标截止时间</w:t>
            </w:r>
            <w:r>
              <w:rPr>
                <w:rFonts w:hint="eastAsia" w:ascii="宋体" w:hAnsi="宋体" w:eastAsia="宋体" w:cs="宋体"/>
                <w:color w:val="auto"/>
                <w:kern w:val="0"/>
                <w:sz w:val="24"/>
                <w:szCs w:val="24"/>
                <w:highlight w:val="none"/>
                <w:lang w:val="en-US" w:eastAsia="zh-CN"/>
              </w:rPr>
              <w:t>及开标时间</w:t>
            </w:r>
            <w:r>
              <w:rPr>
                <w:rFonts w:hint="eastAsia" w:ascii="宋体" w:hAnsi="宋体" w:eastAsia="宋体" w:cs="宋体"/>
                <w:color w:val="auto"/>
                <w:kern w:val="0"/>
                <w:sz w:val="24"/>
                <w:szCs w:val="24"/>
                <w:highlight w:val="none"/>
              </w:rPr>
              <w:t>：</w:t>
            </w:r>
            <w:r>
              <w:rPr>
                <w:rFonts w:hint="eastAsia" w:ascii="宋体" w:hAnsi="宋体" w:eastAsia="宋体" w:cs="宋体"/>
                <w:color w:val="000000"/>
                <w:sz w:val="24"/>
                <w:szCs w:val="24"/>
                <w:highlight w:val="none"/>
                <w:lang w:val="en-US" w:eastAsia="zh-CN"/>
              </w:rPr>
              <w:t>另行通知</w:t>
            </w:r>
          </w:p>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投标文件递交地点</w:t>
            </w:r>
            <w:r>
              <w:rPr>
                <w:rFonts w:hint="eastAsia" w:ascii="宋体" w:hAnsi="宋体" w:eastAsia="宋体" w:cs="宋体"/>
                <w:color w:val="auto"/>
                <w:kern w:val="0"/>
                <w:sz w:val="24"/>
                <w:szCs w:val="24"/>
                <w:highlight w:val="none"/>
                <w:lang w:val="en-US" w:eastAsia="zh-CN"/>
              </w:rPr>
              <w:t>及开标地点</w:t>
            </w:r>
            <w:r>
              <w:rPr>
                <w:rFonts w:hint="eastAsia" w:ascii="宋体" w:hAnsi="宋体" w:eastAsia="宋体" w:cs="宋体"/>
                <w:color w:val="auto"/>
                <w:kern w:val="0"/>
                <w:sz w:val="24"/>
                <w:szCs w:val="24"/>
                <w:highlight w:val="none"/>
              </w:rPr>
              <w:t>：</w:t>
            </w:r>
            <w:r>
              <w:rPr>
                <w:rFonts w:hint="eastAsia" w:ascii="宋体" w:hAnsi="宋体" w:eastAsia="宋体" w:cs="宋体"/>
                <w:color w:val="000000"/>
                <w:sz w:val="24"/>
                <w:szCs w:val="24"/>
                <w:highlight w:val="none"/>
                <w:lang w:val="en-US" w:eastAsia="zh-CN"/>
              </w:rPr>
              <w:t>另行通知</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pageBreakBefore w:val="0"/>
              <w:kinsoku/>
              <w:overflowPunct/>
              <w:topLinePunct w:val="0"/>
              <w:bidi w:val="0"/>
              <w:spacing w:beforeAutospacing="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评审委员会成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val="en-US" w:eastAsia="zh-CN"/>
              </w:rPr>
              <w:t>及以上单数</w:t>
            </w:r>
            <w:r>
              <w:rPr>
                <w:rFonts w:hint="eastAsia" w:ascii="宋体" w:hAnsi="宋体" w:eastAsia="宋体" w:cs="宋体"/>
                <w:color w:val="auto"/>
                <w:kern w:val="0"/>
                <w:sz w:val="24"/>
                <w:szCs w:val="24"/>
                <w:highlight w:val="none"/>
              </w:rPr>
              <w:t>。</w:t>
            </w:r>
          </w:p>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由采购人</w:t>
            </w:r>
            <w:r>
              <w:rPr>
                <w:rFonts w:hint="eastAsia" w:ascii="宋体" w:hAnsi="宋体" w:eastAsia="宋体" w:cs="宋体"/>
                <w:color w:val="auto"/>
                <w:kern w:val="0"/>
                <w:sz w:val="24"/>
                <w:szCs w:val="24"/>
                <w:highlight w:val="none"/>
                <w:lang w:val="en-US" w:eastAsia="zh-CN"/>
              </w:rPr>
              <w:t>抽取相关的技术人员组成</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pageBreakBefore w:val="0"/>
              <w:kinsoku/>
              <w:overflowPunct/>
              <w:topLinePunct w:val="0"/>
              <w:bidi w:val="0"/>
              <w:spacing w:beforeAutospacing="0" w:afterAutospacing="0"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中标公告及中标通知书：由采购人授权评标委员会确定一名中标人并推荐</w:t>
            </w:r>
            <w:r>
              <w:rPr>
                <w:rFonts w:hint="eastAsia" w:ascii="宋体" w:hAnsi="宋体" w:eastAsia="宋体" w:cs="宋体"/>
                <w:color w:val="auto"/>
                <w:kern w:val="0"/>
                <w:sz w:val="24"/>
                <w:szCs w:val="24"/>
                <w:highlight w:val="none"/>
                <w:lang w:eastAsia="zh-CN"/>
              </w:rPr>
              <w:t>一</w:t>
            </w:r>
            <w:r>
              <w:rPr>
                <w:rFonts w:hint="eastAsia" w:ascii="宋体" w:hAnsi="宋体" w:eastAsia="宋体" w:cs="宋体"/>
                <w:color w:val="auto"/>
                <w:kern w:val="0"/>
                <w:sz w:val="24"/>
                <w:szCs w:val="24"/>
                <w:highlight w:val="none"/>
              </w:rPr>
              <w:t>名中标候选人。评审结束后</w:t>
            </w:r>
            <w:r>
              <w:rPr>
                <w:rFonts w:hint="eastAsia" w:ascii="宋体" w:hAnsi="宋体" w:eastAsia="宋体" w:cs="宋体"/>
                <w:color w:val="auto"/>
                <w:kern w:val="0"/>
                <w:sz w:val="24"/>
                <w:szCs w:val="24"/>
                <w:highlight w:val="none"/>
                <w:lang w:val="en-US" w:eastAsia="zh-CN"/>
              </w:rPr>
              <w:t>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驻马店市中心医院网</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上发布中标公告，</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签订合同：自中标通知书发出之日起</w:t>
            </w:r>
            <w:r>
              <w:rPr>
                <w:rFonts w:hint="eastAsia" w:ascii="宋体" w:hAnsi="宋体" w:eastAsia="宋体" w:cs="宋体"/>
                <w:sz w:val="24"/>
                <w:szCs w:val="24"/>
                <w:lang w:val="en-US" w:eastAsia="zh-CN"/>
              </w:rPr>
              <w:t>三十个日历天内</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FF0000"/>
                <w:kern w:val="0"/>
                <w:sz w:val="24"/>
                <w:szCs w:val="24"/>
                <w:highlight w:val="none"/>
              </w:rPr>
            </w:pPr>
            <w:r>
              <w:rPr>
                <w:rFonts w:hint="eastAsia" w:ascii="宋体" w:hAnsi="宋体" w:eastAsia="宋体" w:cs="宋体"/>
                <w:color w:val="auto"/>
                <w:kern w:val="0"/>
                <w:sz w:val="24"/>
                <w:szCs w:val="24"/>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FF0000"/>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付款方式：详见第二章</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需求。</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投标文件有效期：投标</w:t>
            </w:r>
            <w:r>
              <w:rPr>
                <w:rFonts w:hint="eastAsia" w:ascii="宋体" w:hAnsi="宋体" w:eastAsia="宋体" w:cs="宋体"/>
                <w:color w:val="auto"/>
                <w:kern w:val="0"/>
                <w:sz w:val="24"/>
                <w:szCs w:val="24"/>
                <w:highlight w:val="none"/>
                <w:lang w:val="en-US" w:eastAsia="zh-CN"/>
              </w:rPr>
              <w:t>文件递交</w:t>
            </w:r>
            <w:r>
              <w:rPr>
                <w:rFonts w:hint="eastAsia" w:ascii="宋体" w:hAnsi="宋体" w:eastAsia="宋体" w:cs="宋体"/>
                <w:color w:val="auto"/>
                <w:kern w:val="0"/>
                <w:sz w:val="24"/>
                <w:szCs w:val="24"/>
                <w:highlight w:val="none"/>
              </w:rPr>
              <w:t>截止期结束后</w:t>
            </w:r>
            <w:r>
              <w:rPr>
                <w:rFonts w:hint="eastAsia" w:ascii="宋体" w:hAnsi="宋体" w:eastAsia="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eastAsia="宋体" w:cs="宋体"/>
                <w:color w:val="auto"/>
                <w:sz w:val="24"/>
                <w:szCs w:val="24"/>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pageBreakBefore w:val="0"/>
              <w:kinsoku/>
              <w:overflowPunct/>
              <w:topLinePunct w:val="0"/>
              <w:bidi w:val="0"/>
              <w:spacing w:beforeAutospacing="0" w:afterAutospacing="0" w:line="360" w:lineRule="auto"/>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质疑和投诉：供应商认为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过程和中标结果使自己的合法权益受到损害的，应当在知道或者应知其权益受到损害之日起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解释：1、构成本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文件中有特殊规定外，仅适用于招标投标阶段的规定，按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公告、供应商须知、评标办法、投标文件格式的先后顺序解释；同一组成文件中就同一事项的规定或约定不一致的，以编排顺序在后者为准；当</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文件与</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文件的澄清、修改或补充通知就同一内容的表述不一致时，以最后发出的书面文件为准。合同文件约定或后者明显错误的除外。</w:t>
            </w:r>
          </w:p>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文件解释权归采购人。</w:t>
            </w:r>
          </w:p>
        </w:tc>
      </w:tr>
    </w:tbl>
    <w:p>
      <w:pPr>
        <w:pageBreakBefore w:val="0"/>
        <w:kinsoku/>
        <w:overflowPunct/>
        <w:topLinePunct w:val="0"/>
        <w:bidi w:val="0"/>
        <w:spacing w:beforeAutospacing="0" w:afterAutospacing="0" w:line="360" w:lineRule="auto"/>
        <w:rPr>
          <w:color w:val="auto"/>
          <w:highlight w:val="none"/>
        </w:rPr>
      </w:pPr>
    </w:p>
    <w:p>
      <w:pPr>
        <w:keepNext w:val="0"/>
        <w:keepLines w:val="0"/>
        <w:pageBreakBefore w:val="0"/>
        <w:widowControl/>
        <w:kinsoku/>
        <w:wordWrap/>
        <w:overflowPunct/>
        <w:topLinePunct w:val="0"/>
        <w:bidi w:val="0"/>
        <w:snapToGrid w:val="0"/>
        <w:spacing w:beforeAutospacing="0" w:afterAutospacing="0" w:line="360" w:lineRule="auto"/>
        <w:ind w:firstLine="2760"/>
        <w:jc w:val="left"/>
        <w:rPr>
          <w:rFonts w:ascii="宋体" w:hAnsi="宋体" w:cs="宋体"/>
          <w:color w:val="auto"/>
          <w:kern w:val="0"/>
          <w:sz w:val="24"/>
          <w:szCs w:val="24"/>
          <w:highlight w:val="none"/>
        </w:rPr>
      </w:pPr>
      <w:r>
        <w:rPr>
          <w:rFonts w:hint="eastAsia" w:ascii="黑体" w:hAnsi="宋体" w:eastAsia="黑体" w:cs="宋体"/>
          <w:b/>
          <w:bCs/>
          <w:color w:val="auto"/>
          <w:kern w:val="0"/>
          <w:sz w:val="24"/>
          <w:szCs w:val="24"/>
          <w:highlight w:val="none"/>
        </w:rPr>
        <w:t>一 、说 明</w:t>
      </w:r>
    </w:p>
    <w:p>
      <w:pPr>
        <w:keepNext w:val="0"/>
        <w:keepLines w:val="0"/>
        <w:pageBreakBefore w:val="0"/>
        <w:kinsoku/>
        <w:wordWrap/>
        <w:overflowPunct/>
        <w:topLinePunct w:val="0"/>
        <w:bidi w:val="0"/>
        <w:snapToGrid w:val="0"/>
        <w:spacing w:beforeAutospacing="0" w:afterAutospacing="0" w:line="360" w:lineRule="auto"/>
        <w:rPr>
          <w:color w:val="auto"/>
          <w:sz w:val="24"/>
          <w:szCs w:val="24"/>
          <w:highlight w:val="none"/>
        </w:rPr>
      </w:pP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1.适用范围</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auto"/>
          <w:kern w:val="0"/>
          <w:sz w:val="24"/>
          <w:szCs w:val="24"/>
          <w:highlight w:val="none"/>
        </w:rPr>
        <w:t>本</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文件仅适用于</w:t>
      </w:r>
      <w:r>
        <w:rPr>
          <w:rFonts w:hint="eastAsia" w:ascii="宋体" w:hAnsi="宋体" w:cs="宋体"/>
          <w:color w:val="auto"/>
          <w:kern w:val="0"/>
          <w:sz w:val="24"/>
          <w:szCs w:val="24"/>
          <w:highlight w:val="none"/>
          <w:lang w:val="en-US" w:eastAsia="zh-CN"/>
        </w:rPr>
        <w:t>采购</w:t>
      </w:r>
      <w:r>
        <w:rPr>
          <w:rFonts w:hint="eastAsia" w:ascii="宋体" w:hAnsi="宋体" w:cs="宋体"/>
          <w:color w:val="000000" w:themeColor="text1"/>
          <w:kern w:val="0"/>
          <w:sz w:val="24"/>
          <w:szCs w:val="24"/>
          <w:highlight w:val="none"/>
          <w14:textFill>
            <w14:solidFill>
              <w14:schemeClr w14:val="tx1"/>
            </w14:solidFill>
          </w14:textFill>
        </w:rPr>
        <w:t>公告中所叙述项目的</w:t>
      </w:r>
      <w:r>
        <w:rPr>
          <w:rFonts w:hint="eastAsia" w:ascii="宋体" w:hAnsi="宋体" w:eastAsia="宋体" w:cs="宋体"/>
          <w:color w:val="000000" w:themeColor="text1"/>
          <w:kern w:val="0"/>
          <w:sz w:val="24"/>
          <w:szCs w:val="24"/>
          <w:highlight w:val="none"/>
          <w14:textFill>
            <w14:solidFill>
              <w14:schemeClr w14:val="tx1"/>
            </w14:solidFill>
          </w14:textFill>
        </w:rPr>
        <w:t>服务</w:t>
      </w:r>
      <w:r>
        <w:rPr>
          <w:rFonts w:hint="eastAsia" w:ascii="宋体" w:hAnsi="宋体" w:cs="宋体"/>
          <w:color w:val="000000" w:themeColor="text1"/>
          <w:kern w:val="0"/>
          <w:sz w:val="24"/>
          <w:szCs w:val="24"/>
          <w:highlight w:val="none"/>
          <w14:textFill>
            <w14:solidFill>
              <w14:schemeClr w14:val="tx1"/>
            </w14:solidFill>
          </w14:textFill>
        </w:rPr>
        <w:t>采购。</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2.定义</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auto"/>
          <w:kern w:val="0"/>
          <w:sz w:val="24"/>
          <w:szCs w:val="24"/>
          <w:highlight w:val="none"/>
        </w:rPr>
        <w:t>2.1 “采购人</w:t>
      </w:r>
      <w:r>
        <w:rPr>
          <w:rFonts w:hint="eastAsia" w:ascii="宋体" w:hAnsi="宋体" w:cs="宋体"/>
          <w:color w:val="000000" w:themeColor="text1"/>
          <w:kern w:val="0"/>
          <w:sz w:val="24"/>
          <w:szCs w:val="24"/>
          <w:highlight w:val="none"/>
          <w14:textFill>
            <w14:solidFill>
              <w14:schemeClr w14:val="tx1"/>
            </w14:solidFill>
          </w14:textFill>
        </w:rPr>
        <w:t>”系指本次采购项目的业主方。</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2.2 “投标人”系指</w:t>
      </w:r>
      <w:r>
        <w:rPr>
          <w:rFonts w:hint="eastAsia" w:ascii="宋体" w:hAnsi="宋体" w:cs="宋体"/>
          <w:color w:val="000000" w:themeColor="text1"/>
          <w:kern w:val="0"/>
          <w:sz w:val="24"/>
          <w:szCs w:val="24"/>
          <w:highlight w:val="none"/>
          <w:lang w:val="en-US" w:eastAsia="zh-CN"/>
          <w14:textFill>
            <w14:solidFill>
              <w14:schemeClr w14:val="tx1"/>
            </w14:solidFill>
          </w14:textFill>
        </w:rPr>
        <w:t>领取</w:t>
      </w:r>
      <w:r>
        <w:rPr>
          <w:rFonts w:hint="eastAsia" w:ascii="宋体" w:hAnsi="宋体" w:cs="宋体"/>
          <w:color w:val="000000" w:themeColor="text1"/>
          <w:kern w:val="0"/>
          <w:sz w:val="24"/>
          <w:szCs w:val="24"/>
          <w:highlight w:val="none"/>
          <w14:textFill>
            <w14:solidFill>
              <w14:schemeClr w14:val="tx1"/>
            </w14:solidFill>
          </w14:textFill>
        </w:rPr>
        <w:t>了本</w:t>
      </w:r>
      <w:r>
        <w:rPr>
          <w:rFonts w:hint="eastAsia" w:ascii="宋体" w:hAnsi="宋体" w:cs="宋体"/>
          <w:color w:val="000000" w:themeColor="text1"/>
          <w:kern w:val="0"/>
          <w:sz w:val="24"/>
          <w:szCs w:val="24"/>
          <w:highlight w:val="none"/>
          <w:lang w:val="en-US" w:eastAsia="zh-CN"/>
          <w14:textFill>
            <w14:solidFill>
              <w14:schemeClr w14:val="tx1"/>
            </w14:solidFill>
          </w14:textFill>
        </w:rPr>
        <w:t>采购</w:t>
      </w:r>
      <w:r>
        <w:rPr>
          <w:rFonts w:hint="eastAsia" w:ascii="宋体" w:hAnsi="宋体" w:cs="宋体"/>
          <w:color w:val="000000" w:themeColor="text1"/>
          <w:kern w:val="0"/>
          <w:sz w:val="24"/>
          <w:szCs w:val="24"/>
          <w:highlight w:val="none"/>
          <w14:textFill>
            <w14:solidFill>
              <w14:schemeClr w14:val="tx1"/>
            </w14:solidFill>
          </w14:textFill>
        </w:rPr>
        <w:t>文件，且已经提交本次投标文件的投标人。</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2.3 “投标人代表”系指代表投标人参加本次</w:t>
      </w:r>
      <w:r>
        <w:rPr>
          <w:rFonts w:hint="eastAsia" w:ascii="宋体" w:hAnsi="宋体" w:cs="宋体"/>
          <w:color w:val="000000" w:themeColor="text1"/>
          <w:kern w:val="0"/>
          <w:sz w:val="24"/>
          <w:szCs w:val="24"/>
          <w:highlight w:val="none"/>
          <w:lang w:val="en-US" w:eastAsia="zh-CN"/>
          <w14:textFill>
            <w14:solidFill>
              <w14:schemeClr w14:val="tx1"/>
            </w14:solidFill>
          </w14:textFill>
        </w:rPr>
        <w:t>采购</w:t>
      </w:r>
      <w:r>
        <w:rPr>
          <w:rFonts w:hint="eastAsia" w:ascii="宋体" w:hAnsi="宋体" w:cs="宋体"/>
          <w:color w:val="000000" w:themeColor="text1"/>
          <w:kern w:val="0"/>
          <w:sz w:val="24"/>
          <w:szCs w:val="24"/>
          <w:highlight w:val="none"/>
          <w14:textFill>
            <w14:solidFill>
              <w14:schemeClr w14:val="tx1"/>
            </w14:solidFill>
          </w14:textFill>
        </w:rPr>
        <w:t>活动的投标人的法定代表人或其委托代理人。</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2.4 “服务”系指供应商按采购文件规定向采购人提供的一切工作内容。</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cs="宋体"/>
          <w:b/>
          <w:bCs/>
          <w:color w:val="auto"/>
          <w:kern w:val="0"/>
          <w:sz w:val="24"/>
          <w:szCs w:val="24"/>
          <w:highlight w:val="none"/>
          <w:lang w:eastAsia="zh-CN"/>
        </w:rPr>
      </w:pPr>
      <w:r>
        <w:rPr>
          <w:rFonts w:hint="eastAsia" w:ascii="宋体" w:hAnsi="宋体" w:cs="宋体"/>
          <w:b/>
          <w:bCs/>
          <w:color w:val="auto"/>
          <w:kern w:val="0"/>
          <w:sz w:val="24"/>
          <w:szCs w:val="24"/>
          <w:highlight w:val="none"/>
        </w:rPr>
        <w:t>3.本次采购预算：7.097</w:t>
      </w:r>
      <w:r>
        <w:rPr>
          <w:rFonts w:hint="eastAsia" w:ascii="宋体" w:hAnsi="宋体" w:cs="宋体"/>
          <w:b/>
          <w:bCs/>
          <w:color w:val="auto"/>
          <w:kern w:val="0"/>
          <w:sz w:val="24"/>
          <w:szCs w:val="24"/>
          <w:highlight w:val="none"/>
          <w:lang w:val="en-US" w:eastAsia="zh-CN"/>
        </w:rPr>
        <w:t>万</w:t>
      </w:r>
      <w:r>
        <w:rPr>
          <w:rFonts w:hint="eastAsia" w:ascii="宋体" w:hAnsi="宋体" w:cs="宋体"/>
          <w:b/>
          <w:bCs/>
          <w:color w:val="auto"/>
          <w:kern w:val="0"/>
          <w:sz w:val="24"/>
          <w:szCs w:val="24"/>
          <w:highlight w:val="none"/>
        </w:rPr>
        <w:t>元</w:t>
      </w:r>
      <w:r>
        <w:rPr>
          <w:rFonts w:hint="eastAsia" w:ascii="宋体" w:hAnsi="宋体" w:cs="宋体"/>
          <w:b/>
          <w:bCs/>
          <w:color w:val="auto"/>
          <w:kern w:val="0"/>
          <w:sz w:val="24"/>
          <w:szCs w:val="24"/>
          <w:highlight w:val="none"/>
          <w:lang w:eastAsia="zh-CN"/>
        </w:rPr>
        <w:t>。</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ascii="宋体" w:hAnsi="宋体" w:cs="宋体"/>
          <w:color w:val="auto"/>
          <w:sz w:val="24"/>
          <w:szCs w:val="24"/>
          <w:highlight w:val="none"/>
        </w:rPr>
      </w:pPr>
      <w:r>
        <w:rPr>
          <w:rFonts w:hint="eastAsia" w:ascii="宋体" w:hAnsi="宋体" w:cs="宋体"/>
          <w:b/>
          <w:bCs/>
          <w:color w:val="auto"/>
          <w:kern w:val="0"/>
          <w:sz w:val="24"/>
          <w:szCs w:val="24"/>
          <w:highlight w:val="none"/>
        </w:rPr>
        <w:t>4.投标人应提交的证明文件</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4.1</w:t>
      </w:r>
      <w:r>
        <w:rPr>
          <w:rFonts w:hint="eastAsia" w:ascii="宋体" w:hAnsi="宋体" w:eastAsia="宋体" w:cs="宋体"/>
          <w:color w:val="auto"/>
          <w:sz w:val="24"/>
          <w:szCs w:val="24"/>
          <w:lang w:val="en-US" w:eastAsia="zh-CN"/>
        </w:rPr>
        <w:t>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4.2</w:t>
      </w:r>
      <w:r>
        <w:rPr>
          <w:rFonts w:hint="eastAsia" w:ascii="宋体" w:hAnsi="宋体" w:eastAsia="宋体" w:cs="宋体"/>
          <w:color w:val="auto"/>
          <w:sz w:val="24"/>
          <w:szCs w:val="24"/>
          <w:lang w:val="en-US" w:eastAsia="zh-CN"/>
        </w:rPr>
        <w:t>供应商应提供2021年度或2022年度经审计的财务报告或者其基本开户银行出具的资信证明；采购活动前近三个月内或上个季度任一个月的依法缴纳税收的凭据和缴纳社会保险的凭据；依法免税或不需要缴纳社会保障资金的供应商，应提供相应文件证明；</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4.3</w:t>
      </w:r>
      <w:r>
        <w:rPr>
          <w:rFonts w:hint="eastAsia" w:ascii="宋体" w:hAnsi="宋体" w:eastAsia="宋体" w:cs="宋体"/>
          <w:color w:val="auto"/>
          <w:sz w:val="24"/>
          <w:szCs w:val="24"/>
          <w:lang w:val="en-US" w:eastAsia="zh-CN"/>
        </w:rPr>
        <w:t>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4.5</w:t>
      </w:r>
      <w:r>
        <w:rPr>
          <w:rFonts w:hint="eastAsia" w:ascii="宋体" w:hAnsi="宋体" w:eastAsia="宋体" w:cs="宋体"/>
          <w:color w:val="auto"/>
          <w:sz w:val="24"/>
          <w:szCs w:val="24"/>
          <w:lang w:val="en-US" w:eastAsia="zh-CN"/>
        </w:rPr>
        <w:t>符合法律、行政法规规定的其他条件；</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4.6</w:t>
      </w:r>
      <w:r>
        <w:rPr>
          <w:rFonts w:hint="eastAsia" w:ascii="宋体" w:hAnsi="宋体" w:eastAsia="宋体" w:cs="宋体"/>
          <w:color w:val="auto"/>
          <w:sz w:val="24"/>
          <w:szCs w:val="24"/>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4.7</w:t>
      </w:r>
      <w:r>
        <w:rPr>
          <w:rFonts w:hint="eastAsia" w:ascii="宋体" w:hAnsi="宋体" w:eastAsia="宋体" w:cs="宋体"/>
          <w:color w:val="auto"/>
          <w:sz w:val="24"/>
          <w:szCs w:val="24"/>
          <w:lang w:val="en-US" w:eastAsia="zh-CN"/>
        </w:rPr>
        <w:t>投标人须具备消防设施工程专业承包二级及以上企业资质，应具备安全生产许可证，委托厂家应有《中华人民共和国特种设备检验检测机构核准证》、《中华人民共和国气瓶充装许可证》；</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5.投标费用</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6.联合体投标：本项目不接受联合体投标。</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7.关联企业投标</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7.1 本</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8.转包与分包</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8.1本项目不允许采取转包方式履行合同。</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8.2本项目不允许采取分包方式履行合同。</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9.特别说明：</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9.2</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投标人代表只能接受一个投标人的委托参加投标。</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10.质疑和投诉</w:t>
      </w:r>
    </w:p>
    <w:p>
      <w:pPr>
        <w:keepNext w:val="0"/>
        <w:keepLines w:val="0"/>
        <w:pageBreakBefore w:val="0"/>
        <w:widowControl/>
        <w:kinsoku/>
        <w:wordWrap/>
        <w:overflowPunct/>
        <w:topLinePunct w:val="0"/>
        <w:bidi w:val="0"/>
        <w:snapToGrid w:val="0"/>
        <w:spacing w:beforeAutospacing="0" w:afterAutospacing="0" w:line="360" w:lineRule="auto"/>
        <w:ind w:firstLine="470" w:firstLineChars="196"/>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10.1 </w:t>
      </w:r>
      <w:r>
        <w:rPr>
          <w:rFonts w:hint="eastAsia" w:ascii="宋体" w:hAnsi="宋体" w:cs="宋体"/>
          <w:bCs/>
          <w:color w:val="auto"/>
          <w:kern w:val="0"/>
          <w:sz w:val="24"/>
          <w:szCs w:val="24"/>
          <w:highlight w:val="none"/>
        </w:rPr>
        <w:t>供应商认为</w:t>
      </w:r>
      <w:r>
        <w:rPr>
          <w:rFonts w:hint="eastAsia" w:ascii="宋体" w:hAnsi="宋体" w:cs="宋体"/>
          <w:bCs/>
          <w:color w:val="auto"/>
          <w:kern w:val="0"/>
          <w:sz w:val="24"/>
          <w:szCs w:val="24"/>
          <w:highlight w:val="none"/>
          <w:lang w:val="en-US" w:eastAsia="zh-CN"/>
        </w:rPr>
        <w:t>采购</w:t>
      </w:r>
      <w:r>
        <w:rPr>
          <w:rFonts w:hint="eastAsia" w:ascii="宋体" w:hAnsi="宋体" w:cs="宋体"/>
          <w:bCs/>
          <w:color w:val="auto"/>
          <w:kern w:val="0"/>
          <w:sz w:val="24"/>
          <w:szCs w:val="24"/>
          <w:highlight w:val="none"/>
        </w:rPr>
        <w:t>文件使自己的合法权益受到损害的，</w:t>
      </w:r>
      <w:r>
        <w:rPr>
          <w:rFonts w:hint="eastAsia" w:ascii="宋体" w:hAnsi="宋体" w:cs="宋体"/>
          <w:color w:val="auto"/>
          <w:kern w:val="0"/>
          <w:sz w:val="24"/>
          <w:szCs w:val="24"/>
          <w:highlight w:val="none"/>
        </w:rPr>
        <w:t>应当在</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公告期限届满之日(或收到</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文件之日)起</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个工作日之内向</w:t>
      </w:r>
      <w:r>
        <w:rPr>
          <w:rFonts w:hint="eastAsia" w:ascii="宋体" w:hAnsi="宋体" w:cs="宋体"/>
          <w:bCs/>
          <w:color w:val="auto"/>
          <w:kern w:val="0"/>
          <w:sz w:val="24"/>
          <w:szCs w:val="24"/>
          <w:highlight w:val="none"/>
        </w:rPr>
        <w:t>采购人提出质疑；供应商认为</w:t>
      </w:r>
      <w:r>
        <w:rPr>
          <w:rFonts w:hint="eastAsia" w:ascii="宋体" w:hAnsi="宋体" w:cs="宋体"/>
          <w:bCs/>
          <w:color w:val="auto"/>
          <w:kern w:val="0"/>
          <w:sz w:val="24"/>
          <w:szCs w:val="24"/>
          <w:highlight w:val="none"/>
          <w:lang w:eastAsia="zh-CN"/>
        </w:rPr>
        <w:t>磋商</w:t>
      </w:r>
      <w:r>
        <w:rPr>
          <w:rFonts w:hint="eastAsia" w:ascii="宋体" w:hAnsi="宋体" w:cs="宋体"/>
          <w:bCs/>
          <w:color w:val="auto"/>
          <w:kern w:val="0"/>
          <w:sz w:val="24"/>
          <w:szCs w:val="24"/>
          <w:highlight w:val="none"/>
        </w:rPr>
        <w:t>过程和中标结果使自己的合法权益受到损害的，应当在知道或者应知其权益受到损害之日起</w:t>
      </w: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个工作日内提出质疑。</w:t>
      </w:r>
      <w:r>
        <w:rPr>
          <w:rFonts w:hint="eastAsia" w:ascii="宋体" w:hAnsi="宋体" w:cs="宋体"/>
          <w:color w:val="auto"/>
          <w:kern w:val="0"/>
          <w:sz w:val="24"/>
          <w:szCs w:val="24"/>
          <w:highlight w:val="none"/>
        </w:rPr>
        <w:t>逾期不再受理,</w:t>
      </w:r>
      <w:r>
        <w:rPr>
          <w:rFonts w:hint="eastAsia" w:ascii="宋体" w:hAnsi="宋体" w:cs="宋体"/>
          <w:bCs/>
          <w:color w:val="auto"/>
          <w:kern w:val="0"/>
          <w:sz w:val="24"/>
          <w:szCs w:val="24"/>
          <w:highlight w:val="none"/>
        </w:rPr>
        <w:t>供应商在法定质疑期内应一次性提出针对同一采购环节的质疑。</w:t>
      </w:r>
      <w:r>
        <w:rPr>
          <w:rFonts w:hint="eastAsia" w:ascii="宋体" w:hAnsi="宋体" w:cs="宋体"/>
          <w:color w:val="auto"/>
          <w:kern w:val="0"/>
          <w:sz w:val="24"/>
          <w:szCs w:val="24"/>
          <w:highlight w:val="none"/>
        </w:rPr>
        <w:t>供应商对</w:t>
      </w:r>
      <w:r>
        <w:rPr>
          <w:rFonts w:hint="eastAsia" w:ascii="宋体" w:hAnsi="宋体" w:cs="宋体"/>
          <w:bCs/>
          <w:color w:val="auto"/>
          <w:kern w:val="0"/>
          <w:sz w:val="24"/>
          <w:szCs w:val="24"/>
          <w:highlight w:val="none"/>
        </w:rPr>
        <w:t>采购人</w:t>
      </w:r>
      <w:r>
        <w:rPr>
          <w:rFonts w:hint="eastAsia" w:ascii="宋体" w:hAnsi="宋体" w:cs="宋体"/>
          <w:color w:val="auto"/>
          <w:kern w:val="0"/>
          <w:sz w:val="24"/>
          <w:szCs w:val="24"/>
          <w:highlight w:val="none"/>
        </w:rPr>
        <w:t>的质疑答复不满意,或</w:t>
      </w:r>
      <w:r>
        <w:rPr>
          <w:rFonts w:hint="eastAsia" w:ascii="宋体" w:hAnsi="宋体" w:cs="宋体"/>
          <w:bCs/>
          <w:color w:val="auto"/>
          <w:kern w:val="0"/>
          <w:sz w:val="24"/>
          <w:szCs w:val="24"/>
          <w:highlight w:val="none"/>
        </w:rPr>
        <w:t>采购人</w:t>
      </w:r>
      <w:r>
        <w:rPr>
          <w:rFonts w:hint="eastAsia" w:ascii="宋体" w:hAnsi="宋体" w:cs="宋体"/>
          <w:color w:val="auto"/>
          <w:kern w:val="0"/>
          <w:sz w:val="24"/>
          <w:szCs w:val="24"/>
          <w:highlight w:val="none"/>
        </w:rPr>
        <w:t>未在规定时间内作出答复的，可以在答复期满后15个工作日内向</w:t>
      </w:r>
      <w:r>
        <w:rPr>
          <w:rFonts w:hint="eastAsia" w:ascii="宋体" w:hAnsi="宋体" w:cs="宋体"/>
          <w:color w:val="auto"/>
          <w:kern w:val="0"/>
          <w:sz w:val="24"/>
          <w:szCs w:val="24"/>
          <w:highlight w:val="none"/>
          <w:lang w:val="en-US" w:eastAsia="zh-CN"/>
        </w:rPr>
        <w:t>医院纪检</w:t>
      </w:r>
      <w:r>
        <w:rPr>
          <w:rFonts w:hint="eastAsia" w:ascii="宋体" w:hAnsi="宋体" w:cs="宋体"/>
          <w:color w:val="auto"/>
          <w:kern w:val="0"/>
          <w:sz w:val="24"/>
          <w:szCs w:val="24"/>
          <w:highlight w:val="none"/>
        </w:rPr>
        <w:t>部门投诉。</w:t>
      </w:r>
    </w:p>
    <w:p>
      <w:pPr>
        <w:keepNext w:val="0"/>
        <w:keepLines w:val="0"/>
        <w:pageBreakBefore w:val="0"/>
        <w:widowControl/>
        <w:shd w:val="clear" w:color="auto" w:fill="FFFFFF"/>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10.2 </w:t>
      </w:r>
      <w:r>
        <w:rPr>
          <w:rFonts w:hint="eastAsia" w:ascii="宋体" w:hAnsi="宋体" w:cs="宋体"/>
          <w:bCs/>
          <w:color w:val="auto"/>
          <w:kern w:val="0"/>
          <w:sz w:val="24"/>
          <w:szCs w:val="24"/>
          <w:highlight w:val="none"/>
        </w:rPr>
        <w:t>质疑、投诉应当采用书面形式，质疑书、投诉书均应明确阐述</w:t>
      </w:r>
      <w:r>
        <w:rPr>
          <w:rFonts w:hint="eastAsia" w:ascii="宋体" w:hAnsi="宋体" w:cs="宋体"/>
          <w:bCs/>
          <w:color w:val="auto"/>
          <w:kern w:val="0"/>
          <w:sz w:val="24"/>
          <w:szCs w:val="24"/>
          <w:highlight w:val="none"/>
          <w:lang w:val="en-US" w:eastAsia="zh-CN"/>
        </w:rPr>
        <w:t>采购</w:t>
      </w:r>
      <w:r>
        <w:rPr>
          <w:rFonts w:hint="eastAsia" w:ascii="宋体" w:hAnsi="宋体" w:cs="宋体"/>
          <w:bCs/>
          <w:color w:val="auto"/>
          <w:kern w:val="0"/>
          <w:sz w:val="24"/>
          <w:szCs w:val="24"/>
          <w:highlight w:val="none"/>
        </w:rPr>
        <w:t>文件、</w:t>
      </w:r>
      <w:r>
        <w:rPr>
          <w:rFonts w:hint="eastAsia" w:ascii="宋体" w:hAnsi="宋体" w:cs="宋体"/>
          <w:bCs/>
          <w:color w:val="auto"/>
          <w:kern w:val="0"/>
          <w:sz w:val="24"/>
          <w:szCs w:val="24"/>
          <w:highlight w:val="none"/>
          <w:lang w:eastAsia="zh-CN"/>
        </w:rPr>
        <w:t>磋商</w:t>
      </w:r>
      <w:r>
        <w:rPr>
          <w:rFonts w:hint="eastAsia" w:ascii="宋体" w:hAnsi="宋体" w:cs="宋体"/>
          <w:bCs/>
          <w:color w:val="auto"/>
          <w:kern w:val="0"/>
          <w:sz w:val="24"/>
          <w:szCs w:val="24"/>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11.投标人的风险</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投标人没有按照</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文件要求提供全部资料，或者投标人没有对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beforeAutospacing="0" w:afterAutospacing="0" w:line="360" w:lineRule="auto"/>
        <w:jc w:val="center"/>
        <w:rPr>
          <w:rFonts w:ascii="宋体" w:hAnsi="宋体" w:cs="宋体"/>
          <w:color w:val="auto"/>
          <w:kern w:val="0"/>
          <w:sz w:val="24"/>
          <w:szCs w:val="24"/>
          <w:highlight w:val="none"/>
        </w:rPr>
      </w:pPr>
      <w:r>
        <w:rPr>
          <w:rFonts w:hint="eastAsia" w:ascii="黑体" w:hAnsi="宋体" w:eastAsia="黑体" w:cs="宋体"/>
          <w:b/>
          <w:bCs/>
          <w:color w:val="auto"/>
          <w:kern w:val="0"/>
          <w:sz w:val="24"/>
          <w:szCs w:val="24"/>
          <w:highlight w:val="none"/>
        </w:rPr>
        <w:t>二、</w:t>
      </w:r>
      <w:r>
        <w:rPr>
          <w:rFonts w:hint="eastAsia" w:ascii="黑体" w:hAnsi="宋体" w:eastAsia="黑体" w:cs="宋体"/>
          <w:b/>
          <w:bCs/>
          <w:color w:val="auto"/>
          <w:kern w:val="0"/>
          <w:sz w:val="24"/>
          <w:szCs w:val="24"/>
          <w:highlight w:val="none"/>
          <w:lang w:val="en-US" w:eastAsia="zh-CN"/>
        </w:rPr>
        <w:t>采购</w:t>
      </w:r>
      <w:r>
        <w:rPr>
          <w:rFonts w:hint="eastAsia" w:ascii="黑体" w:hAnsi="宋体" w:eastAsia="黑体" w:cs="宋体"/>
          <w:b/>
          <w:bCs/>
          <w:color w:val="auto"/>
          <w:kern w:val="0"/>
          <w:sz w:val="24"/>
          <w:szCs w:val="24"/>
          <w:highlight w:val="none"/>
        </w:rPr>
        <w:t>文件</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12.</w:t>
      </w:r>
      <w:r>
        <w:rPr>
          <w:rFonts w:hint="eastAsia" w:ascii="宋体" w:hAnsi="宋体" w:cs="宋体"/>
          <w:b/>
          <w:bCs/>
          <w:color w:val="auto"/>
          <w:kern w:val="0"/>
          <w:sz w:val="24"/>
          <w:szCs w:val="24"/>
          <w:highlight w:val="none"/>
          <w:lang w:val="en-US" w:eastAsia="zh-CN"/>
        </w:rPr>
        <w:t>采购</w:t>
      </w:r>
      <w:r>
        <w:rPr>
          <w:rFonts w:hint="eastAsia" w:ascii="宋体" w:hAnsi="宋体" w:cs="宋体"/>
          <w:b/>
          <w:bCs/>
          <w:color w:val="auto"/>
          <w:kern w:val="0"/>
          <w:sz w:val="24"/>
          <w:szCs w:val="24"/>
          <w:highlight w:val="none"/>
        </w:rPr>
        <w:t>文件的构成。本</w:t>
      </w:r>
      <w:r>
        <w:rPr>
          <w:rFonts w:hint="eastAsia" w:ascii="宋体" w:hAnsi="宋体" w:cs="宋体"/>
          <w:b/>
          <w:bCs/>
          <w:color w:val="auto"/>
          <w:kern w:val="0"/>
          <w:sz w:val="24"/>
          <w:szCs w:val="24"/>
          <w:highlight w:val="none"/>
          <w:lang w:val="en-US" w:eastAsia="zh-CN"/>
        </w:rPr>
        <w:t>采购</w:t>
      </w:r>
      <w:r>
        <w:rPr>
          <w:rFonts w:hint="eastAsia" w:ascii="宋体" w:hAnsi="宋体" w:cs="宋体"/>
          <w:b/>
          <w:bCs/>
          <w:color w:val="auto"/>
          <w:kern w:val="0"/>
          <w:sz w:val="24"/>
          <w:szCs w:val="24"/>
          <w:highlight w:val="none"/>
        </w:rPr>
        <w:t>文件由以下部分组成：</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12.1 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公告</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12.2 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需求</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12.3 投标人须知</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12.4 评标办法</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12.5 合同主要条款</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12.6 投标文件格式</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13.</w:t>
      </w:r>
      <w:r>
        <w:rPr>
          <w:rFonts w:hint="eastAsia" w:ascii="宋体" w:hAnsi="宋体" w:cs="宋体"/>
          <w:b/>
          <w:bCs/>
          <w:color w:val="auto"/>
          <w:kern w:val="0"/>
          <w:sz w:val="24"/>
          <w:szCs w:val="24"/>
          <w:highlight w:val="none"/>
          <w:lang w:val="en-US" w:eastAsia="zh-CN"/>
        </w:rPr>
        <w:t>采购</w:t>
      </w:r>
      <w:r>
        <w:rPr>
          <w:rFonts w:hint="eastAsia" w:ascii="宋体" w:hAnsi="宋体" w:cs="宋体"/>
          <w:b/>
          <w:bCs/>
          <w:color w:val="auto"/>
          <w:kern w:val="0"/>
          <w:sz w:val="24"/>
          <w:szCs w:val="24"/>
          <w:highlight w:val="none"/>
        </w:rPr>
        <w:t>文件的澄清与修改</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13.1 </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对已发出的</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文件进行必要澄清、修改或补充的，应当在</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文件要求提交投标文件截止时间</w:t>
      </w:r>
      <w:r>
        <w:rPr>
          <w:rFonts w:hint="eastAsia" w:ascii="宋体" w:hAnsi="宋体" w:cs="宋体"/>
          <w:color w:val="auto"/>
          <w:kern w:val="0"/>
          <w:sz w:val="24"/>
          <w:szCs w:val="24"/>
          <w:highlight w:val="none"/>
          <w:lang w:val="en-US" w:eastAsia="zh-CN"/>
        </w:rPr>
        <w:t>3</w:t>
      </w:r>
      <w:r>
        <w:rPr>
          <w:rFonts w:hint="eastAsia" w:ascii="宋体" w:hAnsi="宋体" w:cs="宋体"/>
          <w:bCs/>
          <w:color w:val="auto"/>
          <w:kern w:val="0"/>
          <w:sz w:val="24"/>
          <w:szCs w:val="24"/>
          <w:highlight w:val="none"/>
        </w:rPr>
        <w:t>日</w:t>
      </w:r>
      <w:r>
        <w:rPr>
          <w:rFonts w:hint="eastAsia" w:ascii="宋体" w:hAnsi="宋体" w:cs="宋体"/>
          <w:color w:val="auto"/>
          <w:kern w:val="0"/>
          <w:sz w:val="24"/>
          <w:szCs w:val="24"/>
          <w:highlight w:val="none"/>
        </w:rPr>
        <w:t>前，在</w:t>
      </w:r>
      <w:r>
        <w:rPr>
          <w:rFonts w:hint="eastAsia" w:ascii="宋体" w:hAnsi="宋体" w:cs="宋体"/>
          <w:color w:val="auto"/>
          <w:kern w:val="0"/>
          <w:sz w:val="24"/>
          <w:szCs w:val="24"/>
          <w:highlight w:val="none"/>
          <w:lang w:val="en-US" w:eastAsia="zh-CN"/>
        </w:rPr>
        <w:t>原采购公告发布</w:t>
      </w:r>
      <w:r>
        <w:rPr>
          <w:rFonts w:hint="eastAsia" w:ascii="宋体" w:hAnsi="宋体" w:cs="宋体"/>
          <w:color w:val="auto"/>
          <w:kern w:val="0"/>
          <w:sz w:val="24"/>
          <w:szCs w:val="24"/>
          <w:highlight w:val="none"/>
        </w:rPr>
        <w:t>相关媒体上发布更正公告或变更公告。</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文件公示期间对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文件进行的澄清、修改或补充不受上述限制。</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13.2 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文件澄清、修改或补充的内容为</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文件的组成部分。</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13.3 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文件的澄清、修改或补充都应以法定形式发布。采购人未对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文件进行的澄清、修改或补充无效，评标时不予认可。</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13.4 </w:t>
      </w:r>
      <w:r>
        <w:rPr>
          <w:rFonts w:hint="eastAsia" w:ascii="宋体" w:hAnsi="宋体" w:cs="宋体"/>
          <w:bCs/>
          <w:color w:val="auto"/>
          <w:kern w:val="0"/>
          <w:sz w:val="24"/>
          <w:szCs w:val="24"/>
          <w:highlight w:val="none"/>
        </w:rPr>
        <w:t>采购人</w:t>
      </w:r>
      <w:r>
        <w:rPr>
          <w:rFonts w:hint="eastAsia" w:ascii="宋体" w:hAnsi="宋体" w:cs="宋体"/>
          <w:color w:val="auto"/>
          <w:kern w:val="0"/>
          <w:sz w:val="24"/>
          <w:szCs w:val="24"/>
          <w:highlight w:val="none"/>
        </w:rPr>
        <w:t>可以视招标具体情况延长投标截止时间和开标时间，但至少应当在</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文件要求提交投标文件的截止时间3</w:t>
      </w:r>
      <w:r>
        <w:rPr>
          <w:rFonts w:hint="eastAsia" w:ascii="宋体" w:hAnsi="宋体" w:cs="宋体"/>
          <w:bCs/>
          <w:color w:val="auto"/>
          <w:kern w:val="0"/>
          <w:sz w:val="24"/>
          <w:szCs w:val="24"/>
          <w:highlight w:val="none"/>
        </w:rPr>
        <w:t>日</w:t>
      </w:r>
      <w:r>
        <w:rPr>
          <w:rFonts w:hint="eastAsia" w:ascii="宋体" w:hAnsi="宋体" w:cs="宋体"/>
          <w:color w:val="auto"/>
          <w:kern w:val="0"/>
          <w:sz w:val="24"/>
          <w:szCs w:val="24"/>
          <w:highlight w:val="none"/>
        </w:rPr>
        <w:t>前，将变更时间</w:t>
      </w:r>
      <w:r>
        <w:rPr>
          <w:rFonts w:hint="eastAsia" w:ascii="宋体" w:hAnsi="宋体" w:cs="宋体"/>
          <w:color w:val="auto"/>
          <w:kern w:val="0"/>
          <w:sz w:val="24"/>
          <w:szCs w:val="24"/>
          <w:highlight w:val="none"/>
          <w:lang w:val="en-US" w:eastAsia="zh-CN"/>
        </w:rPr>
        <w:t>通知所有潜在投标人</w:t>
      </w:r>
      <w:r>
        <w:rPr>
          <w:rFonts w:hint="eastAsia" w:ascii="宋体" w:hAnsi="宋体" w:cs="宋体"/>
          <w:color w:val="auto"/>
          <w:kern w:val="0"/>
          <w:sz w:val="24"/>
          <w:szCs w:val="24"/>
          <w:highlight w:val="none"/>
        </w:rPr>
        <w:t>。</w:t>
      </w:r>
    </w:p>
    <w:p>
      <w:pPr>
        <w:keepNext w:val="0"/>
        <w:keepLines w:val="0"/>
        <w:pageBreakBefore w:val="0"/>
        <w:widowControl/>
        <w:kinsoku/>
        <w:wordWrap/>
        <w:overflowPunct/>
        <w:topLinePunct w:val="0"/>
        <w:bidi w:val="0"/>
        <w:snapToGrid w:val="0"/>
        <w:spacing w:beforeAutospacing="0" w:afterAutospacing="0" w:line="360" w:lineRule="auto"/>
        <w:ind w:firstLine="1672" w:firstLineChars="694"/>
        <w:rPr>
          <w:rFonts w:ascii="宋体" w:hAnsi="宋体" w:cs="宋体"/>
          <w:color w:val="auto"/>
          <w:kern w:val="0"/>
          <w:sz w:val="24"/>
          <w:szCs w:val="24"/>
          <w:highlight w:val="none"/>
        </w:rPr>
      </w:pPr>
      <w:r>
        <w:rPr>
          <w:rFonts w:hint="eastAsia" w:ascii="黑体" w:hAnsi="宋体" w:eastAsia="黑体" w:cs="宋体"/>
          <w:b/>
          <w:bCs/>
          <w:color w:val="auto"/>
          <w:kern w:val="0"/>
          <w:sz w:val="24"/>
          <w:szCs w:val="24"/>
          <w:highlight w:val="none"/>
        </w:rPr>
        <w:t>三、投标文件的编制</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14.要求</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14.1 投标人应仔细阅读</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文件的所有内容，按照</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文件提供的格式编写投标文件，不得缺少或留空任何</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文件要求填写的表格或提交的资料。</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文件提供格式的按格式填列，未提供格式的可自行拟定。投标文件应对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14.2 投标人应完整签署投标文件格式附件中《投标书》和《抵制商业贿赂承诺》，不得增减或修改内容。否则视为对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文件未作出实质性响应。</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15.投标文件的语言和计量单位</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15.2 关于投标计量单位，</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文件已有明确规定的，使用</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文件规定的计量单位；</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文件没有规定的，应采用中华人民共和国法定计量单位。否则视为对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文件未作出实质性响应。</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16.投标文件的组成</w:t>
      </w:r>
      <w:r>
        <w:rPr>
          <w:rFonts w:hint="eastAsia" w:ascii="宋体" w:hAnsi="宋体" w:cs="宋体"/>
          <w:color w:val="auto"/>
          <w:kern w:val="0"/>
          <w:sz w:val="24"/>
          <w:szCs w:val="24"/>
          <w:highlight w:val="none"/>
        </w:rPr>
        <w:t>。</w:t>
      </w:r>
      <w:r>
        <w:rPr>
          <w:rFonts w:hint="eastAsia" w:ascii="宋体" w:hAnsi="宋体" w:cs="宋体"/>
          <w:b/>
          <w:bCs/>
          <w:color w:val="auto"/>
          <w:kern w:val="0"/>
          <w:sz w:val="24"/>
          <w:szCs w:val="24"/>
          <w:highlight w:val="none"/>
        </w:rPr>
        <w:t>投标文件应包括下列部分：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16.1、投标书</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16.2、</w:t>
      </w:r>
      <w:r>
        <w:rPr>
          <w:rFonts w:hint="eastAsia" w:ascii="宋体" w:hAnsi="宋体" w:cs="宋体"/>
          <w:color w:val="auto"/>
          <w:kern w:val="0"/>
          <w:sz w:val="24"/>
          <w:szCs w:val="24"/>
          <w:highlight w:val="none"/>
        </w:rPr>
        <w:t>开标一览表</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16.3、</w:t>
      </w:r>
      <w:r>
        <w:rPr>
          <w:rFonts w:hint="eastAsia" w:ascii="宋体" w:hAnsi="宋体" w:cs="宋体"/>
          <w:color w:val="auto"/>
          <w:kern w:val="0"/>
          <w:sz w:val="24"/>
          <w:szCs w:val="24"/>
          <w:highlight w:val="none"/>
        </w:rPr>
        <w:t>报价明细表</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16.</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、技术部分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16.</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、商务</w:t>
      </w:r>
      <w:r>
        <w:rPr>
          <w:rFonts w:hint="eastAsia" w:ascii="宋体" w:hAnsi="宋体" w:cs="宋体"/>
          <w:color w:val="auto"/>
          <w:kern w:val="0"/>
          <w:sz w:val="24"/>
          <w:szCs w:val="24"/>
          <w:highlight w:val="none"/>
          <w:lang w:eastAsia="zh-CN"/>
        </w:rPr>
        <w:t>部分</w:t>
      </w:r>
    </w:p>
    <w:p>
      <w:pPr>
        <w:keepNext w:val="0"/>
        <w:keepLines w:val="0"/>
        <w:pageBreakBefore w:val="0"/>
        <w:widowControl/>
        <w:kinsoku/>
        <w:wordWrap/>
        <w:overflowPunct/>
        <w:topLinePunct w:val="0"/>
        <w:bidi w:val="0"/>
        <w:snapToGrid w:val="0"/>
        <w:spacing w:beforeAutospacing="0" w:afterAutospacing="0" w:line="360" w:lineRule="auto"/>
        <w:ind w:left="208" w:leftChars="99" w:firstLine="240" w:firstLineChars="1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16.</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rPr>
        <w:t>、法定代表人身份证明</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16.</w:t>
      </w:r>
      <w:r>
        <w:rPr>
          <w:rFonts w:hint="eastAsia" w:ascii="宋体" w:hAnsi="宋体" w:cs="宋体"/>
          <w:color w:val="auto"/>
          <w:kern w:val="0"/>
          <w:sz w:val="24"/>
          <w:szCs w:val="24"/>
          <w:highlight w:val="none"/>
          <w:lang w:val="en-US" w:eastAsia="zh-CN"/>
        </w:rPr>
        <w:t>7</w:t>
      </w:r>
      <w:r>
        <w:rPr>
          <w:rFonts w:hint="eastAsia" w:ascii="宋体" w:hAnsi="宋体" w:cs="宋体"/>
          <w:color w:val="auto"/>
          <w:kern w:val="0"/>
          <w:sz w:val="24"/>
          <w:szCs w:val="24"/>
          <w:highlight w:val="none"/>
        </w:rPr>
        <w:t>、法定代表人授权书</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16</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rPr>
        <w:t>、证明文件</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16.</w:t>
      </w:r>
      <w:r>
        <w:rPr>
          <w:rFonts w:hint="eastAsia" w:ascii="宋体" w:hAnsi="宋体" w:cs="宋体"/>
          <w:color w:val="auto"/>
          <w:kern w:val="0"/>
          <w:sz w:val="24"/>
          <w:szCs w:val="24"/>
          <w:highlight w:val="none"/>
          <w:lang w:val="en-US" w:eastAsia="zh-CN"/>
        </w:rPr>
        <w:t>9</w:t>
      </w:r>
      <w:r>
        <w:rPr>
          <w:rFonts w:hint="eastAsia" w:ascii="宋体" w:hAnsi="宋体" w:cs="宋体"/>
          <w:color w:val="auto"/>
          <w:kern w:val="0"/>
          <w:sz w:val="24"/>
          <w:szCs w:val="24"/>
          <w:highlight w:val="none"/>
        </w:rPr>
        <w:t>、供应商承诺书</w:t>
      </w:r>
    </w:p>
    <w:p>
      <w:pPr>
        <w:pStyle w:val="5"/>
        <w:keepNext w:val="0"/>
        <w:keepLines w:val="0"/>
        <w:pageBreakBefore w:val="0"/>
        <w:kinsoku/>
        <w:wordWrap/>
        <w:overflowPunct/>
        <w:topLinePunct w:val="0"/>
        <w:bidi w:val="0"/>
        <w:snapToGrid w:val="0"/>
        <w:spacing w:beforeAutospacing="0" w:afterAutospacing="0" w:line="360" w:lineRule="auto"/>
        <w:rPr>
          <w:rFonts w:hint="eastAsia"/>
          <w:color w:val="auto"/>
          <w:sz w:val="24"/>
          <w:szCs w:val="24"/>
          <w:highlight w:val="none"/>
        </w:rPr>
      </w:pPr>
      <w:r>
        <w:rPr>
          <w:rFonts w:hint="eastAsia"/>
          <w:color w:val="auto"/>
          <w:sz w:val="24"/>
          <w:szCs w:val="24"/>
          <w:highlight w:val="none"/>
        </w:rPr>
        <w:t>16.</w:t>
      </w:r>
      <w:r>
        <w:rPr>
          <w:rFonts w:hint="eastAsia"/>
          <w:color w:val="auto"/>
          <w:sz w:val="24"/>
          <w:szCs w:val="24"/>
          <w:highlight w:val="none"/>
          <w:lang w:val="en-US" w:eastAsia="zh-CN"/>
        </w:rPr>
        <w:t>10</w:t>
      </w:r>
      <w:r>
        <w:rPr>
          <w:rFonts w:hint="eastAsia"/>
          <w:color w:val="auto"/>
          <w:sz w:val="24"/>
          <w:szCs w:val="24"/>
          <w:highlight w:val="none"/>
        </w:rPr>
        <w:t>、供应商信用承诺函</w:t>
      </w:r>
    </w:p>
    <w:p>
      <w:pPr>
        <w:pStyle w:val="5"/>
        <w:keepNext w:val="0"/>
        <w:keepLines w:val="0"/>
        <w:pageBreakBefore w:val="0"/>
        <w:kinsoku/>
        <w:wordWrap/>
        <w:overflowPunct/>
        <w:topLinePunct w:val="0"/>
        <w:bidi w:val="0"/>
        <w:snapToGrid w:val="0"/>
        <w:spacing w:beforeAutospacing="0" w:afterAutospacing="0" w:line="360" w:lineRule="auto"/>
        <w:rPr>
          <w:color w:val="auto"/>
          <w:sz w:val="24"/>
          <w:szCs w:val="24"/>
          <w:highlight w:val="none"/>
        </w:rPr>
      </w:pPr>
      <w:r>
        <w:rPr>
          <w:rFonts w:hint="eastAsia"/>
          <w:color w:val="auto"/>
          <w:sz w:val="24"/>
          <w:szCs w:val="24"/>
          <w:highlight w:val="none"/>
          <w:lang w:val="en-US" w:eastAsia="zh-CN"/>
        </w:rPr>
        <w:t>16.11、</w:t>
      </w:r>
      <w:r>
        <w:rPr>
          <w:rFonts w:hint="eastAsia"/>
          <w:color w:val="auto"/>
          <w:sz w:val="24"/>
          <w:szCs w:val="24"/>
          <w:highlight w:val="none"/>
        </w:rPr>
        <w:t>投标人认为有必要的其他资料</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17.投标有效期</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17.1 投标文件从</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公告所规定的投标截止期之后开始生效，在</w:t>
      </w:r>
      <w:r>
        <w:rPr>
          <w:rFonts w:hint="eastAsia" w:ascii="宋体" w:hAnsi="宋体" w:cs="宋体"/>
          <w:bCs/>
          <w:color w:val="auto"/>
          <w:kern w:val="0"/>
          <w:sz w:val="24"/>
          <w:szCs w:val="24"/>
          <w:highlight w:val="none"/>
        </w:rPr>
        <w:t>投标人须知前附表</w:t>
      </w:r>
      <w:r>
        <w:rPr>
          <w:rFonts w:hint="eastAsia" w:ascii="宋体" w:hAnsi="宋体" w:cs="宋体"/>
          <w:color w:val="auto"/>
          <w:kern w:val="0"/>
          <w:sz w:val="24"/>
          <w:szCs w:val="24"/>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17.2特殊情况下</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可于投标有效期满之前书面要求投标人同意延长有效期，投标人应在</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18.投标报价</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18.1 所有投标报价均以人民币元为计算单位。</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18.2 投标人要按开标一览表的内容填写。</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18.3 </w:t>
      </w:r>
      <w:r>
        <w:rPr>
          <w:rFonts w:hint="eastAsia" w:ascii="宋体" w:hAnsi="宋体" w:cs="宋体"/>
          <w:color w:val="auto"/>
          <w:spacing w:val="10"/>
          <w:kern w:val="0"/>
          <w:sz w:val="24"/>
          <w:szCs w:val="24"/>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18.5 </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不接受可选择的投标报价。</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b/>
          <w:color w:val="auto"/>
          <w:kern w:val="0"/>
          <w:sz w:val="24"/>
          <w:szCs w:val="24"/>
          <w:highlight w:val="none"/>
          <w:lang w:eastAsia="zh-CN"/>
        </w:rPr>
      </w:pPr>
      <w:r>
        <w:rPr>
          <w:rFonts w:hint="eastAsia" w:ascii="宋体" w:hAnsi="宋体" w:cs="宋体"/>
          <w:b/>
          <w:color w:val="auto"/>
          <w:kern w:val="0"/>
          <w:sz w:val="24"/>
          <w:szCs w:val="24"/>
          <w:highlight w:val="none"/>
        </w:rPr>
        <w:t>19.投标保证金</w:t>
      </w:r>
      <w:r>
        <w:rPr>
          <w:rFonts w:hint="eastAsia" w:ascii="宋体" w:hAnsi="宋体" w:cs="宋体"/>
          <w:b/>
          <w:color w:val="auto"/>
          <w:kern w:val="0"/>
          <w:sz w:val="24"/>
          <w:szCs w:val="24"/>
          <w:highlight w:val="none"/>
          <w:lang w:eastAsia="zh-CN"/>
        </w:rPr>
        <w:t>（</w:t>
      </w:r>
      <w:r>
        <w:rPr>
          <w:rFonts w:hint="eastAsia" w:ascii="宋体" w:hAnsi="宋体" w:cs="宋体"/>
          <w:b/>
          <w:color w:val="auto"/>
          <w:kern w:val="0"/>
          <w:sz w:val="24"/>
          <w:szCs w:val="24"/>
          <w:highlight w:val="none"/>
          <w:lang w:val="en-US" w:eastAsia="zh-CN"/>
        </w:rPr>
        <w:t>详见采购公告</w:t>
      </w:r>
      <w:r>
        <w:rPr>
          <w:rFonts w:hint="eastAsia" w:ascii="宋体" w:hAnsi="宋体" w:cs="宋体"/>
          <w:b/>
          <w:color w:val="auto"/>
          <w:kern w:val="0"/>
          <w:sz w:val="24"/>
          <w:szCs w:val="24"/>
          <w:highlight w:val="none"/>
          <w:lang w:eastAsia="zh-CN"/>
        </w:rPr>
        <w:t>）</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default"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rPr>
        <w:t>20.投标文件的签署</w:t>
      </w:r>
      <w:r>
        <w:rPr>
          <w:rFonts w:hint="eastAsia" w:ascii="宋体" w:hAnsi="宋体" w:cs="宋体"/>
          <w:b/>
          <w:color w:val="auto"/>
          <w:kern w:val="0"/>
          <w:sz w:val="24"/>
          <w:szCs w:val="24"/>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5" w:firstLineChars="198"/>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r>
        <w:rPr>
          <w:rFonts w:hint="eastAsia" w:ascii="宋体" w:hAnsi="宋体" w:eastAsia="宋体" w:cs="宋体"/>
          <w:color w:val="000000" w:themeColor="text1"/>
          <w:kern w:val="0"/>
          <w:sz w:val="24"/>
          <w:szCs w:val="24"/>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20</w:t>
      </w:r>
      <w:r>
        <w:rPr>
          <w:rFonts w:hint="eastAsia" w:ascii="宋体" w:hAnsi="宋体" w:eastAsia="宋体" w:cs="宋体"/>
          <w:color w:val="000000" w:themeColor="text1"/>
          <w:kern w:val="0"/>
          <w:sz w:val="24"/>
          <w:szCs w:val="24"/>
          <w:highlight w:val="none"/>
          <w14:textFill>
            <w14:solidFill>
              <w14:schemeClr w14:val="tx1"/>
            </w14:solidFill>
          </w14:textFill>
        </w:rPr>
        <w:t>.2 投标文件应当对</w:t>
      </w:r>
      <w:r>
        <w:rPr>
          <w:rFonts w:hint="eastAsia" w:ascii="宋体" w:hAnsi="宋体" w:cs="宋体"/>
          <w:color w:val="000000" w:themeColor="text1"/>
          <w:kern w:val="0"/>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kern w:val="0"/>
          <w:sz w:val="24"/>
          <w:szCs w:val="24"/>
          <w:highlight w:val="none"/>
          <w14:textFill>
            <w14:solidFill>
              <w14:schemeClr w14:val="tx1"/>
            </w14:solidFill>
          </w14:textFill>
        </w:rPr>
        <w:t>文件有关服务期、投标有效期、</w:t>
      </w:r>
      <w:r>
        <w:rPr>
          <w:rFonts w:hint="eastAsia" w:ascii="宋体" w:hAnsi="宋体" w:cs="宋体"/>
          <w:color w:val="000000" w:themeColor="text1"/>
          <w:kern w:val="0"/>
          <w:sz w:val="24"/>
          <w:szCs w:val="24"/>
          <w:highlight w:val="none"/>
          <w:lang w:val="en-US" w:eastAsia="zh-CN"/>
          <w14:textFill>
            <w14:solidFill>
              <w14:schemeClr w14:val="tx1"/>
            </w14:solidFill>
          </w14:textFill>
        </w:rPr>
        <w:t>服务</w:t>
      </w:r>
      <w:r>
        <w:rPr>
          <w:rFonts w:hint="eastAsia" w:ascii="宋体" w:hAnsi="宋体" w:eastAsia="宋体" w:cs="宋体"/>
          <w:color w:val="000000" w:themeColor="text1"/>
          <w:kern w:val="0"/>
          <w:sz w:val="24"/>
          <w:szCs w:val="24"/>
          <w:highlight w:val="none"/>
          <w14:textFill>
            <w14:solidFill>
              <w14:schemeClr w14:val="tx1"/>
            </w14:solidFill>
          </w14:textFill>
        </w:rPr>
        <w:t>要求、技术标准和要求、</w:t>
      </w:r>
      <w:r>
        <w:rPr>
          <w:rFonts w:hint="eastAsia" w:ascii="宋体" w:hAnsi="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.5投标文件的具体装订要求见投标人须知前附表规定。</w:t>
      </w:r>
    </w:p>
    <w:p>
      <w:pPr>
        <w:keepNext w:val="0"/>
        <w:keepLines w:val="0"/>
        <w:pageBreakBefore w:val="0"/>
        <w:widowControl/>
        <w:kinsoku/>
        <w:wordWrap/>
        <w:overflowPunct/>
        <w:topLinePunct w:val="0"/>
        <w:bidi w:val="0"/>
        <w:snapToGrid w:val="0"/>
        <w:spacing w:beforeAutospacing="0" w:afterAutospacing="0" w:line="360" w:lineRule="auto"/>
        <w:ind w:firstLine="1915" w:firstLineChars="795"/>
        <w:jc w:val="left"/>
        <w:rPr>
          <w:rFonts w:ascii="黑体" w:hAnsi="宋体" w:eastAsia="黑体" w:cs="宋体"/>
          <w:b/>
          <w:color w:val="auto"/>
          <w:kern w:val="0"/>
          <w:sz w:val="24"/>
          <w:szCs w:val="24"/>
          <w:highlight w:val="none"/>
        </w:rPr>
      </w:pPr>
      <w:r>
        <w:rPr>
          <w:rFonts w:hint="eastAsia" w:ascii="黑体" w:hAnsi="宋体" w:eastAsia="黑体" w:cs="宋体"/>
          <w:b/>
          <w:color w:val="auto"/>
          <w:kern w:val="0"/>
          <w:sz w:val="24"/>
          <w:szCs w:val="24"/>
          <w:highlight w:val="none"/>
        </w:rPr>
        <w:t>四、投标文件的递交</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7" w:firstLineChars="198"/>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21. 投标文件的密封、标记</w:t>
      </w:r>
    </w:p>
    <w:p>
      <w:pPr>
        <w:keepNext w:val="0"/>
        <w:keepLines w:val="0"/>
        <w:pageBreakBefore w:val="0"/>
        <w:kinsoku/>
        <w:wordWrap/>
        <w:overflowPunct/>
        <w:topLinePunct w:val="0"/>
        <w:autoSpaceDE/>
        <w:autoSpaceDN/>
        <w:bidi w:val="0"/>
        <w:adjustRightInd/>
        <w:spacing w:beforeAutospacing="0" w:afterAutospacing="0" w:line="360" w:lineRule="auto"/>
        <w:ind w:firstLine="484" w:firstLineChars="202"/>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21.1</w:t>
      </w:r>
      <w:r>
        <w:rPr>
          <w:color w:val="auto"/>
          <w:sz w:val="24"/>
          <w:szCs w:val="24"/>
          <w:highlight w:val="none"/>
        </w:rPr>
        <w:t>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80" w:firstLineChars="200"/>
        <w:jc w:val="left"/>
        <w:textAlignment w:val="auto"/>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rPr>
        <w:t>21.2 投标文件的封套上应清楚地标记“正本”或“副本”字样，封套上应写明的其他内容见投标人须知前附表</w:t>
      </w:r>
      <w:r>
        <w:rPr>
          <w:rFonts w:hint="eastAsia" w:ascii="宋体" w:hAnsi="宋体" w:cs="宋体"/>
          <w:color w:val="auto"/>
          <w:kern w:val="0"/>
          <w:sz w:val="24"/>
          <w:szCs w:val="24"/>
          <w:highlight w:val="none"/>
          <w:lang w:eastAsia="zh-CN"/>
        </w:rPr>
        <w:t>。</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sz w:val="24"/>
          <w:szCs w:val="24"/>
          <w:highlight w:val="none"/>
          <w:lang w:eastAsia="zh-CN"/>
        </w:rPr>
      </w:pPr>
      <w:r>
        <w:rPr>
          <w:rFonts w:hint="eastAsia"/>
          <w:sz w:val="24"/>
          <w:szCs w:val="24"/>
          <w:highlight w:val="none"/>
          <w:lang w:eastAsia="zh-CN"/>
        </w:rPr>
        <w:t>2</w:t>
      </w:r>
      <w:r>
        <w:rPr>
          <w:rFonts w:hint="eastAsia"/>
          <w:sz w:val="24"/>
          <w:szCs w:val="24"/>
          <w:highlight w:val="none"/>
          <w:lang w:val="en-US" w:eastAsia="zh-CN"/>
        </w:rPr>
        <w:t>1</w:t>
      </w:r>
      <w:r>
        <w:rPr>
          <w:rFonts w:hint="eastAsia"/>
          <w:sz w:val="24"/>
          <w:szCs w:val="24"/>
          <w:highlight w:val="none"/>
          <w:lang w:eastAsia="zh-CN"/>
        </w:rPr>
        <w:t>.3 未按本章第2</w:t>
      </w:r>
      <w:r>
        <w:rPr>
          <w:rFonts w:hint="eastAsia"/>
          <w:sz w:val="24"/>
          <w:szCs w:val="24"/>
          <w:highlight w:val="none"/>
          <w:lang w:val="en-US" w:eastAsia="zh-CN"/>
        </w:rPr>
        <w:t>1</w:t>
      </w:r>
      <w:r>
        <w:rPr>
          <w:rFonts w:hint="eastAsia"/>
          <w:sz w:val="24"/>
          <w:szCs w:val="24"/>
          <w:highlight w:val="none"/>
          <w:lang w:eastAsia="zh-CN"/>
        </w:rPr>
        <w:t>.1项或第2</w:t>
      </w:r>
      <w:r>
        <w:rPr>
          <w:rFonts w:hint="eastAsia"/>
          <w:sz w:val="24"/>
          <w:szCs w:val="24"/>
          <w:highlight w:val="none"/>
          <w:lang w:val="en-US" w:eastAsia="zh-CN"/>
        </w:rPr>
        <w:t>1</w:t>
      </w:r>
      <w:r>
        <w:rPr>
          <w:rFonts w:hint="eastAsia"/>
          <w:sz w:val="24"/>
          <w:szCs w:val="24"/>
          <w:highlight w:val="none"/>
          <w:lang w:eastAsia="zh-CN"/>
        </w:rPr>
        <w:t>.2项要求密封和加写标记的投标文件，采购人不予受理。</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22. 投标文件的递交</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right="-34" w:rightChars="-16"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.1 投标人应在规定的投标截止时间前</w:t>
      </w:r>
      <w:r>
        <w:rPr>
          <w:rFonts w:hint="eastAsia" w:ascii="宋体" w:hAnsi="宋体" w:cs="宋体"/>
          <w:color w:val="auto"/>
          <w:kern w:val="0"/>
          <w:sz w:val="24"/>
          <w:szCs w:val="24"/>
          <w:highlight w:val="none"/>
          <w:lang w:eastAsia="zh-CN"/>
        </w:rPr>
        <w:t>递交</w:t>
      </w:r>
      <w:r>
        <w:rPr>
          <w:rFonts w:hint="eastAsia" w:ascii="宋体" w:hAnsi="宋体" w:cs="宋体"/>
          <w:color w:val="auto"/>
          <w:kern w:val="0"/>
          <w:sz w:val="24"/>
          <w:szCs w:val="24"/>
          <w:highlight w:val="none"/>
        </w:rPr>
        <w:t>投标文件。</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right="-34" w:rightChars="-16"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right="-34" w:rightChars="-16"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right="-34" w:rightChars="-16"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23. 投标文件的修改和撤回</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23.1 投标人在投标截止时间前，可以对所提交的投标文件进行补充、修改或者撤回，并书面通知</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beforeAutospacing="0" w:afterAutospacing="0" w:line="360" w:lineRule="auto"/>
        <w:jc w:val="center"/>
        <w:rPr>
          <w:rFonts w:ascii="宋体" w:hAnsi="宋体" w:cs="宋体"/>
          <w:color w:val="auto"/>
          <w:kern w:val="0"/>
          <w:sz w:val="24"/>
          <w:szCs w:val="24"/>
          <w:highlight w:val="none"/>
        </w:rPr>
      </w:pPr>
      <w:r>
        <w:rPr>
          <w:rFonts w:hint="eastAsia" w:ascii="黑体" w:hAnsi="宋体" w:eastAsia="黑体" w:cs="宋体"/>
          <w:b/>
          <w:bCs/>
          <w:color w:val="auto"/>
          <w:kern w:val="0"/>
          <w:sz w:val="24"/>
          <w:szCs w:val="24"/>
          <w:highlight w:val="none"/>
          <w:lang w:val="en-US" w:eastAsia="zh-CN"/>
        </w:rPr>
        <w:t>五</w:t>
      </w:r>
      <w:r>
        <w:rPr>
          <w:rFonts w:hint="eastAsia" w:ascii="黑体" w:hAnsi="宋体" w:eastAsia="黑体" w:cs="宋体"/>
          <w:b/>
          <w:bCs/>
          <w:color w:val="auto"/>
          <w:kern w:val="0"/>
          <w:sz w:val="24"/>
          <w:szCs w:val="24"/>
          <w:highlight w:val="none"/>
        </w:rPr>
        <w:t>、评标</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4</w:t>
      </w:r>
      <w:r>
        <w:rPr>
          <w:rFonts w:hint="eastAsia" w:ascii="宋体" w:hAnsi="宋体" w:cs="宋体"/>
          <w:b/>
          <w:bCs/>
          <w:color w:val="auto"/>
          <w:kern w:val="0"/>
          <w:sz w:val="24"/>
          <w:szCs w:val="24"/>
          <w:highlight w:val="none"/>
        </w:rPr>
        <w:t>. 组建评标委员会</w:t>
      </w:r>
    </w:p>
    <w:p>
      <w:pPr>
        <w:keepNext w:val="0"/>
        <w:keepLines w:val="0"/>
        <w:pageBreakBefore w:val="0"/>
        <w:kinsoku/>
        <w:wordWrap/>
        <w:overflowPunct/>
        <w:topLinePunct w:val="0"/>
        <w:bidi w:val="0"/>
        <w:snapToGrid w:val="0"/>
        <w:spacing w:beforeAutospacing="0" w:afterAutospacing="0"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.1 评标委员会由采购人代表和评审专家组成。成员由</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人以上单数组成。</w:t>
      </w:r>
      <w:r>
        <w:rPr>
          <w:rFonts w:hint="eastAsia" w:ascii="宋体" w:hAnsi="宋体" w:cs="宋体"/>
          <w:color w:val="auto"/>
          <w:sz w:val="24"/>
          <w:szCs w:val="24"/>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.2评标委员会成员要依法独立评审，并对评审意见承担个人责任。</w:t>
      </w:r>
      <w:r>
        <w:rPr>
          <w:rFonts w:hint="eastAsia" w:ascii="宋体" w:hAnsi="宋体" w:cs="宋体"/>
          <w:color w:val="auto"/>
          <w:sz w:val="24"/>
          <w:szCs w:val="24"/>
          <w:highlight w:val="none"/>
        </w:rPr>
        <w:t>评标委员会成员对需要共同认定的事项存在争议的，按照少数服从多数的原则</w:t>
      </w:r>
      <w:r>
        <w:rPr>
          <w:rFonts w:hint="eastAsia" w:ascii="宋体" w:hAnsi="宋体" w:cs="宋体"/>
          <w:color w:val="auto"/>
          <w:kern w:val="0"/>
          <w:sz w:val="24"/>
          <w:szCs w:val="24"/>
          <w:highlight w:val="none"/>
        </w:rPr>
        <w:t>做</w:t>
      </w:r>
      <w:r>
        <w:rPr>
          <w:rFonts w:hint="eastAsia" w:ascii="宋体" w:hAnsi="宋体" w:cs="宋体"/>
          <w:color w:val="auto"/>
          <w:sz w:val="24"/>
          <w:szCs w:val="24"/>
          <w:highlight w:val="none"/>
        </w:rPr>
        <w:t>出结论。持不同意见的评标委员会成员应当在评标报告上签署不同意见</w:t>
      </w:r>
      <w:r>
        <w:rPr>
          <w:rFonts w:hint="eastAsia" w:ascii="宋体" w:hAnsi="宋体" w:cs="宋体"/>
          <w:color w:val="auto"/>
          <w:kern w:val="0"/>
          <w:sz w:val="24"/>
          <w:szCs w:val="24"/>
          <w:highlight w:val="none"/>
        </w:rPr>
        <w:t>并说明</w:t>
      </w:r>
      <w:r>
        <w:rPr>
          <w:rFonts w:hint="eastAsia" w:ascii="宋体" w:hAnsi="宋体" w:cs="宋体"/>
          <w:color w:val="auto"/>
          <w:sz w:val="24"/>
          <w:szCs w:val="24"/>
          <w:highlight w:val="none"/>
        </w:rPr>
        <w:t>理由，否则视为同意。</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2</w:t>
      </w:r>
      <w:r>
        <w:rPr>
          <w:rFonts w:hint="eastAsia" w:ascii="宋体" w:hAnsi="宋体" w:cs="宋体"/>
          <w:b/>
          <w:bCs/>
          <w:color w:val="auto"/>
          <w:sz w:val="24"/>
          <w:szCs w:val="24"/>
          <w:highlight w:val="none"/>
          <w:lang w:val="en-US" w:eastAsia="zh-CN"/>
        </w:rPr>
        <w:t>5</w:t>
      </w:r>
      <w:r>
        <w:rPr>
          <w:rFonts w:hint="eastAsia" w:ascii="宋体" w:hAnsi="宋体" w:cs="宋体"/>
          <w:b/>
          <w:bCs/>
          <w:color w:val="auto"/>
          <w:sz w:val="24"/>
          <w:szCs w:val="24"/>
          <w:highlight w:val="none"/>
        </w:rPr>
        <w:t>. 投标文件的初审</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.1对所有投标人的评估，都采用相同的程序和标准。评标过程将严格按照</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文件的要求和条件进行。</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3</w:t>
      </w:r>
      <w:r>
        <w:rPr>
          <w:rFonts w:ascii="宋体" w:hAnsi="宋体" w:cs="宋体"/>
          <w:color w:val="auto"/>
          <w:kern w:val="0"/>
          <w:sz w:val="24"/>
          <w:szCs w:val="24"/>
          <w:highlight w:val="none"/>
        </w:rPr>
        <w:t> </w:t>
      </w:r>
      <w:r>
        <w:rPr>
          <w:rFonts w:hint="eastAsia"/>
          <w:color w:val="auto"/>
          <w:kern w:val="0"/>
          <w:sz w:val="24"/>
          <w:szCs w:val="24"/>
          <w:highlight w:val="none"/>
        </w:rPr>
        <w:t>投标文件报价出现前后不一致的，除</w:t>
      </w:r>
      <w:r>
        <w:rPr>
          <w:rFonts w:hint="eastAsia"/>
          <w:color w:val="auto"/>
          <w:kern w:val="0"/>
          <w:sz w:val="24"/>
          <w:szCs w:val="24"/>
          <w:highlight w:val="none"/>
          <w:lang w:val="en-US" w:eastAsia="zh-CN"/>
        </w:rPr>
        <w:t>采购</w:t>
      </w:r>
      <w:r>
        <w:rPr>
          <w:rFonts w:hint="eastAsia"/>
          <w:color w:val="auto"/>
          <w:kern w:val="0"/>
          <w:sz w:val="24"/>
          <w:szCs w:val="24"/>
          <w:highlight w:val="none"/>
        </w:rPr>
        <w:t>文件另有规定外，</w:t>
      </w:r>
      <w:r>
        <w:rPr>
          <w:rFonts w:hint="eastAsia" w:cs="宋体"/>
          <w:color w:val="auto"/>
          <w:kern w:val="0"/>
          <w:sz w:val="24"/>
          <w:szCs w:val="24"/>
          <w:highlight w:val="none"/>
        </w:rPr>
        <w:t>修正错误的原则如下：</w:t>
      </w:r>
    </w:p>
    <w:p>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.3.1</w:t>
      </w:r>
      <w:r>
        <w:rPr>
          <w:rFonts w:hint="eastAsia" w:ascii="宋体" w:hAnsi="宋体" w:cs="宋体"/>
          <w:color w:val="auto"/>
          <w:sz w:val="24"/>
          <w:szCs w:val="24"/>
          <w:highlight w:val="none"/>
          <w:shd w:val="clear" w:color="auto" w:fill="FFFFFF"/>
        </w:rPr>
        <w:t>投标文件开标一览表（报价表）内容与投标文件中相应内容不一致的，以开标一览表（报价表）为准；</w:t>
      </w:r>
    </w:p>
    <w:p>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.3.2</w:t>
      </w:r>
      <w:r>
        <w:rPr>
          <w:rFonts w:hint="eastAsia" w:ascii="宋体" w:hAnsi="宋体" w:cs="宋体"/>
          <w:color w:val="auto"/>
          <w:sz w:val="24"/>
          <w:szCs w:val="24"/>
          <w:highlight w:val="none"/>
          <w:shd w:val="clear" w:color="auto" w:fill="FFFFFF"/>
        </w:rPr>
        <w:t>大写金额</w:t>
      </w:r>
      <w:r>
        <w:rPr>
          <w:rFonts w:hint="eastAsia" w:ascii="宋体" w:hAnsi="宋体" w:cs="宋体"/>
          <w:color w:val="auto"/>
          <w:sz w:val="24"/>
          <w:szCs w:val="24"/>
          <w:highlight w:val="none"/>
        </w:rPr>
        <w:t>与</w:t>
      </w:r>
      <w:r>
        <w:rPr>
          <w:rFonts w:hint="eastAsia" w:ascii="宋体" w:hAnsi="宋体" w:cs="宋体"/>
          <w:color w:val="auto"/>
          <w:sz w:val="24"/>
          <w:szCs w:val="24"/>
          <w:highlight w:val="none"/>
          <w:shd w:val="clear" w:color="auto" w:fill="FFFFFF"/>
        </w:rPr>
        <w:t>小写金额不一致的，以大写金额为准；</w:t>
      </w:r>
    </w:p>
    <w:p>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.3.3</w:t>
      </w:r>
      <w:r>
        <w:rPr>
          <w:rFonts w:hint="eastAsia" w:ascii="宋体" w:hAnsi="宋体" w:cs="宋体"/>
          <w:color w:val="auto"/>
          <w:sz w:val="24"/>
          <w:szCs w:val="24"/>
          <w:highlight w:val="none"/>
          <w:shd w:val="clear" w:color="auto" w:fill="FFFFFF"/>
        </w:rPr>
        <w:t>单价金额小数点或者百分比有明显错位的，以开标一览表的总价为准，并修改单价；</w:t>
      </w:r>
    </w:p>
    <w:p>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.3.4</w:t>
      </w:r>
      <w:r>
        <w:rPr>
          <w:rFonts w:hint="eastAsia" w:ascii="宋体" w:hAnsi="宋体" w:cs="宋体"/>
          <w:color w:val="auto"/>
          <w:sz w:val="24"/>
          <w:szCs w:val="24"/>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.4 资格性检查和符合性检查。</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.4.1</w:t>
      </w:r>
      <w:r>
        <w:rPr>
          <w:rFonts w:hint="eastAsia" w:ascii="宋体" w:hAnsi="宋体"/>
          <w:color w:val="auto"/>
          <w:sz w:val="24"/>
          <w:szCs w:val="24"/>
          <w:highlight w:val="none"/>
        </w:rPr>
        <w:t>资格性检查。依据法规政策和</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文件的规定，在对投标文件详细评估之前，采购人将依据投标人提交的投标文件按</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公告第二项和</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文件所规定的资格标准或提供资格证明文件不全,其投标将被作为无效投标。</w:t>
      </w:r>
      <w:r>
        <w:rPr>
          <w:rFonts w:hint="eastAsia" w:ascii="宋体" w:hAnsi="宋体" w:cs="Lucida Sans Unicode"/>
          <w:color w:val="auto"/>
          <w:sz w:val="24"/>
          <w:szCs w:val="24"/>
          <w:highlight w:val="none"/>
        </w:rPr>
        <w:t>在审查过程中，采购人有权要求投标人按</w:t>
      </w:r>
      <w:r>
        <w:rPr>
          <w:rFonts w:hint="eastAsia" w:ascii="宋体" w:hAnsi="宋体" w:cs="Lucida Sans Unicode"/>
          <w:color w:val="auto"/>
          <w:sz w:val="24"/>
          <w:szCs w:val="24"/>
          <w:highlight w:val="none"/>
          <w:lang w:val="en-US" w:eastAsia="zh-CN"/>
        </w:rPr>
        <w:t>采购</w:t>
      </w:r>
      <w:r>
        <w:rPr>
          <w:rFonts w:hint="eastAsia" w:ascii="宋体" w:hAnsi="宋体" w:cs="Lucida Sans Unicode"/>
          <w:color w:val="auto"/>
          <w:sz w:val="24"/>
          <w:szCs w:val="24"/>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Lucida Sans Unicode"/>
          <w:color w:val="auto"/>
          <w:sz w:val="24"/>
          <w:szCs w:val="24"/>
          <w:highlight w:val="none"/>
        </w:rPr>
      </w:pPr>
      <w:r>
        <w:rPr>
          <w:rFonts w:hint="eastAsia" w:ascii="宋体" w:hAnsi="宋体" w:cs="Lucida Sans Unicode"/>
          <w:color w:val="auto"/>
          <w:sz w:val="24"/>
          <w:szCs w:val="24"/>
          <w:highlight w:val="none"/>
        </w:rPr>
        <w:t>2</w:t>
      </w:r>
      <w:r>
        <w:rPr>
          <w:rFonts w:hint="eastAsia" w:ascii="宋体" w:hAnsi="宋体" w:cs="Lucida Sans Unicode"/>
          <w:color w:val="auto"/>
          <w:sz w:val="24"/>
          <w:szCs w:val="24"/>
          <w:highlight w:val="none"/>
          <w:lang w:val="en-US" w:eastAsia="zh-CN"/>
        </w:rPr>
        <w:t>5</w:t>
      </w:r>
      <w:r>
        <w:rPr>
          <w:rFonts w:hint="eastAsia" w:ascii="宋体" w:hAnsi="宋体" w:cs="Lucida Sans Unicode"/>
          <w:color w:val="auto"/>
          <w:sz w:val="24"/>
          <w:szCs w:val="24"/>
          <w:highlight w:val="none"/>
        </w:rPr>
        <w:t>.4.2 资格审查后合格的投标人不足3家的，不得评标。</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.4.3 符合性检查。依据</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文件的规定，评标委员会将从投标文件的有效性、完整性和对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文件的响应程度进行审查，以确定是否符合对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文件要求：</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（3）资格证明文件不全的，或不符合</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文件标明的资格要求的。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（4）投标</w:t>
      </w:r>
      <w:r>
        <w:rPr>
          <w:rFonts w:hint="eastAsia" w:ascii="宋体" w:hAnsi="宋体"/>
          <w:color w:val="000000" w:themeColor="text1"/>
          <w:sz w:val="24"/>
          <w:szCs w:val="24"/>
          <w:highlight w:val="none"/>
          <w14:textFill>
            <w14:solidFill>
              <w14:schemeClr w14:val="tx1"/>
            </w14:solidFill>
          </w14:textFill>
        </w:rPr>
        <w:t>有效期、</w:t>
      </w:r>
      <w:r>
        <w:rPr>
          <w:rFonts w:hint="eastAsia" w:ascii="宋体" w:hAnsi="宋体"/>
          <w:color w:val="000000" w:themeColor="text1"/>
          <w:sz w:val="24"/>
          <w:szCs w:val="24"/>
          <w:highlight w:val="none"/>
          <w:lang w:val="en-US" w:eastAsia="zh-CN"/>
          <w14:textFill>
            <w14:solidFill>
              <w14:schemeClr w14:val="tx1"/>
            </w14:solidFill>
          </w14:textFill>
        </w:rPr>
        <w:t>服务</w:t>
      </w:r>
      <w:r>
        <w:rPr>
          <w:rFonts w:hint="eastAsia" w:ascii="宋体" w:hAnsi="宋体"/>
          <w:color w:val="000000" w:themeColor="text1"/>
          <w:sz w:val="24"/>
          <w:szCs w:val="24"/>
          <w:highlight w:val="none"/>
          <w14:textFill>
            <w14:solidFill>
              <w14:schemeClr w14:val="tx1"/>
            </w14:solidFill>
          </w14:textFill>
        </w:rPr>
        <w:t>时间、质保期等不</w:t>
      </w:r>
      <w:r>
        <w:rPr>
          <w:rFonts w:hint="eastAsia" w:ascii="宋体" w:hAnsi="宋体"/>
          <w:color w:val="auto"/>
          <w:sz w:val="24"/>
          <w:szCs w:val="24"/>
          <w:highlight w:val="none"/>
        </w:rPr>
        <w:t>满足</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文件要求的。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（5）未按</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（6）投标文件的实质性内容未使用中文表述，或意思表述不明确，或前后矛盾，或使用计量单位不符合</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文件要求的。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ascii="宋体" w:hAnsi="宋体" w:cs="宋体"/>
          <w:color w:val="auto"/>
          <w:kern w:val="0"/>
          <w:sz w:val="24"/>
          <w:szCs w:val="24"/>
          <w:highlight w:val="none"/>
        </w:rPr>
      </w:pPr>
      <w:r>
        <w:rPr>
          <w:rFonts w:hint="eastAsia" w:ascii="宋体" w:hAnsi="宋体"/>
          <w:color w:val="auto"/>
          <w:sz w:val="24"/>
          <w:szCs w:val="24"/>
          <w:highlight w:val="none"/>
        </w:rPr>
        <w:t>（8）投标文件内容未按</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文件响应的。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（9）不符合</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.4.4 对资格性检查和符合性检查不合格的投标人，将</w:t>
      </w:r>
      <w:r>
        <w:rPr>
          <w:rFonts w:hint="eastAsia" w:ascii="宋体" w:hAnsi="宋体" w:cs="宋体"/>
          <w:color w:val="auto"/>
          <w:kern w:val="0"/>
          <w:sz w:val="24"/>
          <w:szCs w:val="24"/>
          <w:highlight w:val="none"/>
          <w:lang w:val="en-US" w:eastAsia="zh-CN"/>
        </w:rPr>
        <w:t>通过评标系统</w:t>
      </w:r>
      <w:r>
        <w:rPr>
          <w:rFonts w:hint="eastAsia" w:ascii="宋体" w:hAnsi="宋体" w:cs="宋体"/>
          <w:color w:val="auto"/>
          <w:kern w:val="0"/>
          <w:sz w:val="24"/>
          <w:szCs w:val="24"/>
          <w:highlight w:val="none"/>
        </w:rPr>
        <w:t>告知其理由。</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beforeAutospacing="0" w:afterAutospacing="0" w:line="360" w:lineRule="auto"/>
        <w:ind w:left="19" w:leftChars="9" w:firstLine="456" w:firstLineChars="190"/>
        <w:jc w:val="left"/>
        <w:textAlignment w:val="baseline"/>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.5.7 有证据证明投标人串通投标的其他情形的；</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.5.8 不同投标人的投标文件制作机器码一致；</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.5.9 评标委员会认定的其他串通投标情形。</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6</w:t>
      </w:r>
      <w:r>
        <w:rPr>
          <w:rFonts w:hint="eastAsia" w:ascii="宋体" w:hAnsi="宋体" w:cs="宋体"/>
          <w:b/>
          <w:bCs/>
          <w:color w:val="auto"/>
          <w:kern w:val="0"/>
          <w:sz w:val="24"/>
          <w:szCs w:val="24"/>
          <w:highlight w:val="none"/>
        </w:rPr>
        <w:t>. 投标文件的澄清</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color w:val="auto"/>
          <w:sz w:val="24"/>
          <w:szCs w:val="24"/>
          <w:highlight w:val="none"/>
        </w:rPr>
      </w:pPr>
      <w:r>
        <w:rPr>
          <w:rFonts w:hint="eastAsia" w:ascii="宋体" w:hAnsi="宋体" w:cs="宋体"/>
          <w:color w:val="auto"/>
          <w:kern w:val="0"/>
          <w:sz w:val="24"/>
          <w:szCs w:val="24"/>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7</w:t>
      </w:r>
      <w:r>
        <w:rPr>
          <w:rFonts w:hint="eastAsia" w:ascii="宋体" w:hAnsi="宋体" w:cs="宋体"/>
          <w:b/>
          <w:bCs/>
          <w:color w:val="auto"/>
          <w:kern w:val="0"/>
          <w:sz w:val="24"/>
          <w:szCs w:val="24"/>
          <w:highlight w:val="none"/>
        </w:rPr>
        <w:t>. 比较与评价</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7</w:t>
      </w:r>
      <w:r>
        <w:rPr>
          <w:rFonts w:hint="eastAsia" w:ascii="宋体" w:hAnsi="宋体" w:cs="宋体"/>
          <w:color w:val="auto"/>
          <w:sz w:val="24"/>
          <w:szCs w:val="24"/>
          <w:highlight w:val="none"/>
        </w:rPr>
        <w:t>.1 评标委员会将按本</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文件规定的评标方法与标准，对资格性检查和符合性检查合格的投标文件进行商务和技术评估，综合比较与评价。</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7</w:t>
      </w:r>
      <w:r>
        <w:rPr>
          <w:rFonts w:hint="eastAsia" w:ascii="宋体" w:hAnsi="宋体" w:cs="宋体"/>
          <w:color w:val="auto"/>
          <w:sz w:val="24"/>
          <w:szCs w:val="24"/>
          <w:highlight w:val="none"/>
        </w:rPr>
        <w:t>.2对漏（缺）报项的处理：</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文件中要求列入报价的费用（含配置、功能），漏（缺）报的视同已含在投标总价中。</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b/>
          <w:bCs/>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7</w:t>
      </w:r>
      <w:r>
        <w:rPr>
          <w:rFonts w:hint="eastAsia" w:ascii="宋体" w:hAnsi="宋体" w:cs="宋体"/>
          <w:color w:val="auto"/>
          <w:sz w:val="24"/>
          <w:szCs w:val="24"/>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8</w:t>
      </w:r>
      <w:r>
        <w:rPr>
          <w:rFonts w:hint="eastAsia" w:ascii="宋体" w:hAnsi="宋体" w:cs="宋体"/>
          <w:b/>
          <w:bCs/>
          <w:color w:val="auto"/>
          <w:kern w:val="0"/>
          <w:sz w:val="24"/>
          <w:szCs w:val="24"/>
          <w:highlight w:val="none"/>
        </w:rPr>
        <w:t>. 评标过程及保密原则</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rPr>
        <w:t>.1 凡与本次</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lang w:val="en-US" w:eastAsia="zh-CN"/>
        </w:rPr>
        <w:t>29</w:t>
      </w:r>
      <w:r>
        <w:rPr>
          <w:rFonts w:hint="eastAsia" w:ascii="宋体" w:hAnsi="宋体" w:cs="宋体"/>
          <w:b/>
          <w:color w:val="auto"/>
          <w:kern w:val="0"/>
          <w:sz w:val="24"/>
          <w:szCs w:val="24"/>
          <w:highlight w:val="none"/>
        </w:rPr>
        <w:t>.评标异议登记</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bCs/>
          <w:color w:val="auto"/>
          <w:kern w:val="0"/>
          <w:sz w:val="24"/>
          <w:szCs w:val="24"/>
          <w:highlight w:val="none"/>
        </w:rPr>
        <w:t>采购人</w:t>
      </w:r>
      <w:r>
        <w:rPr>
          <w:rFonts w:hint="eastAsia" w:ascii="宋体" w:hAnsi="宋体" w:cs="宋体"/>
          <w:color w:val="auto"/>
          <w:kern w:val="0"/>
          <w:sz w:val="24"/>
          <w:szCs w:val="24"/>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beforeAutospacing="0" w:afterAutospacing="0" w:line="360" w:lineRule="auto"/>
        <w:ind w:firstLine="3050"/>
        <w:jc w:val="left"/>
        <w:rPr>
          <w:rFonts w:ascii="宋体" w:hAnsi="宋体" w:cs="宋体"/>
          <w:color w:val="auto"/>
          <w:kern w:val="0"/>
          <w:sz w:val="24"/>
          <w:szCs w:val="24"/>
          <w:highlight w:val="none"/>
        </w:rPr>
      </w:pPr>
      <w:r>
        <w:rPr>
          <w:rFonts w:hint="eastAsia" w:ascii="黑体" w:hAnsi="宋体" w:eastAsia="黑体" w:cs="宋体"/>
          <w:b/>
          <w:bCs/>
          <w:color w:val="auto"/>
          <w:kern w:val="0"/>
          <w:sz w:val="24"/>
          <w:szCs w:val="24"/>
          <w:highlight w:val="none"/>
          <w:lang w:val="en-US" w:eastAsia="zh-CN"/>
        </w:rPr>
        <w:t>六</w:t>
      </w:r>
      <w:r>
        <w:rPr>
          <w:rFonts w:hint="eastAsia" w:ascii="黑体" w:hAnsi="宋体" w:eastAsia="黑体" w:cs="宋体"/>
          <w:b/>
          <w:bCs/>
          <w:color w:val="auto"/>
          <w:kern w:val="0"/>
          <w:sz w:val="24"/>
          <w:szCs w:val="24"/>
          <w:highlight w:val="none"/>
        </w:rPr>
        <w:t>、定标</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0</w:t>
      </w:r>
      <w:r>
        <w:rPr>
          <w:rFonts w:hint="eastAsia" w:ascii="宋体" w:hAnsi="宋体" w:cs="宋体"/>
          <w:b/>
          <w:bCs/>
          <w:color w:val="auto"/>
          <w:kern w:val="0"/>
          <w:sz w:val="24"/>
          <w:szCs w:val="24"/>
          <w:highlight w:val="none"/>
        </w:rPr>
        <w:t>. 定标原则</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0</w:t>
      </w:r>
      <w:r>
        <w:rPr>
          <w:rFonts w:hint="eastAsia" w:ascii="宋体" w:hAnsi="宋体" w:cs="宋体"/>
          <w:bCs/>
          <w:color w:val="auto"/>
          <w:kern w:val="0"/>
          <w:sz w:val="24"/>
          <w:szCs w:val="24"/>
          <w:highlight w:val="none"/>
        </w:rPr>
        <w:t>.1 最低投标价不作为中标的保证。</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0</w:t>
      </w:r>
      <w:r>
        <w:rPr>
          <w:rFonts w:hint="eastAsia" w:ascii="宋体" w:hAnsi="宋体" w:cs="宋体"/>
          <w:bCs/>
          <w:color w:val="auto"/>
          <w:kern w:val="0"/>
          <w:sz w:val="24"/>
          <w:szCs w:val="24"/>
          <w:highlight w:val="none"/>
        </w:rPr>
        <w:t>.2 确定实质上响应</w:t>
      </w:r>
      <w:r>
        <w:rPr>
          <w:rFonts w:hint="eastAsia" w:ascii="宋体" w:hAnsi="宋体" w:cs="宋体"/>
          <w:bCs/>
          <w:color w:val="auto"/>
          <w:kern w:val="0"/>
          <w:sz w:val="24"/>
          <w:szCs w:val="24"/>
          <w:highlight w:val="none"/>
          <w:lang w:val="en-US" w:eastAsia="zh-CN"/>
        </w:rPr>
        <w:t>采购</w:t>
      </w:r>
      <w:r>
        <w:rPr>
          <w:rFonts w:hint="eastAsia" w:ascii="宋体" w:hAnsi="宋体" w:cs="宋体"/>
          <w:bCs/>
          <w:color w:val="auto"/>
          <w:kern w:val="0"/>
          <w:sz w:val="24"/>
          <w:szCs w:val="24"/>
          <w:highlight w:val="none"/>
        </w:rPr>
        <w:t>文件且满足下列条件的为中标候选人（或中标人）</w:t>
      </w:r>
    </w:p>
    <w:p>
      <w:pPr>
        <w:keepNext w:val="0"/>
        <w:keepLines w:val="0"/>
        <w:pageBreakBefore w:val="0"/>
        <w:kinsoku/>
        <w:wordWrap/>
        <w:overflowPunct/>
        <w:topLinePunct w:val="0"/>
        <w:bidi w:val="0"/>
        <w:snapToGrid w:val="0"/>
        <w:spacing w:beforeAutospacing="0" w:afterAutospacing="0" w:line="360" w:lineRule="auto"/>
        <w:ind w:firstLine="480" w:firstLineChars="200"/>
        <w:rPr>
          <w:rFonts w:ascii="宋体" w:hAnsi="宋体" w:cs="宋体"/>
          <w:color w:val="auto"/>
          <w:sz w:val="24"/>
          <w:szCs w:val="24"/>
          <w:highlight w:val="none"/>
        </w:rPr>
      </w:pPr>
      <w:bookmarkStart w:id="39" w:name="_Toc32200"/>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0</w:t>
      </w:r>
      <w:r>
        <w:rPr>
          <w:rFonts w:hint="eastAsia" w:ascii="宋体" w:hAnsi="宋体" w:cs="宋体"/>
          <w:bCs/>
          <w:color w:val="auto"/>
          <w:kern w:val="0"/>
          <w:sz w:val="24"/>
          <w:szCs w:val="24"/>
          <w:highlight w:val="none"/>
        </w:rPr>
        <w:t>.2.1</w:t>
      </w:r>
      <w:bookmarkEnd w:id="39"/>
      <w:r>
        <w:rPr>
          <w:rFonts w:hint="eastAsia" w:ascii="宋体" w:hAnsi="宋体" w:cs="宋体"/>
          <w:bCs/>
          <w:color w:val="auto"/>
          <w:kern w:val="0"/>
          <w:sz w:val="24"/>
          <w:szCs w:val="24"/>
          <w:highlight w:val="none"/>
        </w:rPr>
        <w:t>本次评标采用</w:t>
      </w:r>
      <w:r>
        <w:rPr>
          <w:rFonts w:hint="eastAsia" w:ascii="宋体" w:hAnsi="宋体" w:cs="宋体"/>
          <w:color w:val="auto"/>
          <w:sz w:val="24"/>
          <w:szCs w:val="24"/>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beforeAutospacing="0" w:afterAutospacing="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采用综合评分法的，评标结果按评审后得分由高到低顺序排列。投标文件满足</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1</w:t>
      </w:r>
      <w:r>
        <w:rPr>
          <w:rFonts w:hint="eastAsia" w:ascii="宋体" w:hAnsi="宋体" w:cs="宋体"/>
          <w:b/>
          <w:bCs/>
          <w:color w:val="auto"/>
          <w:kern w:val="0"/>
          <w:sz w:val="24"/>
          <w:szCs w:val="24"/>
          <w:highlight w:val="none"/>
        </w:rPr>
        <w:t>. 确定中标人和中标候选人</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bCs/>
          <w:color w:val="auto"/>
          <w:kern w:val="0"/>
          <w:sz w:val="24"/>
          <w:szCs w:val="24"/>
          <w:highlight w:val="none"/>
        </w:rPr>
        <w:t>本项目由采购人授权评标委员会确定一名中标人并推荐</w:t>
      </w:r>
      <w:r>
        <w:rPr>
          <w:rFonts w:hint="eastAsia" w:ascii="宋体" w:hAnsi="宋体" w:cs="宋体"/>
          <w:bCs/>
          <w:color w:val="auto"/>
          <w:kern w:val="0"/>
          <w:sz w:val="24"/>
          <w:szCs w:val="24"/>
          <w:highlight w:val="none"/>
          <w:lang w:eastAsia="zh-CN"/>
        </w:rPr>
        <w:t>一</w:t>
      </w:r>
      <w:r>
        <w:rPr>
          <w:rFonts w:hint="eastAsia" w:ascii="宋体" w:hAnsi="宋体" w:cs="宋体"/>
          <w:bCs/>
          <w:color w:val="auto"/>
          <w:kern w:val="0"/>
          <w:sz w:val="24"/>
          <w:szCs w:val="24"/>
          <w:highlight w:val="none"/>
        </w:rPr>
        <w:t>名中标候选人</w:t>
      </w:r>
      <w:r>
        <w:rPr>
          <w:rFonts w:hint="eastAsia" w:ascii="宋体" w:hAnsi="宋体" w:cs="宋体"/>
          <w:color w:val="auto"/>
          <w:kern w:val="0"/>
          <w:sz w:val="24"/>
          <w:szCs w:val="24"/>
          <w:highlight w:val="none"/>
        </w:rPr>
        <w:t>。</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2</w:t>
      </w:r>
      <w:r>
        <w:rPr>
          <w:rFonts w:hint="eastAsia" w:ascii="宋体" w:hAnsi="宋体" w:cs="宋体"/>
          <w:b/>
          <w:bCs/>
          <w:color w:val="auto"/>
          <w:kern w:val="0"/>
          <w:sz w:val="24"/>
          <w:szCs w:val="24"/>
          <w:highlight w:val="none"/>
        </w:rPr>
        <w:t>. 中标通知书及中标公告</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.1评审结束后，</w:t>
      </w:r>
      <w:r>
        <w:rPr>
          <w:rFonts w:hint="eastAsia" w:ascii="宋体" w:hAnsi="宋体" w:cs="宋体"/>
          <w:color w:val="auto"/>
          <w:kern w:val="0"/>
          <w:sz w:val="24"/>
          <w:szCs w:val="24"/>
          <w:highlight w:val="none"/>
          <w:lang w:eastAsia="zh-CN"/>
        </w:rPr>
        <w:t>采购</w:t>
      </w:r>
      <w:r>
        <w:rPr>
          <w:rFonts w:hint="eastAsia" w:ascii="宋体" w:hAnsi="宋体" w:cs="宋体"/>
          <w:color w:val="auto"/>
          <w:kern w:val="0"/>
          <w:sz w:val="24"/>
          <w:szCs w:val="24"/>
          <w:highlight w:val="none"/>
        </w:rPr>
        <w:t>人将中标候选人的情况在本</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项目</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公告发布的同一媒介予以公示，公示</w:t>
      </w:r>
      <w:r>
        <w:rPr>
          <w:rFonts w:hint="eastAsia" w:ascii="宋体" w:hAnsi="宋体" w:cs="宋体"/>
          <w:color w:val="auto"/>
          <w:kern w:val="0"/>
          <w:sz w:val="24"/>
          <w:szCs w:val="24"/>
          <w:highlight w:val="none"/>
          <w:lang w:eastAsia="zh-CN"/>
        </w:rPr>
        <w:t>期限</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lang w:eastAsia="zh-CN"/>
        </w:rPr>
        <w:t>个工作日</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公示期结束后</w:t>
      </w:r>
      <w:r>
        <w:rPr>
          <w:rFonts w:hint="eastAsia" w:ascii="宋体" w:hAnsi="宋体" w:cs="宋体"/>
          <w:color w:val="auto"/>
          <w:kern w:val="0"/>
          <w:sz w:val="24"/>
          <w:szCs w:val="24"/>
          <w:highlight w:val="none"/>
        </w:rPr>
        <w:t>向中标人发出中标通知书。</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bCs/>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2</w:t>
      </w:r>
      <w:r>
        <w:rPr>
          <w:rFonts w:hint="eastAsia" w:ascii="宋体" w:hAnsi="宋体" w:cs="宋体"/>
          <w:bCs/>
          <w:color w:val="auto"/>
          <w:kern w:val="0"/>
          <w:sz w:val="24"/>
          <w:szCs w:val="24"/>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3</w:t>
      </w:r>
      <w:r>
        <w:rPr>
          <w:rFonts w:hint="eastAsia" w:ascii="宋体" w:hAnsi="宋体" w:cs="宋体"/>
          <w:b/>
          <w:bCs/>
          <w:color w:val="auto"/>
          <w:kern w:val="0"/>
          <w:sz w:val="24"/>
          <w:szCs w:val="24"/>
          <w:highlight w:val="none"/>
        </w:rPr>
        <w:t>. 采购人宣布废标的权利</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.1.1出现影响采购公正的违法、违规行为的。</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.1.2投标人的报价均超过了</w:t>
      </w:r>
      <w:r>
        <w:rPr>
          <w:rFonts w:hint="eastAsia" w:ascii="宋体" w:hAnsi="宋体" w:cs="宋体"/>
          <w:bCs/>
          <w:color w:val="auto"/>
          <w:kern w:val="0"/>
          <w:sz w:val="24"/>
          <w:szCs w:val="24"/>
          <w:highlight w:val="none"/>
          <w:lang w:val="en-US" w:eastAsia="zh-CN"/>
        </w:rPr>
        <w:t>采购预算金额</w:t>
      </w:r>
      <w:r>
        <w:rPr>
          <w:rFonts w:hint="eastAsia" w:ascii="宋体" w:hAnsi="宋体" w:cs="宋体"/>
          <w:bCs/>
          <w:color w:val="auto"/>
          <w:kern w:val="0"/>
          <w:sz w:val="24"/>
          <w:szCs w:val="24"/>
          <w:highlight w:val="none"/>
        </w:rPr>
        <w:t>，采购人不能支付的。</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.1.3因重大变故，采购任务取消的。</w:t>
      </w:r>
    </w:p>
    <w:p>
      <w:pPr>
        <w:keepNext w:val="0"/>
        <w:keepLines w:val="0"/>
        <w:pageBreakBefore w:val="0"/>
        <w:kinsoku/>
        <w:wordWrap/>
        <w:overflowPunct/>
        <w:topLinePunct w:val="0"/>
        <w:bidi w:val="0"/>
        <w:snapToGrid w:val="0"/>
        <w:spacing w:beforeAutospacing="0" w:afterAutospacing="0" w:line="360" w:lineRule="auto"/>
        <w:ind w:firstLine="480" w:firstLineChars="200"/>
        <w:rPr>
          <w:rFonts w:ascii="宋体" w:hAnsi="宋体" w:cs="宋体"/>
          <w:color w:val="auto"/>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color w:val="auto"/>
          <w:kern w:val="0"/>
          <w:sz w:val="24"/>
          <w:szCs w:val="24"/>
          <w:highlight w:val="none"/>
        </w:rPr>
        <w:t xml:space="preserve">.2 </w:t>
      </w:r>
      <w:r>
        <w:rPr>
          <w:rFonts w:hint="eastAsia" w:ascii="宋体" w:hAnsi="宋体" w:cs="宋体"/>
          <w:color w:val="auto"/>
          <w:sz w:val="24"/>
          <w:szCs w:val="24"/>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3"/>
        </w:numPr>
        <w:kinsoku/>
        <w:wordWrap/>
        <w:overflowPunct/>
        <w:topLinePunct w:val="0"/>
        <w:bidi w:val="0"/>
        <w:snapToGrid w:val="0"/>
        <w:spacing w:beforeAutospacing="0" w:afterAutospacing="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beforeAutospacing="0" w:afterAutospacing="0" w:line="360" w:lineRule="auto"/>
        <w:ind w:firstLine="480" w:firstLineChars="200"/>
        <w:rPr>
          <w:rFonts w:ascii="宋体" w:hAnsi="宋体" w:cs="宋体"/>
          <w:b/>
          <w:color w:val="auto"/>
          <w:kern w:val="0"/>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beforeAutospacing="0" w:afterAutospacing="0" w:line="360" w:lineRule="auto"/>
        <w:ind w:firstLine="1928" w:firstLineChars="800"/>
        <w:jc w:val="left"/>
        <w:rPr>
          <w:rFonts w:ascii="宋体" w:hAnsi="宋体" w:cs="宋体"/>
          <w:color w:val="auto"/>
          <w:kern w:val="0"/>
          <w:sz w:val="24"/>
          <w:szCs w:val="24"/>
          <w:highlight w:val="none"/>
        </w:rPr>
      </w:pPr>
      <w:r>
        <w:rPr>
          <w:rFonts w:hint="eastAsia" w:ascii="黑体" w:hAnsi="宋体" w:eastAsia="黑体" w:cs="宋体"/>
          <w:b/>
          <w:bCs/>
          <w:color w:val="auto"/>
          <w:kern w:val="0"/>
          <w:sz w:val="24"/>
          <w:szCs w:val="24"/>
          <w:highlight w:val="none"/>
          <w:lang w:val="en-US" w:eastAsia="zh-CN"/>
        </w:rPr>
        <w:t>七</w:t>
      </w:r>
      <w:r>
        <w:rPr>
          <w:rFonts w:hint="eastAsia" w:ascii="黑体" w:hAnsi="宋体" w:eastAsia="黑体" w:cs="宋体"/>
          <w:b/>
          <w:bCs/>
          <w:color w:val="auto"/>
          <w:kern w:val="0"/>
          <w:sz w:val="24"/>
          <w:szCs w:val="24"/>
          <w:highlight w:val="none"/>
        </w:rPr>
        <w:t>、合同授予</w:t>
      </w:r>
    </w:p>
    <w:p>
      <w:pPr>
        <w:keepNext w:val="0"/>
        <w:keepLines w:val="0"/>
        <w:pageBreakBefore w:val="0"/>
        <w:widowControl/>
        <w:kinsoku/>
        <w:wordWrap/>
        <w:overflowPunct/>
        <w:topLinePunct w:val="0"/>
        <w:bidi w:val="0"/>
        <w:snapToGrid w:val="0"/>
        <w:spacing w:beforeAutospacing="0" w:afterAutospacing="0" w:line="360" w:lineRule="auto"/>
        <w:ind w:firstLine="540" w:firstLineChars="224"/>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4</w:t>
      </w:r>
      <w:r>
        <w:rPr>
          <w:rFonts w:hint="eastAsia" w:ascii="宋体" w:hAnsi="宋体" w:cs="宋体"/>
          <w:b/>
          <w:bCs/>
          <w:color w:val="auto"/>
          <w:kern w:val="0"/>
          <w:sz w:val="24"/>
          <w:szCs w:val="24"/>
          <w:highlight w:val="none"/>
        </w:rPr>
        <w:t>.合同签订</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u w:val="single"/>
        </w:rPr>
      </w:pPr>
      <w:bookmarkStart w:id="40" w:name="_Toc8594"/>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.1 采购人、中标人自中标通知书发出之日起，在</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文件第三章《投标人须知前附表》规定的时间内，根据</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文件确定的事项和中标人投标文件签订合同。双方所签订的合同不得对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文件和中标人投标文件作实质性修改。</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 xml:space="preserve">.2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.3 中标人</w:t>
      </w:r>
      <w:r>
        <w:rPr>
          <w:rFonts w:hint="eastAsia" w:cs="宋体"/>
          <w:color w:val="auto"/>
          <w:kern w:val="0"/>
          <w:sz w:val="24"/>
          <w:szCs w:val="24"/>
          <w:highlight w:val="none"/>
        </w:rPr>
        <w:t>放弃中标、因不可抗力不能履行合同、不按照</w:t>
      </w:r>
      <w:r>
        <w:rPr>
          <w:rFonts w:hint="eastAsia" w:cs="宋体"/>
          <w:color w:val="auto"/>
          <w:kern w:val="0"/>
          <w:sz w:val="24"/>
          <w:szCs w:val="24"/>
          <w:highlight w:val="none"/>
          <w:lang w:val="en-US" w:eastAsia="zh-CN"/>
        </w:rPr>
        <w:t>采购</w:t>
      </w:r>
      <w:r>
        <w:rPr>
          <w:rFonts w:hint="eastAsia" w:cs="宋体"/>
          <w:color w:val="auto"/>
          <w:kern w:val="0"/>
          <w:sz w:val="24"/>
          <w:szCs w:val="24"/>
          <w:highlight w:val="none"/>
        </w:rPr>
        <w:t>文件要求提交履约保证金，或者被查实存在影响中标结果的违法行为等情形，不符合中标条件的，</w:t>
      </w:r>
      <w:r>
        <w:rPr>
          <w:rFonts w:hint="eastAsia" w:ascii="宋体" w:hAnsi="宋体" w:cs="宋体"/>
          <w:color w:val="auto"/>
          <w:kern w:val="0"/>
          <w:sz w:val="24"/>
          <w:szCs w:val="24"/>
          <w:highlight w:val="none"/>
        </w:rPr>
        <w:t>采购人可以</w:t>
      </w:r>
      <w:r>
        <w:rPr>
          <w:rFonts w:hint="eastAsia" w:cs="宋体"/>
          <w:color w:val="auto"/>
          <w:kern w:val="0"/>
          <w:sz w:val="24"/>
          <w:szCs w:val="24"/>
          <w:highlight w:val="none"/>
        </w:rPr>
        <w:t>按照评标委员会提出的中标候选</w:t>
      </w:r>
      <w:r>
        <w:rPr>
          <w:rFonts w:hint="eastAsia" w:ascii="宋体" w:hAnsi="宋体" w:cs="宋体"/>
          <w:color w:val="auto"/>
          <w:kern w:val="0"/>
          <w:sz w:val="24"/>
          <w:szCs w:val="24"/>
          <w:highlight w:val="none"/>
        </w:rPr>
        <w:t>人</w:t>
      </w:r>
      <w:r>
        <w:rPr>
          <w:rFonts w:hint="eastAsia" w:cs="宋体"/>
          <w:color w:val="auto"/>
          <w:kern w:val="0"/>
          <w:sz w:val="24"/>
          <w:szCs w:val="24"/>
          <w:highlight w:val="none"/>
        </w:rPr>
        <w:t>名单排序依次确定其他中标候选</w:t>
      </w:r>
      <w:r>
        <w:rPr>
          <w:rFonts w:hint="eastAsia" w:ascii="宋体" w:hAnsi="宋体" w:cs="宋体"/>
          <w:color w:val="auto"/>
          <w:kern w:val="0"/>
          <w:sz w:val="24"/>
          <w:szCs w:val="24"/>
          <w:highlight w:val="none"/>
        </w:rPr>
        <w:t>人</w:t>
      </w:r>
      <w:r>
        <w:rPr>
          <w:rFonts w:hint="eastAsia" w:cs="宋体"/>
          <w:color w:val="auto"/>
          <w:kern w:val="0"/>
          <w:sz w:val="24"/>
          <w:szCs w:val="24"/>
          <w:highlight w:val="none"/>
        </w:rPr>
        <w:t>为中标</w:t>
      </w:r>
      <w:r>
        <w:rPr>
          <w:rFonts w:hint="eastAsia" w:ascii="宋体" w:hAnsi="宋体" w:cs="宋体"/>
          <w:color w:val="auto"/>
          <w:kern w:val="0"/>
          <w:sz w:val="24"/>
          <w:szCs w:val="24"/>
          <w:highlight w:val="none"/>
        </w:rPr>
        <w:t>人</w:t>
      </w:r>
      <w:r>
        <w:rPr>
          <w:rFonts w:hint="eastAsia" w:cs="宋体"/>
          <w:color w:val="auto"/>
          <w:kern w:val="0"/>
          <w:sz w:val="24"/>
          <w:szCs w:val="24"/>
          <w:highlight w:val="none"/>
        </w:rPr>
        <w:t>，也可以重新招标。</w:t>
      </w:r>
    </w:p>
    <w:bookmarkEnd w:id="40"/>
    <w:p>
      <w:pPr>
        <w:pageBreakBefore w:val="0"/>
        <w:kinsoku/>
        <w:overflowPunct/>
        <w:topLinePunct w:val="0"/>
        <w:bidi w:val="0"/>
        <w:spacing w:beforeAutospacing="0" w:afterAutospacing="0" w:line="360" w:lineRule="auto"/>
        <w:rPr>
          <w:color w:val="auto"/>
          <w:highlight w:val="none"/>
        </w:rPr>
      </w:pPr>
      <w:bookmarkStart w:id="41" w:name="_Toc4700"/>
      <w:bookmarkStart w:id="42" w:name="_Toc16669"/>
      <w:r>
        <w:rPr>
          <w:color w:val="auto"/>
          <w:highlight w:val="none"/>
        </w:rPr>
        <w:br w:type="page"/>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outlineLvl w:val="0"/>
        <w:rPr>
          <w:rFonts w:ascii="宋体" w:hAnsi="宋体" w:cs="宋体"/>
          <w:color w:val="auto"/>
          <w:kern w:val="0"/>
          <w:sz w:val="24"/>
          <w:highlight w:val="none"/>
        </w:rPr>
      </w:pPr>
      <w:bookmarkStart w:id="43" w:name="_Toc3597"/>
      <w:r>
        <w:rPr>
          <w:rFonts w:hint="eastAsia" w:ascii="黑体" w:hAnsi="宋体" w:eastAsia="黑体" w:cs="宋体"/>
          <w:b/>
          <w:bCs/>
          <w:color w:val="auto"/>
          <w:kern w:val="0"/>
          <w:sz w:val="32"/>
          <w:szCs w:val="32"/>
          <w:highlight w:val="none"/>
        </w:rPr>
        <w:t>第四章  评标办法及评分标准</w:t>
      </w:r>
      <w:bookmarkEnd w:id="41"/>
      <w:bookmarkEnd w:id="43"/>
    </w:p>
    <w:p>
      <w:pPr>
        <w:pageBreakBefore w:val="0"/>
        <w:kinsoku/>
        <w:overflowPunct/>
        <w:topLinePunct w:val="0"/>
        <w:bidi w:val="0"/>
        <w:spacing w:beforeAutospacing="0" w:afterAutospacing="0" w:line="360" w:lineRule="auto"/>
        <w:rPr>
          <w:color w:val="auto"/>
          <w:highlight w:val="none"/>
        </w:rPr>
      </w:pPr>
    </w:p>
    <w:p>
      <w:pPr>
        <w:keepNext w:val="0"/>
        <w:keepLines w:val="0"/>
        <w:pageBreakBefore w:val="0"/>
        <w:tabs>
          <w:tab w:val="left" w:pos="1620"/>
        </w:tabs>
        <w:kinsoku/>
        <w:overflowPunct/>
        <w:topLinePunct w:val="0"/>
        <w:bidi w:val="0"/>
        <w:snapToGrid w:val="0"/>
        <w:spacing w:beforeAutospacing="0" w:afterAutospacing="0"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（一）评标原则</w:t>
      </w:r>
    </w:p>
    <w:p>
      <w:pPr>
        <w:keepNext w:val="0"/>
        <w:keepLines w:val="0"/>
        <w:pageBreakBefore w:val="0"/>
        <w:tabs>
          <w:tab w:val="left" w:pos="1620"/>
        </w:tabs>
        <w:kinsoku/>
        <w:overflowPunct/>
        <w:topLinePunct w:val="0"/>
        <w:bidi w:val="0"/>
        <w:snapToGrid w:val="0"/>
        <w:spacing w:beforeAutospacing="0" w:afterAutospacing="0"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按照“公平、公正”的原则对待所有投标人</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pPr>
        <w:keepNext w:val="0"/>
        <w:keepLines w:val="0"/>
        <w:pageBreakBefore w:val="0"/>
        <w:tabs>
          <w:tab w:val="left" w:pos="1620"/>
        </w:tabs>
        <w:kinsoku/>
        <w:overflowPunct/>
        <w:topLinePunct w:val="0"/>
        <w:bidi w:val="0"/>
        <w:snapToGrid w:val="0"/>
        <w:spacing w:beforeAutospacing="0" w:afterAutospacing="0"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二</w:t>
      </w:r>
      <w:r>
        <w:rPr>
          <w:rFonts w:hint="eastAsia" w:ascii="宋体" w:hAnsi="宋体" w:eastAsia="宋体" w:cs="宋体"/>
          <w:b w:val="0"/>
          <w:bCs w:val="0"/>
          <w:color w:val="auto"/>
          <w:sz w:val="24"/>
          <w:szCs w:val="24"/>
          <w:highlight w:val="none"/>
        </w:rPr>
        <w:t>）评标办法</w:t>
      </w:r>
    </w:p>
    <w:p>
      <w:pPr>
        <w:keepNext w:val="0"/>
        <w:keepLines w:val="0"/>
        <w:pageBreakBefore w:val="0"/>
        <w:tabs>
          <w:tab w:val="left" w:pos="1620"/>
        </w:tabs>
        <w:kinsoku/>
        <w:overflowPunct/>
        <w:topLinePunct w:val="0"/>
        <w:bidi w:val="0"/>
        <w:snapToGrid w:val="0"/>
        <w:spacing w:beforeAutospacing="0" w:afterAutospacing="0"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pPr>
        <w:keepNext w:val="0"/>
        <w:keepLines w:val="0"/>
        <w:pageBreakBefore w:val="0"/>
        <w:tabs>
          <w:tab w:val="left" w:pos="1620"/>
        </w:tabs>
        <w:kinsoku/>
        <w:overflowPunct/>
        <w:topLinePunct w:val="0"/>
        <w:bidi w:val="0"/>
        <w:snapToGrid w:val="0"/>
        <w:spacing w:beforeAutospacing="0" w:afterAutospacing="0"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2．评标委员会按照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beforeAutospacing="0" w:afterAutospacing="0"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beforeAutospacing="0" w:afterAutospacing="0"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.投标文件满足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beforeAutospacing="0" w:afterAutospacing="0"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）评标程序</w:t>
      </w:r>
    </w:p>
    <w:p>
      <w:pPr>
        <w:keepNext w:val="0"/>
        <w:keepLines w:val="0"/>
        <w:pageBreakBefore w:val="0"/>
        <w:numPr>
          <w:ilvl w:val="0"/>
          <w:numId w:val="4"/>
        </w:numPr>
        <w:kinsoku/>
        <w:overflowPunct/>
        <w:topLinePunct w:val="0"/>
        <w:bidi w:val="0"/>
        <w:snapToGrid w:val="0"/>
        <w:spacing w:beforeAutospacing="0" w:afterAutospacing="0"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详细评审（100分）</w:t>
      </w:r>
    </w:p>
    <w:tbl>
      <w:tblPr>
        <w:tblStyle w:val="31"/>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712"/>
        <w:gridCol w:w="6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价格标部分 (30分)</w:t>
            </w:r>
          </w:p>
        </w:tc>
        <w:tc>
          <w:tcPr>
            <w:tcW w:w="8243" w:type="dxa"/>
            <w:gridSpan w:val="2"/>
            <w:noWrap w:val="0"/>
            <w:vAlign w:val="center"/>
          </w:tcPr>
          <w:p>
            <w:pPr>
              <w:pageBreakBefore w:val="0"/>
              <w:kinsoku/>
              <w:overflowPunct/>
              <w:topLinePunct w:val="0"/>
              <w:bidi w:val="0"/>
              <w:spacing w:beforeAutospacing="0" w:afterAutospacing="0"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ageBreakBefore w:val="0"/>
              <w:kinsoku/>
              <w:overflowPunct/>
              <w:topLinePunct w:val="0"/>
              <w:bidi w:val="0"/>
              <w:spacing w:beforeAutospacing="0" w:afterAutospacing="0"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有效投标报价：投标报价不高于采购预算价的为有效投标报价。</w:t>
            </w:r>
          </w:p>
          <w:p>
            <w:pPr>
              <w:pageBreakBefore w:val="0"/>
              <w:kinsoku/>
              <w:overflowPunct/>
              <w:topLinePunct w:val="0"/>
              <w:bidi w:val="0"/>
              <w:spacing w:beforeAutospacing="0" w:afterAutospacing="0"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评标基准值的确定：满足采购文件要求且投标价格最低的有效投标报价为评标基准价。</w:t>
            </w:r>
          </w:p>
          <w:p>
            <w:pPr>
              <w:pageBreakBefore w:val="0"/>
              <w:kinsoku/>
              <w:overflowPunct/>
              <w:topLinePunct w:val="0"/>
              <w:bidi w:val="0"/>
              <w:spacing w:beforeAutospacing="0" w:afterAutospacing="0"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投标报价得分=（评标基准价/有效投标报价）×30分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服务质量</w:t>
            </w:r>
          </w:p>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40</w:t>
            </w:r>
            <w:r>
              <w:rPr>
                <w:rFonts w:hint="eastAsia" w:ascii="宋体" w:hAnsi="宋体" w:eastAsia="宋体" w:cs="宋体"/>
                <w:b w:val="0"/>
                <w:bCs w:val="0"/>
                <w:color w:val="auto"/>
                <w:sz w:val="24"/>
                <w:szCs w:val="24"/>
                <w:highlight w:val="none"/>
                <w:lang w:eastAsia="zh-CN"/>
              </w:rPr>
              <w:t>分）</w:t>
            </w:r>
          </w:p>
        </w:tc>
        <w:tc>
          <w:tcPr>
            <w:tcW w:w="1712" w:type="dxa"/>
            <w:noWrap w:val="0"/>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1.服务能力的响应程度(20分）</w:t>
            </w:r>
          </w:p>
        </w:tc>
        <w:tc>
          <w:tcPr>
            <w:tcW w:w="6531"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完全满足招标文件“第二章 采购需求</w:t>
            </w:r>
            <w:r>
              <w:rPr>
                <w:rFonts w:hint="eastAsia" w:ascii="宋体" w:hAnsi="宋体" w:cs="宋体"/>
                <w:b w:val="0"/>
                <w:bCs w:val="0"/>
                <w:color w:val="auto"/>
                <w:sz w:val="24"/>
                <w:szCs w:val="24"/>
                <w:highlight w:val="none"/>
                <w:lang w:eastAsia="zh-CN"/>
              </w:rPr>
              <w:t>中</w:t>
            </w:r>
            <w:r>
              <w:rPr>
                <w:rFonts w:hint="eastAsia" w:ascii="宋体" w:hAnsi="宋体" w:eastAsia="宋体" w:cs="宋体"/>
                <w:b w:val="0"/>
                <w:bCs w:val="0"/>
                <w:color w:val="auto"/>
                <w:sz w:val="24"/>
                <w:szCs w:val="24"/>
                <w:highlight w:val="none"/>
                <w:lang w:eastAsia="zh-CN"/>
              </w:rPr>
              <w:t>技术要求”的得20分；加★号一项不满足扣5分，不加★号的一项不满足扣3分；得分为0，则投标无效。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lang w:eastAsia="zh-CN"/>
              </w:rPr>
            </w:pPr>
          </w:p>
        </w:tc>
        <w:tc>
          <w:tcPr>
            <w:tcW w:w="1712" w:type="dxa"/>
            <w:noWrap w:val="0"/>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2.服务方案（20分）</w:t>
            </w:r>
          </w:p>
        </w:tc>
        <w:tc>
          <w:tcPr>
            <w:tcW w:w="6531"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投标人制定的服务方案、定期巡查方案、设备常见故障分析及预防措施、应急响应方案等。</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以上内容具体、完善、合理性程度强得14-20分，具体、完善、合理性程度一般得7-13分，具体、完善、合理性程度差得1-6分，缺项得0分。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商务评价</w:t>
            </w:r>
          </w:p>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(20分)</w:t>
            </w:r>
          </w:p>
        </w:tc>
        <w:tc>
          <w:tcPr>
            <w:tcW w:w="1712" w:type="dxa"/>
            <w:tcBorders>
              <w:top w:val="single" w:color="auto" w:sz="4" w:space="0"/>
            </w:tcBorders>
            <w:noWrap w:val="0"/>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1.服务团队</w:t>
            </w:r>
          </w:p>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（10分）</w:t>
            </w:r>
          </w:p>
        </w:tc>
        <w:tc>
          <w:tcPr>
            <w:tcW w:w="6531"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服务团队组织结构合理，人员分工及职责明确、持证上岗。</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完全满足采购需求的得7-10分；基本满足的得4-6分；一般满足采购的得1-3分。缺项得0分。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lang w:eastAsia="zh-CN"/>
              </w:rPr>
            </w:pPr>
          </w:p>
        </w:tc>
        <w:tc>
          <w:tcPr>
            <w:tcW w:w="1712" w:type="dxa"/>
            <w:tcBorders>
              <w:top w:val="single" w:color="auto" w:sz="4" w:space="0"/>
            </w:tcBorders>
            <w:noWrap w:val="0"/>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2.类似业绩（4分）</w:t>
            </w:r>
          </w:p>
        </w:tc>
        <w:tc>
          <w:tcPr>
            <w:tcW w:w="6531"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投标人2020年1月1日具有的类似服务业绩(以合同文件为准），每提供一份得2分，最多得4分。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p>
        </w:tc>
        <w:tc>
          <w:tcPr>
            <w:tcW w:w="1712" w:type="dxa"/>
            <w:noWrap w:val="0"/>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3.售后服务</w:t>
            </w:r>
          </w:p>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(16分)</w:t>
            </w:r>
          </w:p>
        </w:tc>
        <w:tc>
          <w:tcPr>
            <w:tcW w:w="6531"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投标人服务网点设立情况（提供专业技术人员联系方式和服务站地址）、培训方案、服务及时率、服务到位程度及增值服务等；</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以上内容具体、完善、合理性程度强得11-16分，具体、完善、合理性程度一般得6-10分，具体、完善、合理性程度差得1-5分，缺项得0分。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评标委员会成员评分=各项评分因素的汇总得分。</w:t>
            </w:r>
          </w:p>
          <w:p>
            <w:pPr>
              <w:keepNext w:val="0"/>
              <w:keepLines w:val="0"/>
              <w:pageBreakBefore w:val="0"/>
              <w:kinsoku/>
              <w:wordWrap/>
              <w:overflowPunct/>
              <w:topLinePunct w:val="0"/>
              <w:bidi w:val="0"/>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评标总得分=评标委员会所有成员合计评分/评标委员会组成人员数。</w:t>
            </w:r>
          </w:p>
        </w:tc>
      </w:tr>
      <w:bookmarkEnd w:id="42"/>
    </w:tbl>
    <w:p>
      <w:pPr>
        <w:pageBreakBefore w:val="0"/>
        <w:kinsoku/>
        <w:overflowPunct/>
        <w:topLinePunct w:val="0"/>
        <w:bidi w:val="0"/>
        <w:spacing w:beforeAutospacing="0" w:afterAutospacing="0" w:line="360" w:lineRule="auto"/>
        <w:rPr>
          <w:color w:val="auto"/>
          <w:highlight w:val="none"/>
        </w:rPr>
      </w:pPr>
      <w:bookmarkStart w:id="44" w:name="_Toc1947"/>
      <w:bookmarkStart w:id="45" w:name="_Toc1482"/>
      <w:bookmarkStart w:id="46" w:name="_Toc326786897"/>
      <w:bookmarkStart w:id="47" w:name="_Toc256519703"/>
    </w:p>
    <w:p>
      <w:pPr>
        <w:pStyle w:val="2"/>
        <w:pageBreakBefore w:val="0"/>
        <w:kinsoku/>
        <w:overflowPunct/>
        <w:topLinePunct w:val="0"/>
        <w:bidi w:val="0"/>
        <w:spacing w:beforeAutospacing="0" w:afterAutospacing="0" w:line="360" w:lineRule="auto"/>
        <w:rPr>
          <w:color w:val="auto"/>
          <w:highlight w:val="none"/>
        </w:rPr>
      </w:pPr>
    </w:p>
    <w:p>
      <w:pPr>
        <w:pStyle w:val="5"/>
        <w:pageBreakBefore w:val="0"/>
        <w:kinsoku/>
        <w:overflowPunct/>
        <w:topLinePunct w:val="0"/>
        <w:bidi w:val="0"/>
        <w:spacing w:beforeAutospacing="0" w:afterAutospacing="0" w:line="360" w:lineRule="auto"/>
        <w:rPr>
          <w:color w:val="auto"/>
          <w:highlight w:val="none"/>
        </w:rPr>
      </w:pPr>
    </w:p>
    <w:p>
      <w:pPr>
        <w:pStyle w:val="8"/>
        <w:pageBreakBefore w:val="0"/>
        <w:kinsoku/>
        <w:overflowPunct/>
        <w:topLinePunct w:val="0"/>
        <w:bidi w:val="0"/>
        <w:spacing w:beforeAutospacing="0" w:afterAutospacing="0" w:line="360" w:lineRule="auto"/>
        <w:rPr>
          <w:color w:val="auto"/>
          <w:highlight w:val="none"/>
        </w:rPr>
      </w:pPr>
    </w:p>
    <w:p>
      <w:pPr>
        <w:pStyle w:val="8"/>
        <w:pageBreakBefore w:val="0"/>
        <w:kinsoku/>
        <w:overflowPunct/>
        <w:topLinePunct w:val="0"/>
        <w:bidi w:val="0"/>
        <w:spacing w:beforeAutospacing="0" w:afterAutospacing="0" w:line="360" w:lineRule="auto"/>
        <w:rPr>
          <w:color w:val="auto"/>
          <w:highlight w:val="none"/>
        </w:rPr>
      </w:pPr>
    </w:p>
    <w:p>
      <w:pPr>
        <w:pStyle w:val="8"/>
        <w:pageBreakBefore w:val="0"/>
        <w:kinsoku/>
        <w:overflowPunct/>
        <w:topLinePunct w:val="0"/>
        <w:bidi w:val="0"/>
        <w:spacing w:beforeAutospacing="0" w:afterAutospacing="0" w:line="360" w:lineRule="auto"/>
        <w:rPr>
          <w:color w:val="auto"/>
          <w:highlight w:val="none"/>
        </w:rPr>
      </w:pPr>
    </w:p>
    <w:p>
      <w:pPr>
        <w:pStyle w:val="8"/>
        <w:pageBreakBefore w:val="0"/>
        <w:kinsoku/>
        <w:overflowPunct/>
        <w:topLinePunct w:val="0"/>
        <w:bidi w:val="0"/>
        <w:spacing w:beforeAutospacing="0" w:afterAutospacing="0" w:line="360" w:lineRule="auto"/>
        <w:rPr>
          <w:color w:val="auto"/>
          <w:highlight w:val="none"/>
        </w:rPr>
      </w:pPr>
    </w:p>
    <w:p>
      <w:pPr>
        <w:pStyle w:val="8"/>
        <w:pageBreakBefore w:val="0"/>
        <w:kinsoku/>
        <w:overflowPunct/>
        <w:topLinePunct w:val="0"/>
        <w:bidi w:val="0"/>
        <w:spacing w:beforeAutospacing="0" w:afterAutospacing="0" w:line="360" w:lineRule="auto"/>
        <w:rPr>
          <w:color w:val="auto"/>
          <w:highlight w:val="none"/>
        </w:rPr>
      </w:pPr>
    </w:p>
    <w:p>
      <w:pPr>
        <w:pStyle w:val="8"/>
        <w:pageBreakBefore w:val="0"/>
        <w:kinsoku/>
        <w:overflowPunct/>
        <w:topLinePunct w:val="0"/>
        <w:bidi w:val="0"/>
        <w:spacing w:beforeAutospacing="0" w:afterAutospacing="0" w:line="360" w:lineRule="auto"/>
        <w:rPr>
          <w:color w:val="auto"/>
          <w:highlight w:val="none"/>
        </w:rPr>
      </w:pPr>
    </w:p>
    <w:p>
      <w:pPr>
        <w:pStyle w:val="8"/>
        <w:pageBreakBefore w:val="0"/>
        <w:kinsoku/>
        <w:overflowPunct/>
        <w:topLinePunct w:val="0"/>
        <w:bidi w:val="0"/>
        <w:spacing w:beforeAutospacing="0" w:afterAutospacing="0" w:line="360" w:lineRule="auto"/>
        <w:rPr>
          <w:color w:val="auto"/>
          <w:highlight w:val="none"/>
        </w:rPr>
      </w:pPr>
    </w:p>
    <w:p>
      <w:pPr>
        <w:pStyle w:val="8"/>
        <w:pageBreakBefore w:val="0"/>
        <w:kinsoku/>
        <w:overflowPunct/>
        <w:topLinePunct w:val="0"/>
        <w:bidi w:val="0"/>
        <w:spacing w:beforeAutospacing="0" w:afterAutospacing="0" w:line="360" w:lineRule="auto"/>
        <w:rPr>
          <w:color w:val="auto"/>
          <w:highlight w:val="none"/>
        </w:rPr>
      </w:pPr>
    </w:p>
    <w:p>
      <w:pPr>
        <w:pStyle w:val="9"/>
        <w:pageBreakBefore w:val="0"/>
        <w:kinsoku/>
        <w:overflowPunct/>
        <w:topLinePunct w:val="0"/>
        <w:bidi w:val="0"/>
        <w:snapToGrid w:val="0"/>
        <w:spacing w:before="0" w:beforeAutospacing="0" w:after="0" w:afterAutospacing="0" w:line="360" w:lineRule="auto"/>
        <w:jc w:val="center"/>
        <w:rPr>
          <w:color w:val="auto"/>
          <w:sz w:val="28"/>
          <w:szCs w:val="28"/>
          <w:highlight w:val="yellow"/>
        </w:rPr>
      </w:pPr>
      <w:bookmarkStart w:id="48" w:name="_Toc24804"/>
      <w:r>
        <w:rPr>
          <w:rFonts w:hint="eastAsia"/>
          <w:color w:val="auto"/>
          <w:sz w:val="32"/>
          <w:szCs w:val="32"/>
          <w:highlight w:val="none"/>
        </w:rPr>
        <w:t>第五章  采购合同</w:t>
      </w:r>
      <w:bookmarkEnd w:id="48"/>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pageBreakBefore w:val="0"/>
        <w:kinsoku/>
        <w:overflowPunct/>
        <w:topLinePunct w:val="0"/>
        <w:bidi w:val="0"/>
        <w:spacing w:beforeAutospacing="0" w:afterAutospacing="0" w:line="360" w:lineRule="auto"/>
        <w:rPr>
          <w:color w:val="auto"/>
          <w:sz w:val="32"/>
          <w:szCs w:val="32"/>
          <w:highlight w:val="none"/>
        </w:rPr>
      </w:pPr>
    </w:p>
    <w:p>
      <w:pPr>
        <w:pageBreakBefore w:val="0"/>
        <w:kinsoku/>
        <w:overflowPunct/>
        <w:topLinePunct w:val="0"/>
        <w:bidi w:val="0"/>
        <w:spacing w:beforeAutospacing="0" w:afterAutospacing="0" w:line="360" w:lineRule="auto"/>
      </w:pPr>
      <w:r>
        <w:rPr>
          <w:color w:val="auto"/>
          <w:highlight w:val="none"/>
        </w:rPr>
        <w:br w:type="page"/>
      </w:r>
    </w:p>
    <w:p>
      <w:pPr>
        <w:pStyle w:val="9"/>
        <w:pageBreakBefore w:val="0"/>
        <w:kinsoku/>
        <w:overflowPunct/>
        <w:topLinePunct w:val="0"/>
        <w:bidi w:val="0"/>
        <w:spacing w:before="0" w:beforeAutospacing="0" w:after="0" w:afterAutospacing="0" w:line="360" w:lineRule="auto"/>
        <w:jc w:val="center"/>
        <w:rPr>
          <w:rFonts w:ascii="宋体" w:hAnsi="宋体" w:cs="宋体"/>
          <w:color w:val="auto"/>
          <w:kern w:val="0"/>
          <w:highlight w:val="none"/>
        </w:rPr>
      </w:pPr>
      <w:bookmarkStart w:id="49" w:name="_Toc2116"/>
      <w:r>
        <w:rPr>
          <w:rFonts w:hint="eastAsia"/>
          <w:color w:val="auto"/>
          <w:sz w:val="32"/>
          <w:szCs w:val="32"/>
          <w:highlight w:val="none"/>
        </w:rPr>
        <w:t>第六章  投标文件格式</w:t>
      </w:r>
      <w:bookmarkEnd w:id="44"/>
      <w:bookmarkEnd w:id="45"/>
      <w:bookmarkEnd w:id="49"/>
    </w:p>
    <w:p>
      <w:pPr>
        <w:pageBreakBefore w:val="0"/>
        <w:kinsoku/>
        <w:overflowPunct/>
        <w:topLinePunct w:val="0"/>
        <w:bidi w:val="0"/>
        <w:spacing w:beforeAutospacing="0" w:afterAutospacing="0" w:line="360" w:lineRule="auto"/>
        <w:rPr>
          <w:color w:val="auto"/>
          <w:sz w:val="24"/>
          <w:highlight w:val="none"/>
        </w:rPr>
      </w:pPr>
    </w:p>
    <w:p>
      <w:pPr>
        <w:pageBreakBefore w:val="0"/>
        <w:kinsoku/>
        <w:overflowPunct/>
        <w:topLinePunct w:val="0"/>
        <w:bidi w:val="0"/>
        <w:spacing w:beforeAutospacing="0" w:afterAutospacing="0" w:line="360" w:lineRule="auto"/>
        <w:jc w:val="center"/>
        <w:rPr>
          <w:b/>
          <w:bCs/>
          <w:color w:val="auto"/>
          <w:sz w:val="32"/>
          <w:szCs w:val="32"/>
          <w:highlight w:val="none"/>
        </w:rPr>
      </w:pPr>
      <w:bookmarkStart w:id="50" w:name="_Toc13604"/>
      <w:r>
        <w:rPr>
          <w:rFonts w:hint="eastAsia"/>
          <w:b/>
          <w:bCs/>
          <w:color w:val="auto"/>
          <w:sz w:val="32"/>
          <w:szCs w:val="32"/>
          <w:highlight w:val="none"/>
        </w:rPr>
        <w:t>目    录</w:t>
      </w:r>
      <w:bookmarkEnd w:id="50"/>
    </w:p>
    <w:p>
      <w:pPr>
        <w:pageBreakBefore w:val="0"/>
        <w:widowControl/>
        <w:kinsoku/>
        <w:wordWrap w:val="0"/>
        <w:overflowPunct/>
        <w:topLinePunct w:val="0"/>
        <w:bidi w:val="0"/>
        <w:spacing w:beforeAutospacing="0" w:afterAutospacing="0" w:line="360" w:lineRule="auto"/>
        <w:ind w:firstLine="480" w:firstLineChars="200"/>
        <w:jc w:val="left"/>
        <w:rPr>
          <w:rFonts w:ascii="宋体" w:hAnsi="宋体" w:cs="宋体"/>
          <w:color w:val="auto"/>
          <w:kern w:val="0"/>
          <w:sz w:val="24"/>
          <w:highlight w:val="none"/>
        </w:rPr>
      </w:pPr>
    </w:p>
    <w:p>
      <w:pPr>
        <w:pageBreakBefore w:val="0"/>
        <w:kinsoku/>
        <w:overflowPunct/>
        <w:topLinePunct w:val="0"/>
        <w:bidi w:val="0"/>
        <w:snapToGrid w:val="0"/>
        <w:spacing w:beforeAutospacing="0" w:afterAutospacing="0" w:line="360" w:lineRule="auto"/>
        <w:ind w:firstLine="480" w:firstLineChars="200"/>
        <w:rPr>
          <w:color w:val="auto"/>
          <w:sz w:val="24"/>
          <w:highlight w:val="none"/>
        </w:rPr>
      </w:pPr>
      <w:bookmarkStart w:id="51" w:name="_Toc11308"/>
      <w:r>
        <w:rPr>
          <w:rFonts w:hint="eastAsia"/>
          <w:color w:val="auto"/>
          <w:sz w:val="24"/>
          <w:highlight w:val="none"/>
        </w:rPr>
        <w:t>附件1投标文件封面（格式）</w:t>
      </w:r>
      <w:bookmarkEnd w:id="51"/>
    </w:p>
    <w:p>
      <w:pPr>
        <w:pageBreakBefore w:val="0"/>
        <w:kinsoku/>
        <w:overflowPunct/>
        <w:topLinePunct w:val="0"/>
        <w:bidi w:val="0"/>
        <w:snapToGrid w:val="0"/>
        <w:spacing w:beforeAutospacing="0" w:afterAutospacing="0" w:line="360" w:lineRule="auto"/>
        <w:ind w:firstLine="480" w:firstLineChars="200"/>
        <w:rPr>
          <w:color w:val="auto"/>
          <w:sz w:val="24"/>
          <w:highlight w:val="none"/>
        </w:rPr>
      </w:pPr>
      <w:bookmarkStart w:id="52" w:name="_Toc25345"/>
      <w:r>
        <w:rPr>
          <w:rFonts w:hint="eastAsia"/>
          <w:color w:val="auto"/>
          <w:sz w:val="24"/>
          <w:highlight w:val="none"/>
        </w:rPr>
        <w:t>附件2 投标书（格式）</w:t>
      </w:r>
      <w:bookmarkEnd w:id="52"/>
    </w:p>
    <w:p>
      <w:pPr>
        <w:pageBreakBefore w:val="0"/>
        <w:kinsoku/>
        <w:overflowPunct/>
        <w:topLinePunct w:val="0"/>
        <w:bidi w:val="0"/>
        <w:snapToGrid w:val="0"/>
        <w:spacing w:beforeAutospacing="0" w:afterAutospacing="0" w:line="360" w:lineRule="auto"/>
        <w:ind w:firstLine="480" w:firstLineChars="200"/>
        <w:rPr>
          <w:color w:val="auto"/>
          <w:sz w:val="24"/>
          <w:highlight w:val="none"/>
        </w:rPr>
      </w:pPr>
      <w:bookmarkStart w:id="53" w:name="_Toc10217"/>
      <w:r>
        <w:rPr>
          <w:rFonts w:hint="eastAsia"/>
          <w:color w:val="auto"/>
          <w:sz w:val="24"/>
          <w:highlight w:val="none"/>
        </w:rPr>
        <w:t>附件3 开标一览表（格式）</w:t>
      </w:r>
      <w:bookmarkEnd w:id="53"/>
    </w:p>
    <w:p>
      <w:pPr>
        <w:pageBreakBefore w:val="0"/>
        <w:kinsoku/>
        <w:overflowPunct/>
        <w:topLinePunct w:val="0"/>
        <w:bidi w:val="0"/>
        <w:snapToGrid w:val="0"/>
        <w:spacing w:beforeAutospacing="0" w:afterAutospacing="0" w:line="360" w:lineRule="auto"/>
        <w:ind w:firstLine="480" w:firstLineChars="200"/>
        <w:rPr>
          <w:color w:val="auto"/>
          <w:sz w:val="24"/>
          <w:highlight w:val="none"/>
        </w:rPr>
      </w:pPr>
      <w:bookmarkStart w:id="54" w:name="_Toc9579"/>
      <w:r>
        <w:rPr>
          <w:rFonts w:hint="eastAsia"/>
          <w:color w:val="auto"/>
          <w:sz w:val="24"/>
          <w:highlight w:val="none"/>
        </w:rPr>
        <w:t>附件4 报价明细表（格式）</w:t>
      </w:r>
      <w:bookmarkEnd w:id="54"/>
    </w:p>
    <w:p>
      <w:pPr>
        <w:pageBreakBefore w:val="0"/>
        <w:kinsoku/>
        <w:overflowPunct/>
        <w:topLinePunct w:val="0"/>
        <w:bidi w:val="0"/>
        <w:snapToGrid w:val="0"/>
        <w:spacing w:beforeAutospacing="0" w:afterAutospacing="0" w:line="360" w:lineRule="auto"/>
        <w:ind w:firstLine="480" w:firstLineChars="200"/>
        <w:rPr>
          <w:color w:val="auto"/>
          <w:sz w:val="24"/>
          <w:highlight w:val="none"/>
        </w:rPr>
      </w:pPr>
      <w:bookmarkStart w:id="55" w:name="_Toc28392"/>
      <w:r>
        <w:rPr>
          <w:rFonts w:hint="eastAsia"/>
          <w:color w:val="auto"/>
          <w:sz w:val="24"/>
          <w:highlight w:val="none"/>
        </w:rPr>
        <w:t>附件5</w:t>
      </w:r>
      <w:r>
        <w:rPr>
          <w:rFonts w:hint="eastAsia"/>
          <w:color w:val="auto"/>
          <w:sz w:val="24"/>
          <w:highlight w:val="none"/>
          <w:lang w:val="en-US" w:eastAsia="zh-CN"/>
        </w:rPr>
        <w:t xml:space="preserve"> </w:t>
      </w:r>
      <w:r>
        <w:rPr>
          <w:rFonts w:hint="eastAsia"/>
          <w:color w:val="auto"/>
          <w:sz w:val="24"/>
          <w:highlight w:val="none"/>
        </w:rPr>
        <w:t>技术</w:t>
      </w:r>
      <w:r>
        <w:rPr>
          <w:rFonts w:hint="eastAsia"/>
          <w:color w:val="auto"/>
          <w:sz w:val="24"/>
          <w:highlight w:val="none"/>
          <w:lang w:val="en-US" w:eastAsia="zh-CN"/>
        </w:rPr>
        <w:t>部分</w:t>
      </w:r>
      <w:bookmarkEnd w:id="55"/>
    </w:p>
    <w:p>
      <w:pPr>
        <w:pageBreakBefore w:val="0"/>
        <w:kinsoku/>
        <w:overflowPunct/>
        <w:topLinePunct w:val="0"/>
        <w:bidi w:val="0"/>
        <w:snapToGrid w:val="0"/>
        <w:spacing w:beforeAutospacing="0" w:afterAutospacing="0" w:line="360" w:lineRule="auto"/>
        <w:ind w:firstLine="480" w:firstLineChars="200"/>
        <w:rPr>
          <w:rFonts w:hint="eastAsia" w:eastAsia="宋体"/>
          <w:color w:val="auto"/>
          <w:sz w:val="24"/>
          <w:highlight w:val="none"/>
          <w:lang w:val="en-US" w:eastAsia="zh-CN"/>
        </w:rPr>
      </w:pPr>
      <w:bookmarkStart w:id="56" w:name="_Toc6234"/>
      <w:r>
        <w:rPr>
          <w:rFonts w:hint="eastAsia"/>
          <w:color w:val="auto"/>
          <w:sz w:val="24"/>
          <w:highlight w:val="none"/>
        </w:rPr>
        <w:t>附件6 商务</w:t>
      </w:r>
      <w:bookmarkEnd w:id="56"/>
      <w:r>
        <w:rPr>
          <w:rFonts w:hint="eastAsia"/>
          <w:color w:val="auto"/>
          <w:sz w:val="24"/>
          <w:highlight w:val="none"/>
          <w:lang w:val="en-US" w:eastAsia="zh-CN"/>
        </w:rPr>
        <w:t>部分</w:t>
      </w:r>
    </w:p>
    <w:p>
      <w:pPr>
        <w:pageBreakBefore w:val="0"/>
        <w:kinsoku/>
        <w:overflowPunct/>
        <w:topLinePunct w:val="0"/>
        <w:bidi w:val="0"/>
        <w:snapToGrid w:val="0"/>
        <w:spacing w:beforeAutospacing="0" w:afterAutospacing="0" w:line="360" w:lineRule="auto"/>
        <w:ind w:firstLine="480" w:firstLineChars="200"/>
        <w:rPr>
          <w:color w:val="auto"/>
          <w:sz w:val="24"/>
          <w:highlight w:val="none"/>
        </w:rPr>
      </w:pPr>
      <w:bookmarkStart w:id="57"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7"/>
    </w:p>
    <w:p>
      <w:pPr>
        <w:pageBreakBefore w:val="0"/>
        <w:kinsoku/>
        <w:overflowPunct/>
        <w:topLinePunct w:val="0"/>
        <w:bidi w:val="0"/>
        <w:snapToGrid w:val="0"/>
        <w:spacing w:beforeAutospacing="0" w:afterAutospacing="0" w:line="360" w:lineRule="auto"/>
        <w:ind w:firstLine="480" w:firstLineChars="200"/>
        <w:rPr>
          <w:color w:val="auto"/>
          <w:sz w:val="24"/>
          <w:highlight w:val="none"/>
        </w:rPr>
      </w:pPr>
      <w:bookmarkStart w:id="58"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58"/>
    </w:p>
    <w:p>
      <w:pPr>
        <w:pageBreakBefore w:val="0"/>
        <w:kinsoku/>
        <w:overflowPunct/>
        <w:topLinePunct w:val="0"/>
        <w:bidi w:val="0"/>
        <w:snapToGrid w:val="0"/>
        <w:spacing w:beforeAutospacing="0" w:afterAutospacing="0" w:line="360" w:lineRule="auto"/>
        <w:ind w:firstLine="480" w:firstLineChars="200"/>
        <w:rPr>
          <w:color w:val="auto"/>
          <w:sz w:val="24"/>
          <w:highlight w:val="none"/>
        </w:rPr>
      </w:pPr>
      <w:bookmarkStart w:id="59" w:name="_Toc31857"/>
      <w:r>
        <w:rPr>
          <w:rFonts w:hint="eastAsia"/>
          <w:color w:val="auto"/>
          <w:sz w:val="24"/>
          <w:highlight w:val="none"/>
        </w:rPr>
        <w:t>附件9 证明文件</w:t>
      </w:r>
      <w:bookmarkEnd w:id="59"/>
    </w:p>
    <w:p>
      <w:pPr>
        <w:pageBreakBefore w:val="0"/>
        <w:kinsoku/>
        <w:overflowPunct/>
        <w:topLinePunct w:val="0"/>
        <w:bidi w:val="0"/>
        <w:snapToGrid w:val="0"/>
        <w:spacing w:beforeAutospacing="0" w:afterAutospacing="0" w:line="360" w:lineRule="auto"/>
        <w:ind w:firstLine="480" w:firstLineChars="200"/>
        <w:rPr>
          <w:rFonts w:hint="eastAsia"/>
          <w:color w:val="auto"/>
          <w:sz w:val="24"/>
          <w:highlight w:val="none"/>
        </w:rPr>
      </w:pPr>
      <w:bookmarkStart w:id="60" w:name="_Toc23116"/>
      <w:r>
        <w:rPr>
          <w:rFonts w:hint="eastAsia"/>
          <w:color w:val="auto"/>
          <w:sz w:val="24"/>
          <w:highlight w:val="none"/>
        </w:rPr>
        <w:t>附件10 供应商承诺书（格式）</w:t>
      </w:r>
      <w:bookmarkEnd w:id="60"/>
    </w:p>
    <w:p>
      <w:pPr>
        <w:pageBreakBefore w:val="0"/>
        <w:kinsoku/>
        <w:overflowPunct/>
        <w:topLinePunct w:val="0"/>
        <w:bidi w:val="0"/>
        <w:snapToGrid w:val="0"/>
        <w:spacing w:beforeAutospacing="0" w:afterAutospacing="0"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附件11 供应商信用承诺函（格式）</w:t>
      </w:r>
    </w:p>
    <w:p>
      <w:pPr>
        <w:pStyle w:val="2"/>
        <w:pageBreakBefore w:val="0"/>
        <w:kinsoku/>
        <w:overflowPunct/>
        <w:topLinePunct w:val="0"/>
        <w:bidi w:val="0"/>
        <w:spacing w:beforeAutospacing="0" w:afterAutospacing="0" w:line="360" w:lineRule="auto"/>
        <w:rPr>
          <w:rFonts w:hint="eastAsia"/>
        </w:rPr>
      </w:pPr>
    </w:p>
    <w:p>
      <w:pPr>
        <w:pageBreakBefore w:val="0"/>
        <w:widowControl/>
        <w:kinsoku/>
        <w:wordWrap w:val="0"/>
        <w:overflowPunct/>
        <w:topLinePunct w:val="0"/>
        <w:bidi w:val="0"/>
        <w:snapToGrid w:val="0"/>
        <w:spacing w:beforeAutospacing="0" w:afterAutospacing="0" w:line="360" w:lineRule="auto"/>
        <w:ind w:firstLine="482" w:firstLineChars="200"/>
        <w:jc w:val="center"/>
        <w:rPr>
          <w:rFonts w:ascii="宋体" w:hAnsi="宋体" w:cs="宋体"/>
          <w:b/>
          <w:bCs/>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ind w:firstLine="482" w:firstLineChars="200"/>
        <w:jc w:val="center"/>
        <w:rPr>
          <w:rFonts w:ascii="宋体" w:hAnsi="宋体" w:cs="宋体"/>
          <w:b/>
          <w:bCs/>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ind w:firstLine="482" w:firstLineChars="200"/>
        <w:jc w:val="center"/>
        <w:rPr>
          <w:rFonts w:ascii="宋体" w:hAnsi="宋体" w:cs="宋体"/>
          <w:b/>
          <w:bCs/>
          <w:color w:val="auto"/>
          <w:kern w:val="0"/>
          <w:sz w:val="24"/>
          <w:highlight w:val="none"/>
        </w:rPr>
      </w:pPr>
    </w:p>
    <w:p>
      <w:pPr>
        <w:pStyle w:val="3"/>
        <w:pageBreakBefore w:val="0"/>
        <w:kinsoku/>
        <w:overflowPunct/>
        <w:topLinePunct w:val="0"/>
        <w:bidi w:val="0"/>
        <w:spacing w:beforeAutospacing="0" w:afterAutospacing="0" w:line="360" w:lineRule="auto"/>
        <w:rPr>
          <w:rFonts w:ascii="宋体" w:hAnsi="宋体" w:cs="宋体"/>
          <w:b/>
          <w:bCs/>
          <w:color w:val="auto"/>
          <w:kern w:val="0"/>
          <w:sz w:val="24"/>
          <w:highlight w:val="none"/>
        </w:rPr>
      </w:pPr>
    </w:p>
    <w:p>
      <w:pPr>
        <w:pStyle w:val="48"/>
        <w:pageBreakBefore w:val="0"/>
        <w:kinsoku/>
        <w:overflowPunct/>
        <w:topLinePunct w:val="0"/>
        <w:bidi w:val="0"/>
        <w:spacing w:beforeAutospacing="0" w:afterAutospacing="0" w:line="360" w:lineRule="auto"/>
        <w:rPr>
          <w:rFonts w:hAnsi="宋体"/>
          <w:b/>
          <w:bCs/>
          <w:color w:val="auto"/>
          <w:highlight w:val="none"/>
        </w:rPr>
      </w:pPr>
    </w:p>
    <w:p>
      <w:pPr>
        <w:pStyle w:val="48"/>
        <w:pageBreakBefore w:val="0"/>
        <w:kinsoku/>
        <w:overflowPunct/>
        <w:topLinePunct w:val="0"/>
        <w:bidi w:val="0"/>
        <w:spacing w:beforeAutospacing="0" w:afterAutospacing="0" w:line="360" w:lineRule="auto"/>
        <w:rPr>
          <w:rFonts w:hAnsi="宋体"/>
          <w:b/>
          <w:bCs/>
          <w:color w:val="auto"/>
          <w:highlight w:val="none"/>
        </w:rPr>
      </w:pPr>
    </w:p>
    <w:p>
      <w:pPr>
        <w:pageBreakBefore w:val="0"/>
        <w:kinsoku/>
        <w:overflowPunct/>
        <w:topLinePunct w:val="0"/>
        <w:bidi w:val="0"/>
        <w:spacing w:beforeAutospacing="0" w:afterAutospacing="0" w:line="360" w:lineRule="auto"/>
        <w:rPr>
          <w:color w:val="auto"/>
          <w:highlight w:val="none"/>
        </w:rPr>
      </w:pPr>
      <w:r>
        <w:rPr>
          <w:rFonts w:hint="eastAsia"/>
          <w:color w:val="auto"/>
          <w:highlight w:val="none"/>
        </w:rPr>
        <w:br w:type="page"/>
      </w:r>
    </w:p>
    <w:p>
      <w:pPr>
        <w:pStyle w:val="4"/>
        <w:pageBreakBefore w:val="0"/>
        <w:kinsoku/>
        <w:overflowPunct/>
        <w:topLinePunct w:val="0"/>
        <w:bidi w:val="0"/>
        <w:spacing w:beforeAutospacing="0" w:afterAutospacing="0" w:line="360" w:lineRule="auto"/>
        <w:rPr>
          <w:color w:val="auto"/>
          <w:highlight w:val="none"/>
        </w:rPr>
      </w:pPr>
    </w:p>
    <w:p>
      <w:pPr>
        <w:pStyle w:val="10"/>
        <w:pageBreakBefore w:val="0"/>
        <w:kinsoku/>
        <w:overflowPunct/>
        <w:topLinePunct w:val="0"/>
        <w:bidi w:val="0"/>
        <w:spacing w:before="0" w:beforeAutospacing="0" w:after="0" w:afterAutospacing="0" w:line="360" w:lineRule="auto"/>
        <w:rPr>
          <w:color w:val="auto"/>
          <w:highlight w:val="none"/>
        </w:rPr>
      </w:pPr>
      <w:bookmarkStart w:id="61" w:name="_Toc24743"/>
      <w:bookmarkStart w:id="62" w:name="_Toc31798"/>
      <w:r>
        <w:rPr>
          <w:rFonts w:hint="eastAsia"/>
          <w:color w:val="auto"/>
          <w:highlight w:val="none"/>
        </w:rPr>
        <w:t>附件1               投标文件封面（格式）</w:t>
      </w:r>
      <w:bookmarkEnd w:id="61"/>
      <w:bookmarkEnd w:id="62"/>
    </w:p>
    <w:p>
      <w:pPr>
        <w:pageBreakBefore w:val="0"/>
        <w:widowControl/>
        <w:kinsoku/>
        <w:wordWrap w:val="0"/>
        <w:overflowPunct/>
        <w:topLinePunct w:val="0"/>
        <w:bidi w:val="0"/>
        <w:spacing w:beforeAutospacing="0" w:afterAutospacing="0" w:line="360" w:lineRule="auto"/>
        <w:ind w:firstLine="482" w:firstLineChars="200"/>
        <w:jc w:val="center"/>
        <w:rPr>
          <w:rFonts w:ascii="宋体" w:hAnsi="宋体" w:cs="宋体"/>
          <w:b/>
          <w:color w:val="auto"/>
          <w:kern w:val="0"/>
          <w:sz w:val="24"/>
          <w:highlight w:val="none"/>
        </w:rPr>
      </w:pPr>
    </w:p>
    <w:p>
      <w:pPr>
        <w:pageBreakBefore w:val="0"/>
        <w:kinsoku/>
        <w:overflowPunct/>
        <w:topLinePunct w:val="0"/>
        <w:bidi w:val="0"/>
        <w:snapToGrid w:val="0"/>
        <w:spacing w:beforeAutospacing="0" w:afterAutospacing="0" w:line="360" w:lineRule="auto"/>
        <w:jc w:val="center"/>
        <w:rPr>
          <w:rFonts w:hint="eastAsia" w:ascii="宋体" w:hAnsi="宋体" w:eastAsia="宋体" w:cs="宋体"/>
          <w:b/>
          <w:color w:val="auto"/>
          <w:spacing w:val="90"/>
          <w:sz w:val="52"/>
          <w:szCs w:val="52"/>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pageBreakBefore w:val="0"/>
        <w:kinsoku/>
        <w:overflowPunct/>
        <w:topLinePunct w:val="0"/>
        <w:bidi w:val="0"/>
        <w:snapToGrid w:val="0"/>
        <w:spacing w:beforeAutospacing="0" w:afterAutospacing="0" w:line="360" w:lineRule="auto"/>
        <w:jc w:val="center"/>
        <w:rPr>
          <w:rFonts w:hint="eastAsia" w:ascii="宋体" w:hAnsi="宋体" w:eastAsia="宋体" w:cs="宋体"/>
          <w:b/>
          <w:color w:val="auto"/>
          <w:spacing w:val="90"/>
          <w:sz w:val="52"/>
          <w:szCs w:val="52"/>
          <w:highlight w:val="none"/>
        </w:rPr>
      </w:pPr>
    </w:p>
    <w:p>
      <w:pPr>
        <w:pageBreakBefore w:val="0"/>
        <w:kinsoku/>
        <w:overflowPunct/>
        <w:topLinePunct w:val="0"/>
        <w:bidi w:val="0"/>
        <w:snapToGrid w:val="0"/>
        <w:spacing w:beforeAutospacing="0" w:afterAutospacing="0"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pPr>
        <w:pStyle w:val="48"/>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pPr>
        <w:pStyle w:val="48"/>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pPr>
        <w:pageBreakBefore w:val="0"/>
        <w:kinsoku/>
        <w:overflowPunct/>
        <w:topLinePunct w:val="0"/>
        <w:bidi w:val="0"/>
        <w:spacing w:beforeAutospacing="0" w:afterAutospacing="0"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pageBreakBefore w:val="0"/>
        <w:kinsoku/>
        <w:overflowPunct/>
        <w:topLinePunct w:val="0"/>
        <w:bidi w:val="0"/>
        <w:spacing w:beforeAutospacing="0" w:afterAutospacing="0"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pageBreakBefore w:val="0"/>
        <w:widowControl/>
        <w:kinsoku/>
        <w:wordWrap w:val="0"/>
        <w:overflowPunct/>
        <w:topLinePunct w:val="0"/>
        <w:bidi w:val="0"/>
        <w:spacing w:beforeAutospacing="0" w:afterAutospacing="0" w:line="360" w:lineRule="auto"/>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pageBreakBefore w:val="0"/>
        <w:widowControl/>
        <w:kinsoku/>
        <w:wordWrap w:val="0"/>
        <w:overflowPunct/>
        <w:topLinePunct w:val="0"/>
        <w:bidi w:val="0"/>
        <w:spacing w:beforeAutospacing="0" w:afterAutospacing="0" w:line="360" w:lineRule="auto"/>
        <w:ind w:firstLine="482" w:firstLineChars="200"/>
        <w:jc w:val="left"/>
        <w:rPr>
          <w:rFonts w:ascii="宋体" w:hAnsi="宋体" w:cs="宋体"/>
          <w:b/>
          <w:color w:val="auto"/>
          <w:kern w:val="0"/>
          <w:sz w:val="24"/>
          <w:highlight w:val="none"/>
        </w:rPr>
      </w:pPr>
    </w:p>
    <w:p>
      <w:pPr>
        <w:pStyle w:val="3"/>
        <w:pageBreakBefore w:val="0"/>
        <w:kinsoku/>
        <w:overflowPunct/>
        <w:topLinePunct w:val="0"/>
        <w:bidi w:val="0"/>
        <w:spacing w:beforeAutospacing="0" w:afterAutospacing="0" w:line="360" w:lineRule="auto"/>
        <w:rPr>
          <w:rFonts w:ascii="宋体" w:hAnsi="宋体" w:cs="宋体"/>
          <w:b/>
          <w:color w:val="auto"/>
          <w:kern w:val="0"/>
          <w:sz w:val="24"/>
          <w:highlight w:val="none"/>
        </w:rPr>
      </w:pPr>
    </w:p>
    <w:p>
      <w:pPr>
        <w:pageBreakBefore w:val="0"/>
        <w:kinsoku/>
        <w:overflowPunct/>
        <w:topLinePunct w:val="0"/>
        <w:bidi w:val="0"/>
        <w:spacing w:beforeAutospacing="0" w:afterAutospacing="0" w:line="360" w:lineRule="auto"/>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pageBreakBefore w:val="0"/>
        <w:kinsoku/>
        <w:overflowPunct/>
        <w:topLinePunct w:val="0"/>
        <w:bidi w:val="0"/>
        <w:spacing w:beforeAutospacing="0" w:afterAutospacing="0" w:line="360" w:lineRule="auto"/>
        <w:rPr>
          <w:color w:val="auto"/>
          <w:highlight w:val="none"/>
        </w:rPr>
      </w:pPr>
    </w:p>
    <w:p>
      <w:pPr>
        <w:pStyle w:val="10"/>
        <w:pageBreakBefore w:val="0"/>
        <w:kinsoku/>
        <w:overflowPunct/>
        <w:topLinePunct w:val="0"/>
        <w:bidi w:val="0"/>
        <w:spacing w:before="0" w:beforeAutospacing="0" w:after="0" w:afterAutospacing="0" w:line="360" w:lineRule="auto"/>
        <w:rPr>
          <w:color w:val="auto"/>
          <w:highlight w:val="none"/>
        </w:rPr>
      </w:pPr>
      <w:bookmarkStart w:id="63" w:name="_Toc14560"/>
      <w:bookmarkStart w:id="64" w:name="_Toc8818"/>
      <w:r>
        <w:rPr>
          <w:rFonts w:hint="eastAsia"/>
          <w:color w:val="auto"/>
          <w:highlight w:val="none"/>
        </w:rPr>
        <w:t>附件2               投  标  书（格式）</w:t>
      </w:r>
      <w:bookmarkEnd w:id="63"/>
      <w:bookmarkEnd w:id="64"/>
    </w:p>
    <w:p>
      <w:pPr>
        <w:pageBreakBefore w:val="0"/>
        <w:widowControl/>
        <w:kinsoku/>
        <w:wordWrap w:val="0"/>
        <w:overflowPunct/>
        <w:topLinePunct w:val="0"/>
        <w:bidi w:val="0"/>
        <w:snapToGrid w:val="0"/>
        <w:spacing w:beforeAutospacing="0" w:afterAutospacing="0"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pageBreakBefore w:val="0"/>
        <w:widowControl/>
        <w:kinsoku/>
        <w:wordWrap w:val="0"/>
        <w:overflowPunct/>
        <w:topLinePunct w:val="0"/>
        <w:bidi w:val="0"/>
        <w:spacing w:beforeAutospacing="0" w:afterAutospacing="0" w:line="360" w:lineRule="auto"/>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hint="default" w:ascii="宋体" w:hAnsi="宋体" w:eastAsia="宋体" w:cs="宋体"/>
          <w:color w:val="auto"/>
          <w:kern w:val="0"/>
          <w:szCs w:val="21"/>
          <w:highlight w:val="none"/>
          <w:u w:val="single"/>
          <w:lang w:val="en-US" w:eastAsia="zh-CN"/>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p>
    <w:p>
      <w:pPr>
        <w:pageBreakBefore w:val="0"/>
        <w:widowControl/>
        <w:tabs>
          <w:tab w:val="left" w:pos="939"/>
        </w:tabs>
        <w:kinsoku/>
        <w:wordWrap w:val="0"/>
        <w:overflowPunct/>
        <w:topLinePunct w:val="0"/>
        <w:bidi w:val="0"/>
        <w:snapToGrid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p>
    <w:p>
      <w:pPr>
        <w:pageBreakBefore w:val="0"/>
        <w:widowControl/>
        <w:kinsoku/>
        <w:wordWrap w:val="0"/>
        <w:overflowPunct/>
        <w:topLinePunct w:val="0"/>
        <w:bidi w:val="0"/>
        <w:spacing w:beforeAutospacing="0" w:afterAutospacing="0" w:line="360" w:lineRule="auto"/>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p>
    <w:p>
      <w:pPr>
        <w:pageBreakBefore w:val="0"/>
        <w:widowControl/>
        <w:kinsoku/>
        <w:overflowPunct/>
        <w:topLinePunct w:val="0"/>
        <w:bidi w:val="0"/>
        <w:snapToGrid w:val="0"/>
        <w:spacing w:beforeAutospacing="0" w:afterAutospacing="0" w:line="360" w:lineRule="auto"/>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pageBreakBefore w:val="0"/>
        <w:widowControl/>
        <w:kinsoku/>
        <w:wordWrap w:val="0"/>
        <w:overflowPunct/>
        <w:topLinePunct w:val="0"/>
        <w:bidi w:val="0"/>
        <w:snapToGrid w:val="0"/>
        <w:spacing w:beforeAutospacing="0" w:afterAutospacing="0" w:line="360" w:lineRule="auto"/>
        <w:jc w:val="left"/>
        <w:rPr>
          <w:rFonts w:ascii="宋体" w:hAnsi="宋体" w:cs="宋体"/>
          <w:b/>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jc w:val="left"/>
        <w:rPr>
          <w:rFonts w:ascii="宋体" w:hAnsi="宋体" w:cs="宋体"/>
          <w:b/>
          <w:color w:val="auto"/>
          <w:kern w:val="0"/>
          <w:sz w:val="24"/>
          <w:highlight w:val="none"/>
        </w:rPr>
      </w:pPr>
    </w:p>
    <w:p>
      <w:pPr>
        <w:pageBreakBefore w:val="0"/>
        <w:kinsoku/>
        <w:overflowPunct/>
        <w:topLinePunct w:val="0"/>
        <w:bidi w:val="0"/>
        <w:spacing w:beforeAutospacing="0" w:afterAutospacing="0" w:line="360" w:lineRule="auto"/>
        <w:jc w:val="center"/>
        <w:rPr>
          <w:rFonts w:ascii="宋体" w:hAnsi="宋体"/>
          <w:b/>
          <w:bCs/>
          <w:color w:val="auto"/>
          <w:sz w:val="24"/>
          <w:highlight w:val="none"/>
        </w:rPr>
      </w:pPr>
    </w:p>
    <w:p>
      <w:pPr>
        <w:pageBreakBefore w:val="0"/>
        <w:kinsoku/>
        <w:overflowPunct/>
        <w:topLinePunct w:val="0"/>
        <w:bidi w:val="0"/>
        <w:spacing w:beforeAutospacing="0" w:afterAutospacing="0" w:line="360" w:lineRule="auto"/>
        <w:rPr>
          <w:color w:val="auto"/>
          <w:sz w:val="28"/>
          <w:szCs w:val="28"/>
          <w:highlight w:val="none"/>
        </w:rPr>
      </w:pPr>
      <w:r>
        <w:rPr>
          <w:rFonts w:hint="eastAsia"/>
          <w:color w:val="auto"/>
          <w:sz w:val="28"/>
          <w:szCs w:val="28"/>
          <w:highlight w:val="none"/>
        </w:rPr>
        <w:br w:type="page"/>
      </w:r>
    </w:p>
    <w:p>
      <w:pPr>
        <w:pageBreakBefore w:val="0"/>
        <w:kinsoku/>
        <w:overflowPunct/>
        <w:topLinePunct w:val="0"/>
        <w:bidi w:val="0"/>
        <w:spacing w:beforeAutospacing="0" w:afterAutospacing="0" w:line="360" w:lineRule="auto"/>
        <w:rPr>
          <w:color w:val="auto"/>
          <w:highlight w:val="none"/>
        </w:rPr>
      </w:pPr>
    </w:p>
    <w:p>
      <w:pPr>
        <w:pStyle w:val="10"/>
        <w:pageBreakBefore w:val="0"/>
        <w:kinsoku/>
        <w:overflowPunct/>
        <w:topLinePunct w:val="0"/>
        <w:bidi w:val="0"/>
        <w:spacing w:before="0" w:beforeAutospacing="0" w:after="0" w:afterAutospacing="0" w:line="360" w:lineRule="auto"/>
        <w:rPr>
          <w:color w:val="auto"/>
          <w:highlight w:val="none"/>
        </w:rPr>
      </w:pPr>
      <w:bookmarkStart w:id="65" w:name="_Toc7838"/>
      <w:r>
        <w:rPr>
          <w:rFonts w:hint="eastAsia"/>
          <w:color w:val="auto"/>
          <w:highlight w:val="none"/>
        </w:rPr>
        <w:t>附件3               开标一览表</w:t>
      </w:r>
      <w:bookmarkEnd w:id="65"/>
    </w:p>
    <w:p>
      <w:pPr>
        <w:pageBreakBefore w:val="0"/>
        <w:kinsoku/>
        <w:overflowPunct/>
        <w:topLinePunct w:val="0"/>
        <w:bidi w:val="0"/>
        <w:spacing w:beforeAutospacing="0" w:afterAutospacing="0" w:line="360" w:lineRule="auto"/>
        <w:jc w:val="right"/>
        <w:rPr>
          <w:rFonts w:hint="default" w:ascii="宋体" w:hAnsi="宋体"/>
          <w:color w:val="auto"/>
          <w:sz w:val="24"/>
          <w:highlight w:val="none"/>
          <w:lang w:val="en-US"/>
        </w:rPr>
      </w:pPr>
      <w:r>
        <w:rPr>
          <w:rFonts w:ascii="宋体" w:hAnsi="宋体"/>
          <w:color w:val="auto"/>
          <w:sz w:val="24"/>
          <w:highlight w:val="none"/>
        </w:rPr>
        <w:t>单位：人民币</w:t>
      </w:r>
      <w:r>
        <w:rPr>
          <w:rFonts w:hint="eastAsia"/>
          <w:sz w:val="24"/>
          <w:lang w:val="en-US" w:eastAsia="zh-CN"/>
        </w:rPr>
        <w:t>元</w:t>
      </w:r>
    </w:p>
    <w:p>
      <w:pPr>
        <w:pageBreakBefore w:val="0"/>
        <w:kinsoku/>
        <w:overflowPunct/>
        <w:topLinePunct w:val="0"/>
        <w:bidi w:val="0"/>
        <w:spacing w:beforeAutospacing="0" w:afterAutospacing="0" w:line="360" w:lineRule="auto"/>
        <w:rPr>
          <w:color w:val="auto"/>
          <w:highlight w:val="none"/>
        </w:rPr>
      </w:pPr>
    </w:p>
    <w:tbl>
      <w:tblPr>
        <w:tblStyle w:val="31"/>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pageBreakBefore w:val="0"/>
              <w:widowControl/>
              <w:kinsoku/>
              <w:overflowPunct/>
              <w:topLinePunct w:val="0"/>
              <w:bidi w:val="0"/>
              <w:snapToGrid w:val="0"/>
              <w:spacing w:beforeAutospacing="0" w:afterAutospacing="0" w:line="360" w:lineRule="auto"/>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pageBreakBefore w:val="0"/>
              <w:kinsoku/>
              <w:overflowPunct/>
              <w:topLinePunct w:val="0"/>
              <w:bidi w:val="0"/>
              <w:spacing w:beforeAutospacing="0" w:afterAutospacing="0" w:line="360" w:lineRule="auto"/>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pageBreakBefore w:val="0"/>
              <w:widowControl/>
              <w:kinsoku/>
              <w:overflowPunct/>
              <w:topLinePunct w:val="0"/>
              <w:bidi w:val="0"/>
              <w:snapToGrid w:val="0"/>
              <w:spacing w:beforeAutospacing="0" w:afterAutospacing="0" w:line="360" w:lineRule="auto"/>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noWrap/>
            <w:vAlign w:val="center"/>
          </w:tcPr>
          <w:p>
            <w:pPr>
              <w:pageBreakBefore w:val="0"/>
              <w:kinsoku/>
              <w:overflowPunct/>
              <w:topLinePunct w:val="0"/>
              <w:bidi w:val="0"/>
              <w:spacing w:beforeAutospacing="0" w:afterAutospacing="0" w:line="36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pPr>
              <w:pageBreakBefore w:val="0"/>
              <w:kinsoku/>
              <w:overflowPunct/>
              <w:topLinePunct w:val="0"/>
              <w:bidi w:val="0"/>
              <w:spacing w:beforeAutospacing="0" w:afterAutospacing="0" w:line="360" w:lineRule="auto"/>
              <w:jc w:val="center"/>
              <w:rPr>
                <w:rFonts w:ascii="宋体" w:hAnsi="宋体"/>
                <w:color w:val="auto"/>
                <w:spacing w:val="-20"/>
                <w:szCs w:val="21"/>
                <w:highlight w:val="none"/>
              </w:rPr>
            </w:pPr>
            <w:r>
              <w:rPr>
                <w:rFonts w:hint="eastAsia" w:ascii="宋体" w:hAnsi="宋体"/>
                <w:color w:val="auto"/>
                <w:szCs w:val="21"/>
                <w:highlight w:val="none"/>
              </w:rPr>
              <w:t>投标</w:t>
            </w:r>
            <w:r>
              <w:rPr>
                <w:rFonts w:hint="eastAsia" w:ascii="宋体" w:hAnsi="宋体"/>
                <w:color w:val="auto"/>
                <w:szCs w:val="21"/>
                <w:highlight w:val="none"/>
                <w:lang w:eastAsia="zh-CN"/>
              </w:rPr>
              <w:t>总</w:t>
            </w:r>
            <w:r>
              <w:rPr>
                <w:rFonts w:hint="eastAsia" w:ascii="宋体" w:hAnsi="宋体"/>
                <w:color w:val="auto"/>
                <w:szCs w:val="21"/>
                <w:highlight w:val="none"/>
              </w:rPr>
              <w:t>报价</w:t>
            </w:r>
          </w:p>
        </w:tc>
        <w:tc>
          <w:tcPr>
            <w:tcW w:w="7708" w:type="dxa"/>
            <w:noWrap/>
            <w:vAlign w:val="center"/>
          </w:tcPr>
          <w:p>
            <w:pPr>
              <w:pageBreakBefore w:val="0"/>
              <w:kinsoku/>
              <w:overflowPunct/>
              <w:topLinePunct w:val="0"/>
              <w:bidi w:val="0"/>
              <w:spacing w:beforeAutospacing="0" w:afterAutospacing="0" w:line="360" w:lineRule="auto"/>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pageBreakBefore w:val="0"/>
              <w:widowControl/>
              <w:kinsoku/>
              <w:overflowPunct/>
              <w:topLinePunct w:val="0"/>
              <w:bidi w:val="0"/>
              <w:snapToGrid w:val="0"/>
              <w:spacing w:beforeAutospacing="0" w:afterAutospacing="0" w:line="360" w:lineRule="auto"/>
              <w:jc w:val="center"/>
              <w:rPr>
                <w:rFonts w:ascii="宋体" w:hAnsi="宋体"/>
                <w:color w:val="auto"/>
                <w:szCs w:val="21"/>
                <w:highlight w:val="none"/>
              </w:rPr>
            </w:pPr>
            <w:r>
              <w:rPr>
                <w:rFonts w:hint="eastAsia" w:ascii="宋体" w:hAnsi="宋体" w:cs="宋体"/>
                <w:color w:val="auto"/>
                <w:kern w:val="0"/>
                <w:szCs w:val="21"/>
                <w:highlight w:val="none"/>
                <w:lang w:val="en-US" w:eastAsia="zh-CN"/>
              </w:rPr>
              <w:t>服务</w:t>
            </w:r>
            <w:r>
              <w:rPr>
                <w:rFonts w:hint="eastAsia" w:ascii="宋体" w:hAnsi="宋体" w:cs="宋体"/>
                <w:color w:val="auto"/>
                <w:kern w:val="0"/>
                <w:szCs w:val="21"/>
                <w:highlight w:val="none"/>
              </w:rPr>
              <w:t>地点</w:t>
            </w:r>
          </w:p>
        </w:tc>
        <w:tc>
          <w:tcPr>
            <w:tcW w:w="7708" w:type="dxa"/>
            <w:noWrap/>
            <w:vAlign w:val="bottom"/>
          </w:tcPr>
          <w:p>
            <w:pPr>
              <w:pageBreakBefore w:val="0"/>
              <w:kinsoku/>
              <w:overflowPunct/>
              <w:topLinePunct w:val="0"/>
              <w:bidi w:val="0"/>
              <w:spacing w:beforeAutospacing="0" w:afterAutospacing="0"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pageBreakBefore w:val="0"/>
              <w:kinsoku/>
              <w:overflowPunct/>
              <w:topLinePunct w:val="0"/>
              <w:bidi w:val="0"/>
              <w:spacing w:beforeAutospacing="0" w:afterAutospacing="0" w:line="360" w:lineRule="auto"/>
              <w:jc w:val="center"/>
              <w:rPr>
                <w:rFonts w:hint="eastAsia" w:ascii="宋体" w:hAnsi="宋体" w:eastAsia="宋体"/>
                <w:color w:val="auto"/>
                <w:szCs w:val="21"/>
                <w:highlight w:val="none"/>
                <w:lang w:eastAsia="zh-CN"/>
              </w:rPr>
            </w:pPr>
            <w:r>
              <w:rPr>
                <w:rFonts w:hint="eastAsia" w:ascii="宋体" w:hAnsi="宋体"/>
                <w:color w:val="000000" w:themeColor="text1"/>
                <w:szCs w:val="21"/>
                <w:highlight w:val="none"/>
                <w:lang w:val="en-US" w:eastAsia="zh-CN"/>
                <w14:textFill>
                  <w14:solidFill>
                    <w14:schemeClr w14:val="tx1"/>
                  </w14:solidFill>
                </w14:textFill>
              </w:rPr>
              <w:t>服务质量</w:t>
            </w:r>
          </w:p>
        </w:tc>
        <w:tc>
          <w:tcPr>
            <w:tcW w:w="7708" w:type="dxa"/>
            <w:noWrap/>
            <w:vAlign w:val="bottom"/>
          </w:tcPr>
          <w:p>
            <w:pPr>
              <w:pageBreakBefore w:val="0"/>
              <w:kinsoku/>
              <w:overflowPunct/>
              <w:topLinePunct w:val="0"/>
              <w:bidi w:val="0"/>
              <w:spacing w:beforeAutospacing="0" w:afterAutospacing="0"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pageBreakBefore w:val="0"/>
              <w:kinsoku/>
              <w:overflowPunct/>
              <w:topLinePunct w:val="0"/>
              <w:bidi w:val="0"/>
              <w:spacing w:beforeAutospacing="0" w:afterAutospacing="0" w:line="360" w:lineRule="auto"/>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21"/>
              <w:pageBreakBefore w:val="0"/>
              <w:kinsoku/>
              <w:overflowPunct/>
              <w:topLinePunct w:val="0"/>
              <w:bidi w:val="0"/>
              <w:spacing w:beforeAutospacing="0" w:afterAutospacing="0" w:line="360" w:lineRule="auto"/>
              <w:ind w:left="0" w:leftChars="0"/>
              <w:rPr>
                <w:color w:val="auto"/>
                <w:sz w:val="21"/>
                <w:szCs w:val="21"/>
                <w:highlight w:val="none"/>
              </w:rPr>
            </w:pPr>
          </w:p>
        </w:tc>
      </w:tr>
    </w:tbl>
    <w:p>
      <w:pPr>
        <w:pageBreakBefore w:val="0"/>
        <w:kinsoku/>
        <w:overflowPunct/>
        <w:topLinePunct w:val="0"/>
        <w:bidi w:val="0"/>
        <w:spacing w:beforeAutospacing="0" w:afterAutospacing="0" w:line="360" w:lineRule="auto"/>
        <w:rPr>
          <w:rFonts w:hint="eastAsia" w:ascii="宋体" w:hAnsi="宋体" w:cs="宋体"/>
          <w:color w:val="auto"/>
          <w:kern w:val="0"/>
          <w:szCs w:val="21"/>
          <w:highlight w:val="none"/>
        </w:rPr>
      </w:pPr>
      <w:r>
        <w:rPr>
          <w:rFonts w:hint="eastAsia" w:ascii="宋体" w:hAnsi="宋体" w:cs="宋体"/>
          <w:b/>
          <w:bCs/>
          <w:color w:val="auto"/>
          <w:kern w:val="0"/>
          <w:szCs w:val="21"/>
          <w:highlight w:val="none"/>
          <w:lang w:eastAsia="zh-CN"/>
        </w:rPr>
        <w:t>注:</w:t>
      </w:r>
      <w:r>
        <w:rPr>
          <w:rFonts w:hint="eastAsia" w:ascii="宋体" w:hAnsi="宋体" w:cs="宋体"/>
          <w:color w:val="auto"/>
          <w:kern w:val="0"/>
          <w:szCs w:val="21"/>
          <w:highlight w:val="none"/>
          <w:lang w:val="en-US" w:eastAsia="zh-CN"/>
        </w:rPr>
        <w:t>1、报价如有涂改，</w:t>
      </w:r>
      <w:r>
        <w:rPr>
          <w:rFonts w:hint="eastAsia" w:ascii="宋体" w:hAnsi="宋体" w:cs="宋体"/>
          <w:color w:val="auto"/>
          <w:kern w:val="0"/>
          <w:szCs w:val="21"/>
          <w:highlight w:val="none"/>
        </w:rPr>
        <w:t>应在涂改处加盖单位公章或投标人代表签字或盖章，否则其投标作无效标处理。</w:t>
      </w:r>
    </w:p>
    <w:p>
      <w:pPr>
        <w:pageBreakBefore w:val="0"/>
        <w:kinsoku/>
        <w:overflowPunct/>
        <w:topLinePunct w:val="0"/>
        <w:bidi w:val="0"/>
        <w:spacing w:beforeAutospacing="0" w:afterAutospacing="0"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pPr>
        <w:pageBreakBefore w:val="0"/>
        <w:kinsoku/>
        <w:overflowPunct/>
        <w:topLinePunct w:val="0"/>
        <w:bidi w:val="0"/>
        <w:spacing w:beforeAutospacing="0" w:afterAutospacing="0"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pageBreakBefore w:val="0"/>
        <w:kinsoku/>
        <w:overflowPunct/>
        <w:topLinePunct w:val="0"/>
        <w:bidi w:val="0"/>
        <w:spacing w:beforeAutospacing="0" w:afterAutospacing="0" w:line="360" w:lineRule="auto"/>
        <w:ind w:firstLine="420" w:firstLineChars="200"/>
        <w:rPr>
          <w:color w:val="auto"/>
          <w:highlight w:val="none"/>
        </w:rPr>
      </w:pPr>
      <w:r>
        <w:rPr>
          <w:rFonts w:hint="eastAsia" w:ascii="宋体" w:hAnsi="宋体" w:cs="宋体"/>
          <w:color w:val="auto"/>
          <w:kern w:val="0"/>
          <w:szCs w:val="21"/>
          <w:highlight w:val="none"/>
        </w:rPr>
        <w:t>4、投标人按格式填列，不得自行更改。否则引起的不利后果由投标人承担。</w:t>
      </w:r>
    </w:p>
    <w:p>
      <w:pPr>
        <w:pageBreakBefore w:val="0"/>
        <w:kinsoku/>
        <w:overflowPunct/>
        <w:topLinePunct w:val="0"/>
        <w:bidi w:val="0"/>
        <w:spacing w:beforeAutospacing="0" w:afterAutospacing="0" w:line="360" w:lineRule="auto"/>
        <w:ind w:firstLine="420" w:firstLineChars="200"/>
        <w:jc w:val="center"/>
        <w:rPr>
          <w:rFonts w:ascii="宋体" w:hAnsi="宋体"/>
          <w:color w:val="auto"/>
          <w:szCs w:val="21"/>
          <w:highlight w:val="none"/>
        </w:rPr>
      </w:pPr>
      <w:bookmarkStart w:id="66" w:name="_Toc11620"/>
      <w:bookmarkStart w:id="67" w:name="_Toc20877"/>
      <w:r>
        <w:rPr>
          <w:rFonts w:hint="eastAsia" w:ascii="宋体" w:hAnsi="宋体"/>
          <w:color w:val="auto"/>
          <w:szCs w:val="21"/>
          <w:highlight w:val="none"/>
        </w:rPr>
        <w:t>投标人（全称并加盖公章）：</w:t>
      </w:r>
      <w:bookmarkEnd w:id="66"/>
      <w:bookmarkEnd w:id="67"/>
    </w:p>
    <w:p>
      <w:pPr>
        <w:pageBreakBefore w:val="0"/>
        <w:kinsoku/>
        <w:overflowPunct/>
        <w:topLinePunct w:val="0"/>
        <w:bidi w:val="0"/>
        <w:spacing w:beforeAutospacing="0" w:afterAutospacing="0" w:line="360" w:lineRule="auto"/>
        <w:ind w:firstLine="420" w:firstLineChars="200"/>
        <w:jc w:val="center"/>
        <w:rPr>
          <w:rFonts w:ascii="宋体" w:hAnsi="宋体"/>
          <w:color w:val="auto"/>
          <w:szCs w:val="21"/>
          <w:highlight w:val="none"/>
          <w:u w:val="single"/>
        </w:rPr>
      </w:pPr>
      <w:bookmarkStart w:id="68" w:name="_Toc625"/>
      <w:bookmarkStart w:id="69" w:name="_Toc12222"/>
      <w:r>
        <w:rPr>
          <w:rFonts w:hint="eastAsia" w:ascii="宋体" w:hAnsi="宋体"/>
          <w:color w:val="auto"/>
          <w:szCs w:val="21"/>
          <w:highlight w:val="none"/>
        </w:rPr>
        <w:t>法定代表人或其委托代理人（签字）：</w:t>
      </w:r>
      <w:bookmarkEnd w:id="68"/>
      <w:bookmarkEnd w:id="69"/>
    </w:p>
    <w:p>
      <w:pPr>
        <w:pageBreakBefore w:val="0"/>
        <w:kinsoku/>
        <w:overflowPunct/>
        <w:topLinePunct w:val="0"/>
        <w:bidi w:val="0"/>
        <w:spacing w:beforeAutospacing="0" w:afterAutospacing="0" w:line="360" w:lineRule="auto"/>
        <w:jc w:val="center"/>
        <w:rPr>
          <w:rFonts w:ascii="宋体" w:hAnsi="宋体"/>
          <w:color w:val="auto"/>
          <w:szCs w:val="21"/>
          <w:highlight w:val="none"/>
        </w:rPr>
      </w:pPr>
    </w:p>
    <w:p>
      <w:pPr>
        <w:pageBreakBefore w:val="0"/>
        <w:kinsoku/>
        <w:overflowPunct/>
        <w:topLinePunct w:val="0"/>
        <w:bidi w:val="0"/>
        <w:spacing w:beforeAutospacing="0" w:afterAutospacing="0" w:line="360" w:lineRule="auto"/>
        <w:ind w:firstLine="420" w:firstLineChars="200"/>
        <w:jc w:val="center"/>
        <w:rPr>
          <w:color w:val="auto"/>
          <w:highlight w:val="none"/>
        </w:rPr>
      </w:pPr>
      <w:bookmarkStart w:id="70" w:name="_Toc1330"/>
      <w:bookmarkStart w:id="71" w:name="_Toc9950"/>
      <w:r>
        <w:rPr>
          <w:rFonts w:hint="eastAsia" w:ascii="宋体" w:hAnsi="宋体"/>
          <w:color w:val="auto"/>
          <w:szCs w:val="21"/>
          <w:highlight w:val="none"/>
        </w:rPr>
        <w:t>年  月  日</w:t>
      </w:r>
      <w:bookmarkEnd w:id="70"/>
      <w:bookmarkEnd w:id="71"/>
    </w:p>
    <w:p>
      <w:pPr>
        <w:pageBreakBefore w:val="0"/>
        <w:kinsoku/>
        <w:overflowPunct/>
        <w:topLinePunct w:val="0"/>
        <w:bidi w:val="0"/>
        <w:spacing w:beforeAutospacing="0" w:afterAutospacing="0" w:line="360" w:lineRule="auto"/>
        <w:rPr>
          <w:color w:val="auto"/>
          <w:highlight w:val="none"/>
        </w:rPr>
      </w:pPr>
    </w:p>
    <w:bookmarkEnd w:id="46"/>
    <w:bookmarkEnd w:id="47"/>
    <w:p>
      <w:pPr>
        <w:pageBreakBefore w:val="0"/>
        <w:kinsoku/>
        <w:overflowPunct/>
        <w:topLinePunct w:val="0"/>
        <w:bidi w:val="0"/>
        <w:spacing w:beforeAutospacing="0" w:afterAutospacing="0" w:line="360" w:lineRule="auto"/>
        <w:rPr>
          <w:rFonts w:hint="eastAsia"/>
          <w:color w:val="000000" w:themeColor="text1"/>
          <w:highlight w:val="none"/>
          <w14:textFill>
            <w14:solidFill>
              <w14:schemeClr w14:val="tx1"/>
            </w14:solidFill>
          </w14:textFill>
        </w:rPr>
      </w:pPr>
      <w:bookmarkStart w:id="72" w:name="_Toc22004"/>
      <w:bookmarkStart w:id="73" w:name="_Toc24984"/>
      <w:r>
        <w:rPr>
          <w:rFonts w:hint="eastAsia"/>
          <w:color w:val="000000" w:themeColor="text1"/>
          <w:highlight w:val="none"/>
          <w14:textFill>
            <w14:solidFill>
              <w14:schemeClr w14:val="tx1"/>
            </w14:solidFill>
          </w14:textFill>
        </w:rPr>
        <w:br w:type="page"/>
      </w:r>
    </w:p>
    <w:p>
      <w:pPr>
        <w:pStyle w:val="10"/>
        <w:pageBreakBefore w:val="0"/>
        <w:kinsoku/>
        <w:overflowPunct/>
        <w:topLinePunct w:val="0"/>
        <w:bidi w:val="0"/>
        <w:spacing w:before="0" w:beforeAutospacing="0" w:after="0" w:afterAutospacing="0"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附件4               报价明细表</w:t>
      </w:r>
      <w:bookmarkEnd w:id="72"/>
      <w:bookmarkEnd w:id="73"/>
    </w:p>
    <w:p>
      <w:pPr>
        <w:pageBreakBefore w:val="0"/>
        <w:widowControl/>
        <w:kinsoku/>
        <w:wordWrap w:val="0"/>
        <w:overflowPunct/>
        <w:topLinePunct w:val="0"/>
        <w:bidi w:val="0"/>
        <w:snapToGrid w:val="0"/>
        <w:spacing w:beforeAutospacing="0" w:afterAutospacing="0" w:line="360" w:lineRule="auto"/>
        <w:ind w:left="-3" w:leftChars="-72" w:right="-817" w:rightChars="-389" w:hanging="148" w:hangingChars="62"/>
        <w:jc w:val="left"/>
        <w:rPr>
          <w:rFonts w:ascii="宋体" w:hAnsi="宋体" w:cs="宋体"/>
          <w:color w:val="000000" w:themeColor="text1"/>
          <w:kern w:val="0"/>
          <w:sz w:val="24"/>
          <w:highlight w:val="none"/>
          <w14:textFill>
            <w14:solidFill>
              <w14:schemeClr w14:val="tx1"/>
            </w14:solidFill>
          </w14:textFill>
        </w:rPr>
      </w:pPr>
      <w:r>
        <w:rPr>
          <w:rFonts w:hint="eastAsia"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 xml:space="preserve">                       金额单位：人民币（元）</w:t>
      </w:r>
    </w:p>
    <w:tbl>
      <w:tblPr>
        <w:tblStyle w:val="31"/>
        <w:tblW w:w="9456" w:type="dxa"/>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03"/>
        <w:gridCol w:w="525"/>
        <w:gridCol w:w="1564"/>
        <w:gridCol w:w="1156"/>
        <w:gridCol w:w="1334"/>
        <w:gridCol w:w="1300"/>
        <w:gridCol w:w="1720"/>
        <w:gridCol w:w="10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03"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089" w:type="dxa"/>
            <w:gridSpan w:val="2"/>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szCs w:val="24"/>
                <w:highlight w:val="none"/>
                <w:lang w:val="en-US" w:eastAsia="zh-CN" w:bidi="ar-SA"/>
                <w14:textFill>
                  <w14:solidFill>
                    <w14:schemeClr w14:val="tx1"/>
                  </w14:solidFill>
                </w14:textFill>
              </w:rPr>
              <w:t>产品</w:t>
            </w: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名称</w:t>
            </w:r>
          </w:p>
        </w:tc>
        <w:tc>
          <w:tcPr>
            <w:tcW w:w="1156"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规格</w:t>
            </w:r>
          </w:p>
        </w:tc>
        <w:tc>
          <w:tcPr>
            <w:tcW w:w="1334"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单位</w:t>
            </w:r>
          </w:p>
        </w:tc>
        <w:tc>
          <w:tcPr>
            <w:tcW w:w="1300"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1720"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054"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3"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2089" w:type="dxa"/>
            <w:gridSpan w:val="2"/>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15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33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30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72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05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3"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2089" w:type="dxa"/>
            <w:gridSpan w:val="2"/>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15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33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30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72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05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3"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2089" w:type="dxa"/>
            <w:gridSpan w:val="2"/>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15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33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30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72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05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3"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2089" w:type="dxa"/>
            <w:gridSpan w:val="2"/>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15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33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30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72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05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3"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2089" w:type="dxa"/>
            <w:gridSpan w:val="2"/>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15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33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30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72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05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3"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2089" w:type="dxa"/>
            <w:gridSpan w:val="2"/>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15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33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30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72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05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3"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2089" w:type="dxa"/>
            <w:gridSpan w:val="2"/>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15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33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30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72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05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3"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2089" w:type="dxa"/>
            <w:gridSpan w:val="2"/>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15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33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30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72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05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3"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2089" w:type="dxa"/>
            <w:gridSpan w:val="2"/>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 xml:space="preserve">…… </w:t>
            </w:r>
          </w:p>
        </w:tc>
        <w:tc>
          <w:tcPr>
            <w:tcW w:w="115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33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30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72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05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1328" w:type="dxa"/>
            <w:gridSpan w:val="2"/>
            <w:tcBorders>
              <w:top w:val="single" w:color="auto" w:sz="4" w:space="0"/>
              <w:left w:val="single" w:color="auto" w:sz="4" w:space="0"/>
              <w:bottom w:val="single" w:color="auto" w:sz="4" w:space="0"/>
              <w:right w:val="single" w:color="auto" w:sz="4" w:space="0"/>
            </w:tcBorders>
            <w:vAlign w:val="top"/>
          </w:tcPr>
          <w:p>
            <w:pPr>
              <w:pageBreakBefore w:val="0"/>
              <w:widowControl/>
              <w:tabs>
                <w:tab w:val="left" w:pos="1418"/>
              </w:tabs>
              <w:kinsoku/>
              <w:overflowPunct/>
              <w:topLinePunct w:val="0"/>
              <w:bidi w:val="0"/>
              <w:snapToGrid w:val="0"/>
              <w:spacing w:beforeAutospacing="0" w:afterAutospacing="0" w:line="360" w:lineRule="auto"/>
              <w:jc w:val="left"/>
              <w:rPr>
                <w:rFonts w:hint="eastAsia" w:ascii="宋体" w:hAnsi="宋体" w:cs="宋体"/>
                <w:color w:val="000000" w:themeColor="text1"/>
                <w:spacing w:val="20"/>
                <w:kern w:val="0"/>
                <w:sz w:val="24"/>
                <w:highlight w:val="none"/>
                <w14:textFill>
                  <w14:solidFill>
                    <w14:schemeClr w14:val="tx1"/>
                  </w14:solidFill>
                </w14:textFill>
              </w:rPr>
            </w:pPr>
          </w:p>
        </w:tc>
        <w:tc>
          <w:tcPr>
            <w:tcW w:w="7074" w:type="dxa"/>
            <w:gridSpan w:val="5"/>
            <w:tcBorders>
              <w:top w:val="single" w:color="auto" w:sz="4" w:space="0"/>
              <w:left w:val="single" w:color="auto" w:sz="4" w:space="0"/>
              <w:bottom w:val="single" w:color="auto" w:sz="4" w:space="0"/>
              <w:right w:val="single" w:color="auto" w:sz="4" w:space="0"/>
            </w:tcBorders>
            <w:vAlign w:val="top"/>
          </w:tcPr>
          <w:p>
            <w:pPr>
              <w:pageBreakBefore w:val="0"/>
              <w:widowControl/>
              <w:tabs>
                <w:tab w:val="left" w:pos="1418"/>
              </w:tabs>
              <w:kinsoku/>
              <w:overflowPunct/>
              <w:topLinePunct w:val="0"/>
              <w:bidi w:val="0"/>
              <w:snapToGrid w:val="0"/>
              <w:spacing w:beforeAutospacing="0" w:afterAutospacing="0" w:line="360" w:lineRule="auto"/>
              <w:jc w:val="left"/>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投标总价(</w:t>
            </w:r>
            <w:r>
              <w:rPr>
                <w:rFonts w:hint="eastAsia" w:ascii="宋体" w:hAnsi="宋体" w:cs="宋体"/>
                <w:color w:val="000000" w:themeColor="text1"/>
                <w:kern w:val="0"/>
                <w:sz w:val="24"/>
                <w:szCs w:val="21"/>
                <w:highlight w:val="none"/>
                <w14:textFill>
                  <w14:solidFill>
                    <w14:schemeClr w14:val="tx1"/>
                  </w14:solidFill>
                </w14:textFill>
              </w:rPr>
              <w:t>大写)：</w:t>
            </w:r>
          </w:p>
        </w:tc>
        <w:tc>
          <w:tcPr>
            <w:tcW w:w="1054" w:type="dxa"/>
            <w:tcBorders>
              <w:top w:val="single" w:color="auto" w:sz="4" w:space="0"/>
              <w:left w:val="single" w:color="auto" w:sz="4" w:space="0"/>
              <w:bottom w:val="single" w:color="auto" w:sz="4" w:space="0"/>
              <w:right w:val="single" w:color="auto" w:sz="4" w:space="0"/>
            </w:tcBorders>
            <w:vAlign w:val="top"/>
          </w:tcPr>
          <w:p>
            <w:pPr>
              <w:pageBreakBefore w:val="0"/>
              <w:widowControl/>
              <w:tabs>
                <w:tab w:val="left" w:pos="1418"/>
              </w:tabs>
              <w:kinsoku/>
              <w:overflowPunct/>
              <w:topLinePunct w:val="0"/>
              <w:bidi w:val="0"/>
              <w:snapToGrid w:val="0"/>
              <w:spacing w:beforeAutospacing="0" w:afterAutospacing="0" w:line="360" w:lineRule="auto"/>
              <w:jc w:val="left"/>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szCs w:val="21"/>
                <w:highlight w:val="none"/>
                <w14:textFill>
                  <w14:solidFill>
                    <w14:schemeClr w14:val="tx1"/>
                  </w14:solidFill>
                </w14:textFill>
              </w:rPr>
              <w:t>￥</w:t>
            </w:r>
          </w:p>
        </w:tc>
      </w:tr>
    </w:tbl>
    <w:p>
      <w:pPr>
        <w:pageBreakBefore w:val="0"/>
        <w:widowControl/>
        <w:kinsoku/>
        <w:wordWrap w:val="0"/>
        <w:overflowPunct/>
        <w:topLinePunct w:val="0"/>
        <w:bidi w:val="0"/>
        <w:spacing w:beforeAutospacing="0" w:afterAutospacing="0" w:line="360" w:lineRule="auto"/>
        <w:ind w:firstLine="2760" w:firstLineChars="1150"/>
        <w:jc w:val="left"/>
        <w:rPr>
          <w:rFonts w:ascii="宋体" w:hAnsi="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ascii="宋体" w:hAnsi="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ascii="宋体" w:hAnsi="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ascii="宋体" w:hAnsi="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ascii="宋体" w:hAnsi="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ascii="宋体" w:hAnsi="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pageBreakBefore w:val="0"/>
        <w:widowControl/>
        <w:kinsoku/>
        <w:wordWrap w:val="0"/>
        <w:overflowPunct/>
        <w:topLinePunct w:val="0"/>
        <w:bidi w:val="0"/>
        <w:snapToGrid w:val="0"/>
        <w:spacing w:beforeAutospacing="0" w:afterAutospacing="0" w:line="360" w:lineRule="auto"/>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pageBreakBefore w:val="0"/>
        <w:widowControl/>
        <w:kinsoku/>
        <w:wordWrap w:val="0"/>
        <w:overflowPunct/>
        <w:topLinePunct w:val="0"/>
        <w:bidi w:val="0"/>
        <w:snapToGrid w:val="0"/>
        <w:spacing w:beforeAutospacing="0" w:afterAutospacing="0" w:line="360" w:lineRule="auto"/>
        <w:ind w:firstLine="1040" w:firstLineChars="200"/>
        <w:jc w:val="left"/>
        <w:rPr>
          <w:rFonts w:ascii="宋体" w:hAnsi="宋体" w:cs="宋体"/>
          <w:color w:val="auto"/>
          <w:kern w:val="0"/>
          <w:sz w:val="52"/>
          <w:szCs w:val="52"/>
          <w:highlight w:val="none"/>
          <w:u w:val="single"/>
        </w:rPr>
      </w:pPr>
    </w:p>
    <w:p>
      <w:pPr>
        <w:pageBreakBefore w:val="0"/>
        <w:widowControl/>
        <w:kinsoku/>
        <w:wordWrap w:val="0"/>
        <w:overflowPunct/>
        <w:topLinePunct w:val="0"/>
        <w:bidi w:val="0"/>
        <w:spacing w:beforeAutospacing="0" w:afterAutospacing="0" w:line="360" w:lineRule="auto"/>
        <w:ind w:firstLine="4800" w:firstLineChars="2000"/>
        <w:jc w:val="left"/>
        <w:rPr>
          <w:color w:val="auto"/>
          <w:highlight w:val="none"/>
        </w:rPr>
      </w:pPr>
      <w:r>
        <w:rPr>
          <w:rFonts w:hint="eastAsia" w:ascii="宋体" w:hAnsi="宋体" w:cs="宋体"/>
          <w:color w:val="auto"/>
          <w:kern w:val="0"/>
          <w:sz w:val="24"/>
          <w:highlight w:val="none"/>
        </w:rPr>
        <w:t>年    月    日</w:t>
      </w:r>
    </w:p>
    <w:p>
      <w:pPr>
        <w:pStyle w:val="10"/>
        <w:pageBreakBefore w:val="0"/>
        <w:kinsoku/>
        <w:overflowPunct/>
        <w:topLinePunct w:val="0"/>
        <w:bidi w:val="0"/>
        <w:spacing w:before="0" w:beforeAutospacing="0" w:after="0" w:afterAutospacing="0" w:line="360" w:lineRule="auto"/>
        <w:rPr>
          <w:rFonts w:hint="eastAsia" w:eastAsia="黑体"/>
          <w:color w:val="auto"/>
          <w:highlight w:val="none"/>
          <w:lang w:val="en-US" w:eastAsia="zh-CN"/>
        </w:rPr>
      </w:pPr>
      <w:r>
        <w:rPr>
          <w:rFonts w:hint="eastAsia"/>
          <w:color w:val="auto"/>
          <w:highlight w:val="none"/>
        </w:rPr>
        <w:br w:type="page"/>
      </w:r>
      <w:bookmarkStart w:id="74" w:name="_Toc226"/>
      <w:bookmarkStart w:id="75" w:name="_Toc15804"/>
      <w:r>
        <w:rPr>
          <w:rFonts w:hint="eastAsia"/>
          <w:color w:val="auto"/>
          <w:highlight w:val="none"/>
        </w:rPr>
        <w:t xml:space="preserve">附件5         </w:t>
      </w:r>
      <w:bookmarkEnd w:id="74"/>
      <w:bookmarkEnd w:id="75"/>
      <w:r>
        <w:rPr>
          <w:rFonts w:hint="eastAsia"/>
          <w:color w:val="auto"/>
          <w:highlight w:val="none"/>
        </w:rPr>
        <w:t xml:space="preserve">     技术响应</w:t>
      </w:r>
      <w:r>
        <w:rPr>
          <w:rFonts w:hint="eastAsia"/>
          <w:color w:val="auto"/>
          <w:highlight w:val="none"/>
          <w:lang w:val="en-US" w:eastAsia="zh-CN"/>
        </w:rPr>
        <w:t>部分</w:t>
      </w:r>
    </w:p>
    <w:p>
      <w:pPr>
        <w:pageBreakBefore w:val="0"/>
        <w:widowControl/>
        <w:kinsoku/>
        <w:wordWrap w:val="0"/>
        <w:overflowPunct/>
        <w:topLinePunct w:val="0"/>
        <w:bidi w:val="0"/>
        <w:spacing w:beforeAutospacing="0" w:afterAutospacing="0" w:line="360" w:lineRule="auto"/>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技术部分相关证明文件</w:t>
      </w:r>
    </w:p>
    <w:p>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color w:val="auto"/>
          <w:kern w:val="0"/>
          <w:sz w:val="24"/>
          <w:highlight w:val="none"/>
          <w:u w:val="single"/>
          <w:lang w:eastAsia="zh-CN"/>
        </w:rPr>
      </w:pPr>
    </w:p>
    <w:p>
      <w:pPr>
        <w:pageBreakBefore w:val="0"/>
        <w:kinsoku/>
        <w:overflowPunct/>
        <w:topLinePunct w:val="0"/>
        <w:bidi w:val="0"/>
        <w:spacing w:beforeAutospacing="0" w:afterAutospacing="0" w:line="360" w:lineRule="auto"/>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pageBreakBefore w:val="0"/>
        <w:kinsoku/>
        <w:overflowPunct/>
        <w:topLinePunct w:val="0"/>
        <w:bidi w:val="0"/>
        <w:spacing w:beforeAutospacing="0" w:afterAutospacing="0" w:line="360" w:lineRule="auto"/>
        <w:rPr>
          <w:color w:val="auto"/>
          <w:highlight w:val="none"/>
        </w:rPr>
      </w:pPr>
    </w:p>
    <w:p>
      <w:pPr>
        <w:pageBreakBefore w:val="0"/>
        <w:widowControl/>
        <w:kinsoku/>
        <w:wordWrap w:val="0"/>
        <w:overflowPunct/>
        <w:topLinePunct w:val="0"/>
        <w:bidi w:val="0"/>
        <w:snapToGrid w:val="0"/>
        <w:spacing w:beforeAutospacing="0" w:afterAutospacing="0" w:line="360" w:lineRule="auto"/>
        <w:jc w:val="left"/>
        <w:outlineLvl w:val="0"/>
        <w:rPr>
          <w:rFonts w:hint="eastAsia" w:ascii="Arial" w:hAnsi="Arial" w:eastAsia="新宋体"/>
          <w:b/>
          <w:color w:val="auto"/>
          <w:sz w:val="28"/>
          <w:highlight w:val="none"/>
          <w:lang w:val="en-US" w:eastAsia="zh-CN"/>
        </w:rPr>
      </w:pPr>
      <w:bookmarkStart w:id="76" w:name="_Toc20420"/>
      <w:bookmarkStart w:id="77" w:name="_Toc29960"/>
      <w:bookmarkStart w:id="78" w:name="_Toc10342"/>
      <w:r>
        <w:rPr>
          <w:rFonts w:hint="eastAsia" w:ascii="Arial" w:hAnsi="Arial" w:eastAsia="新宋体"/>
          <w:b/>
          <w:color w:val="auto"/>
          <w:sz w:val="28"/>
          <w:highlight w:val="none"/>
        </w:rPr>
        <w:t>附件6               商务响应</w:t>
      </w:r>
      <w:bookmarkEnd w:id="76"/>
      <w:bookmarkEnd w:id="77"/>
      <w:r>
        <w:rPr>
          <w:rFonts w:hint="eastAsia" w:ascii="Arial" w:hAnsi="Arial" w:eastAsia="新宋体"/>
          <w:b/>
          <w:color w:val="auto"/>
          <w:sz w:val="28"/>
          <w:highlight w:val="none"/>
          <w:lang w:val="en-US" w:eastAsia="zh-CN"/>
        </w:rPr>
        <w:t>部分</w:t>
      </w:r>
      <w:bookmarkEnd w:id="78"/>
    </w:p>
    <w:p>
      <w:pPr>
        <w:pageBreakBefore w:val="0"/>
        <w:widowControl/>
        <w:kinsoku/>
        <w:wordWrap w:val="0"/>
        <w:overflowPunct/>
        <w:topLinePunct w:val="0"/>
        <w:bidi w:val="0"/>
        <w:spacing w:beforeAutospacing="0" w:afterAutospacing="0" w:line="360" w:lineRule="auto"/>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p>
      <w:pPr>
        <w:pageBreakBefore w:val="0"/>
        <w:widowControl/>
        <w:kinsoku/>
        <w:wordWrap w:val="0"/>
        <w:overflowPunct/>
        <w:topLinePunct w:val="0"/>
        <w:bidi w:val="0"/>
        <w:spacing w:beforeAutospacing="0" w:afterAutospacing="0" w:line="360" w:lineRule="auto"/>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商务部分相关证明文件</w:t>
      </w:r>
    </w:p>
    <w:p>
      <w:pPr>
        <w:pageBreakBefore w:val="0"/>
        <w:kinsoku/>
        <w:overflowPunct/>
        <w:topLinePunct w:val="0"/>
        <w:bidi w:val="0"/>
        <w:spacing w:beforeAutospacing="0" w:afterAutospacing="0" w:line="360" w:lineRule="auto"/>
        <w:rPr>
          <w:rFonts w:cs="宋体"/>
          <w:b/>
          <w:color w:val="auto"/>
          <w:kern w:val="0"/>
          <w:sz w:val="24"/>
          <w:highlight w:val="none"/>
        </w:rPr>
      </w:pPr>
    </w:p>
    <w:p>
      <w:pPr>
        <w:pStyle w:val="2"/>
        <w:pageBreakBefore w:val="0"/>
        <w:kinsoku/>
        <w:overflowPunct/>
        <w:topLinePunct w:val="0"/>
        <w:bidi w:val="0"/>
        <w:spacing w:beforeAutospacing="0" w:afterAutospacing="0" w:line="360" w:lineRule="auto"/>
      </w:pPr>
    </w:p>
    <w:p>
      <w:pPr>
        <w:pageBreakBefore w:val="0"/>
        <w:kinsoku/>
        <w:overflowPunct/>
        <w:topLinePunct w:val="0"/>
        <w:bidi w:val="0"/>
        <w:spacing w:beforeAutospacing="0" w:afterAutospacing="0" w:line="360" w:lineRule="auto"/>
      </w:pPr>
    </w:p>
    <w:p>
      <w:pPr>
        <w:pStyle w:val="10"/>
        <w:pageBreakBefore w:val="0"/>
        <w:kinsoku/>
        <w:overflowPunct/>
        <w:topLinePunct w:val="0"/>
        <w:bidi w:val="0"/>
        <w:spacing w:before="0" w:beforeAutospacing="0" w:after="0" w:afterAutospacing="0" w:line="360" w:lineRule="auto"/>
      </w:pPr>
    </w:p>
    <w:p>
      <w:pPr>
        <w:pageBreakBefore w:val="0"/>
        <w:kinsoku/>
        <w:overflowPunct/>
        <w:topLinePunct w:val="0"/>
        <w:bidi w:val="0"/>
        <w:spacing w:beforeAutospacing="0" w:afterAutospacing="0" w:line="360" w:lineRule="auto"/>
      </w:pPr>
    </w:p>
    <w:p>
      <w:pPr>
        <w:pStyle w:val="10"/>
        <w:pageBreakBefore w:val="0"/>
        <w:kinsoku/>
        <w:overflowPunct/>
        <w:topLinePunct w:val="0"/>
        <w:bidi w:val="0"/>
        <w:spacing w:before="0" w:beforeAutospacing="0" w:after="0" w:afterAutospacing="0" w:line="360" w:lineRule="auto"/>
      </w:pPr>
    </w:p>
    <w:p>
      <w:pPr>
        <w:pageBreakBefore w:val="0"/>
        <w:kinsoku/>
        <w:overflowPunct/>
        <w:topLinePunct w:val="0"/>
        <w:bidi w:val="0"/>
        <w:spacing w:beforeAutospacing="0" w:afterAutospacing="0" w:line="360" w:lineRule="auto"/>
      </w:pPr>
    </w:p>
    <w:p>
      <w:pPr>
        <w:pStyle w:val="10"/>
        <w:pageBreakBefore w:val="0"/>
        <w:kinsoku/>
        <w:overflowPunct/>
        <w:topLinePunct w:val="0"/>
        <w:bidi w:val="0"/>
        <w:spacing w:before="0" w:beforeAutospacing="0" w:after="0" w:afterAutospacing="0" w:line="360" w:lineRule="auto"/>
      </w:pPr>
    </w:p>
    <w:p>
      <w:pPr>
        <w:pageBreakBefore w:val="0"/>
        <w:kinsoku/>
        <w:overflowPunct/>
        <w:topLinePunct w:val="0"/>
        <w:bidi w:val="0"/>
        <w:spacing w:beforeAutospacing="0" w:afterAutospacing="0" w:line="360" w:lineRule="auto"/>
      </w:pPr>
    </w:p>
    <w:p>
      <w:pPr>
        <w:pStyle w:val="10"/>
        <w:pageBreakBefore w:val="0"/>
        <w:kinsoku/>
        <w:overflowPunct/>
        <w:topLinePunct w:val="0"/>
        <w:bidi w:val="0"/>
        <w:spacing w:before="0" w:beforeAutospacing="0" w:after="0" w:afterAutospacing="0" w:line="360" w:lineRule="auto"/>
      </w:pPr>
    </w:p>
    <w:p>
      <w:pPr>
        <w:pageBreakBefore w:val="0"/>
        <w:kinsoku/>
        <w:overflowPunct/>
        <w:topLinePunct w:val="0"/>
        <w:bidi w:val="0"/>
        <w:spacing w:beforeAutospacing="0" w:afterAutospacing="0" w:line="360" w:lineRule="auto"/>
      </w:pPr>
    </w:p>
    <w:p>
      <w:pPr>
        <w:pStyle w:val="10"/>
        <w:pageBreakBefore w:val="0"/>
        <w:kinsoku/>
        <w:overflowPunct/>
        <w:topLinePunct w:val="0"/>
        <w:bidi w:val="0"/>
        <w:spacing w:before="0" w:beforeAutospacing="0" w:after="0" w:afterAutospacing="0" w:line="360" w:lineRule="auto"/>
      </w:pPr>
    </w:p>
    <w:p>
      <w:pPr>
        <w:pageBreakBefore w:val="0"/>
        <w:kinsoku/>
        <w:overflowPunct/>
        <w:topLinePunct w:val="0"/>
        <w:bidi w:val="0"/>
        <w:spacing w:beforeAutospacing="0" w:afterAutospacing="0" w:line="360" w:lineRule="auto"/>
      </w:pPr>
    </w:p>
    <w:p>
      <w:pPr>
        <w:pStyle w:val="10"/>
        <w:pageBreakBefore w:val="0"/>
        <w:kinsoku/>
        <w:overflowPunct/>
        <w:topLinePunct w:val="0"/>
        <w:bidi w:val="0"/>
        <w:spacing w:before="0" w:beforeAutospacing="0" w:after="0" w:afterAutospacing="0" w:line="360" w:lineRule="auto"/>
      </w:pPr>
    </w:p>
    <w:p>
      <w:pPr>
        <w:pageBreakBefore w:val="0"/>
        <w:kinsoku/>
        <w:overflowPunct/>
        <w:topLinePunct w:val="0"/>
        <w:bidi w:val="0"/>
        <w:spacing w:beforeAutospacing="0" w:afterAutospacing="0" w:line="360" w:lineRule="auto"/>
      </w:pPr>
    </w:p>
    <w:p>
      <w:pPr>
        <w:pStyle w:val="10"/>
        <w:pageBreakBefore w:val="0"/>
        <w:kinsoku/>
        <w:overflowPunct/>
        <w:topLinePunct w:val="0"/>
        <w:bidi w:val="0"/>
        <w:spacing w:before="0" w:beforeAutospacing="0" w:after="0" w:afterAutospacing="0" w:line="360" w:lineRule="auto"/>
      </w:pPr>
    </w:p>
    <w:p>
      <w:pPr>
        <w:pageBreakBefore w:val="0"/>
        <w:kinsoku/>
        <w:overflowPunct/>
        <w:topLinePunct w:val="0"/>
        <w:bidi w:val="0"/>
        <w:spacing w:beforeAutospacing="0" w:afterAutospacing="0" w:line="360" w:lineRule="auto"/>
      </w:pPr>
    </w:p>
    <w:p>
      <w:pPr>
        <w:pStyle w:val="10"/>
        <w:pageBreakBefore w:val="0"/>
        <w:kinsoku/>
        <w:overflowPunct/>
        <w:topLinePunct w:val="0"/>
        <w:bidi w:val="0"/>
        <w:spacing w:before="0" w:beforeAutospacing="0" w:after="0" w:afterAutospacing="0" w:line="360" w:lineRule="auto"/>
      </w:pPr>
    </w:p>
    <w:p>
      <w:pPr>
        <w:pageBreakBefore w:val="0"/>
        <w:widowControl/>
        <w:kinsoku/>
        <w:wordWrap w:val="0"/>
        <w:overflowPunct/>
        <w:topLinePunct w:val="0"/>
        <w:bidi w:val="0"/>
        <w:spacing w:beforeAutospacing="0" w:afterAutospacing="0" w:line="360" w:lineRule="auto"/>
        <w:jc w:val="left"/>
        <w:outlineLvl w:val="0"/>
        <w:rPr>
          <w:rFonts w:ascii="Arial" w:hAnsi="Arial" w:eastAsia="新宋体"/>
          <w:b/>
          <w:color w:val="auto"/>
          <w:sz w:val="28"/>
          <w:highlight w:val="none"/>
        </w:rPr>
      </w:pPr>
      <w:bookmarkStart w:id="79" w:name="_Toc28621"/>
      <w:bookmarkStart w:id="80" w:name="_Toc25453"/>
      <w:bookmarkStart w:id="81" w:name="_Toc31526"/>
      <w:r>
        <w:rPr>
          <w:rFonts w:hint="eastAsia" w:ascii="Arial" w:hAnsi="Arial" w:eastAsia="新宋体"/>
          <w:b/>
          <w:color w:val="auto"/>
          <w:sz w:val="28"/>
          <w:highlight w:val="none"/>
        </w:rPr>
        <w:t>附件7               法定代表人身份证明（格式）</w:t>
      </w:r>
      <w:bookmarkEnd w:id="79"/>
      <w:bookmarkEnd w:id="80"/>
      <w:bookmarkEnd w:id="81"/>
    </w:p>
    <w:p>
      <w:pPr>
        <w:pageBreakBefore w:val="0"/>
        <w:widowControl/>
        <w:kinsoku/>
        <w:wordWrap w:val="0"/>
        <w:overflowPunct/>
        <w:topLinePunct w:val="0"/>
        <w:bidi w:val="0"/>
        <w:spacing w:beforeAutospacing="0" w:afterAutospacing="0" w:line="360" w:lineRule="auto"/>
        <w:jc w:val="left"/>
        <w:rPr>
          <w:rFonts w:ascii="宋体" w:hAnsi="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pageBreakBefore w:val="0"/>
        <w:widowControl/>
        <w:kinsoku/>
        <w:wordWrap w:val="0"/>
        <w:overflowPunct/>
        <w:topLinePunct w:val="0"/>
        <w:bidi w:val="0"/>
        <w:spacing w:beforeAutospacing="0" w:afterAutospacing="0" w:line="360" w:lineRule="auto"/>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pageBreakBefore w:val="0"/>
        <w:widowControl/>
        <w:kinsoku/>
        <w:wordWrap w:val="0"/>
        <w:overflowPunct/>
        <w:topLinePunct w:val="0"/>
        <w:bidi w:val="0"/>
        <w:spacing w:beforeAutospacing="0" w:afterAutospacing="0" w:line="360" w:lineRule="auto"/>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pageBreakBefore w:val="0"/>
        <w:widowControl/>
        <w:kinsoku/>
        <w:wordWrap w:val="0"/>
        <w:overflowPunct/>
        <w:topLinePunct w:val="0"/>
        <w:bidi w:val="0"/>
        <w:spacing w:beforeAutospacing="0" w:afterAutospacing="0" w:line="360" w:lineRule="auto"/>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pageBreakBefore w:val="0"/>
        <w:widowControl/>
        <w:kinsoku/>
        <w:wordWrap w:val="0"/>
        <w:overflowPunct/>
        <w:topLinePunct w:val="0"/>
        <w:bidi w:val="0"/>
        <w:spacing w:beforeAutospacing="0" w:afterAutospacing="0" w:line="360" w:lineRule="auto"/>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pageBreakBefore w:val="0"/>
        <w:widowControl/>
        <w:kinsoku/>
        <w:wordWrap w:val="0"/>
        <w:overflowPunct/>
        <w:topLinePunct w:val="0"/>
        <w:bidi w:val="0"/>
        <w:spacing w:beforeAutospacing="0" w:afterAutospacing="0" w:line="360" w:lineRule="auto"/>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pageBreakBefore w:val="0"/>
        <w:widowControl/>
        <w:kinsoku/>
        <w:wordWrap w:val="0"/>
        <w:overflowPunct/>
        <w:topLinePunct w:val="0"/>
        <w:bidi w:val="0"/>
        <w:spacing w:beforeAutospacing="0" w:afterAutospacing="0" w:line="360" w:lineRule="auto"/>
        <w:jc w:val="left"/>
        <w:rPr>
          <w:rFonts w:ascii="宋体" w:hAnsi="宋体" w:cs="宋体"/>
          <w:color w:val="auto"/>
          <w:kern w:val="0"/>
          <w:sz w:val="24"/>
          <w:szCs w:val="20"/>
          <w:highlight w:val="none"/>
        </w:rPr>
      </w:pPr>
    </w:p>
    <w:p>
      <w:pPr>
        <w:pageBreakBefore w:val="0"/>
        <w:widowControl/>
        <w:kinsoku/>
        <w:wordWrap w:val="0"/>
        <w:overflowPunct/>
        <w:topLinePunct w:val="0"/>
        <w:bidi w:val="0"/>
        <w:spacing w:beforeAutospacing="0" w:afterAutospacing="0" w:line="360" w:lineRule="auto"/>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pageBreakBefore w:val="0"/>
        <w:widowControl/>
        <w:kinsoku/>
        <w:wordWrap w:val="0"/>
        <w:overflowPunct/>
        <w:topLinePunct w:val="0"/>
        <w:bidi w:val="0"/>
        <w:spacing w:beforeAutospacing="0" w:afterAutospacing="0" w:line="360" w:lineRule="auto"/>
        <w:jc w:val="left"/>
        <w:rPr>
          <w:rFonts w:ascii="宋体" w:hAnsi="宋体" w:cs="宋体"/>
          <w:color w:val="auto"/>
          <w:kern w:val="0"/>
          <w:sz w:val="24"/>
          <w:szCs w:val="20"/>
          <w:highlight w:val="none"/>
        </w:rPr>
      </w:pPr>
    </w:p>
    <w:p>
      <w:pPr>
        <w:pageBreakBefore w:val="0"/>
        <w:widowControl/>
        <w:kinsoku/>
        <w:wordWrap w:val="0"/>
        <w:overflowPunct/>
        <w:topLinePunct w:val="0"/>
        <w:bidi w:val="0"/>
        <w:spacing w:beforeAutospacing="0" w:afterAutospacing="0" w:line="360" w:lineRule="auto"/>
        <w:jc w:val="center"/>
        <w:rPr>
          <w:rFonts w:ascii="宋体" w:hAnsi="宋体" w:cs="Lucida Sans Unicode"/>
          <w:b/>
          <w:color w:val="auto"/>
          <w:kern w:val="0"/>
          <w:sz w:val="36"/>
          <w:szCs w:val="36"/>
          <w:highlight w:val="none"/>
        </w:rPr>
      </w:pPr>
    </w:p>
    <w:tbl>
      <w:tblPr>
        <w:tblStyle w:val="31"/>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bidi w:val="0"/>
              <w:spacing w:beforeAutospacing="0" w:afterAutospacing="0" w:line="360" w:lineRule="auto"/>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pageBreakBefore w:val="0"/>
              <w:widowControl/>
              <w:kinsoku/>
              <w:overflowPunct/>
              <w:topLinePunct w:val="0"/>
              <w:bidi w:val="0"/>
              <w:spacing w:beforeAutospacing="0" w:afterAutospacing="0" w:line="360" w:lineRule="auto"/>
              <w:jc w:val="left"/>
              <w:rPr>
                <w:rFonts w:ascii="仿宋_GB2312" w:hAnsi="Lucida Sans Unicode" w:eastAsia="仿宋_GB2312" w:cs="Lucida Sans Unicode"/>
                <w:color w:val="auto"/>
                <w:kern w:val="0"/>
                <w:sz w:val="24"/>
                <w:highlight w:val="none"/>
              </w:rPr>
            </w:pPr>
          </w:p>
          <w:p>
            <w:pPr>
              <w:pageBreakBefore w:val="0"/>
              <w:widowControl/>
              <w:kinsoku/>
              <w:overflowPunct/>
              <w:topLinePunct w:val="0"/>
              <w:bidi w:val="0"/>
              <w:spacing w:beforeAutospacing="0" w:afterAutospacing="0" w:line="360" w:lineRule="auto"/>
              <w:jc w:val="left"/>
              <w:rPr>
                <w:rFonts w:ascii="仿宋_GB2312" w:hAnsi="Lucida Sans Unicode" w:eastAsia="仿宋_GB2312" w:cs="Lucida Sans Unicode"/>
                <w:color w:val="auto"/>
                <w:kern w:val="0"/>
                <w:sz w:val="24"/>
                <w:highlight w:val="none"/>
              </w:rPr>
            </w:pPr>
          </w:p>
        </w:tc>
      </w:tr>
    </w:tbl>
    <w:p>
      <w:pPr>
        <w:pageBreakBefore w:val="0"/>
        <w:widowControl/>
        <w:kinsoku/>
        <w:wordWrap w:val="0"/>
        <w:overflowPunct/>
        <w:topLinePunct w:val="0"/>
        <w:bidi w:val="0"/>
        <w:spacing w:beforeAutospacing="0" w:afterAutospacing="0" w:line="360" w:lineRule="auto"/>
        <w:jc w:val="center"/>
        <w:rPr>
          <w:rFonts w:ascii="宋体" w:hAnsi="宋体" w:cs="Lucida Sans Unicode"/>
          <w:b/>
          <w:color w:val="auto"/>
          <w:kern w:val="0"/>
          <w:sz w:val="24"/>
          <w:highlight w:val="none"/>
        </w:rPr>
      </w:pPr>
    </w:p>
    <w:p>
      <w:pPr>
        <w:pageBreakBefore w:val="0"/>
        <w:widowControl/>
        <w:kinsoku/>
        <w:wordWrap w:val="0"/>
        <w:overflowPunct/>
        <w:topLinePunct w:val="0"/>
        <w:bidi w:val="0"/>
        <w:spacing w:beforeAutospacing="0" w:afterAutospacing="0" w:line="360" w:lineRule="auto"/>
        <w:jc w:val="center"/>
        <w:rPr>
          <w:rFonts w:ascii="Lucida Sans Unicode" w:hAnsi="Lucida Sans Unicode" w:cs="Lucida Sans Unicode"/>
          <w:b/>
          <w:color w:val="auto"/>
          <w:kern w:val="0"/>
          <w:sz w:val="36"/>
          <w:szCs w:val="36"/>
          <w:highlight w:val="none"/>
        </w:rPr>
      </w:pPr>
    </w:p>
    <w:p>
      <w:pPr>
        <w:pageBreakBefore w:val="0"/>
        <w:widowControl/>
        <w:kinsoku/>
        <w:wordWrap w:val="0"/>
        <w:overflowPunct/>
        <w:topLinePunct w:val="0"/>
        <w:bidi w:val="0"/>
        <w:spacing w:beforeAutospacing="0" w:afterAutospacing="0" w:line="360" w:lineRule="auto"/>
        <w:jc w:val="center"/>
        <w:rPr>
          <w:rFonts w:ascii="Lucida Sans Unicode" w:hAnsi="Lucida Sans Unicode" w:cs="Lucida Sans Unicode"/>
          <w:b/>
          <w:color w:val="auto"/>
          <w:kern w:val="0"/>
          <w:sz w:val="36"/>
          <w:szCs w:val="36"/>
          <w:highlight w:val="none"/>
        </w:rPr>
      </w:pPr>
    </w:p>
    <w:p>
      <w:pPr>
        <w:pageBreakBefore w:val="0"/>
        <w:widowControl/>
        <w:kinsoku/>
        <w:wordWrap w:val="0"/>
        <w:overflowPunct/>
        <w:topLinePunct w:val="0"/>
        <w:bidi w:val="0"/>
        <w:spacing w:beforeAutospacing="0" w:afterAutospacing="0" w:line="360" w:lineRule="auto"/>
        <w:jc w:val="right"/>
        <w:rPr>
          <w:rFonts w:ascii="仿宋_GB2312" w:hAnsi="仿宋_GB2312" w:eastAsia="仿宋_GB2312" w:cs="Lucida Sans Unicode"/>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ascii="仿宋_GB2312" w:hAnsi="仿宋_GB2312" w:eastAsia="仿宋_GB2312" w:cs="Lucida Sans Unicode"/>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pageBreakBefore w:val="0"/>
        <w:widowControl/>
        <w:kinsoku/>
        <w:wordWrap w:val="0"/>
        <w:overflowPunct/>
        <w:topLinePunct w:val="0"/>
        <w:bidi w:val="0"/>
        <w:spacing w:beforeAutospacing="0" w:afterAutospacing="0" w:line="360" w:lineRule="auto"/>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pageBreakBefore w:val="0"/>
        <w:kinsoku/>
        <w:overflowPunct/>
        <w:topLinePunct w:val="0"/>
        <w:bidi w:val="0"/>
        <w:spacing w:beforeAutospacing="0" w:afterAutospacing="0" w:line="360" w:lineRule="auto"/>
        <w:rPr>
          <w:color w:val="auto"/>
          <w:highlight w:val="none"/>
        </w:rPr>
      </w:pPr>
    </w:p>
    <w:p>
      <w:pPr>
        <w:pageBreakBefore w:val="0"/>
        <w:kinsoku/>
        <w:overflowPunct/>
        <w:topLinePunct w:val="0"/>
        <w:bidi w:val="0"/>
        <w:spacing w:beforeAutospacing="0" w:afterAutospacing="0" w:line="360" w:lineRule="auto"/>
        <w:rPr>
          <w:color w:val="auto"/>
          <w:highlight w:val="none"/>
        </w:rPr>
      </w:pPr>
      <w:r>
        <w:rPr>
          <w:color w:val="auto"/>
          <w:highlight w:val="none"/>
        </w:rPr>
        <w:br w:type="page"/>
      </w:r>
    </w:p>
    <w:p>
      <w:pPr>
        <w:pStyle w:val="52"/>
        <w:pageBreakBefore w:val="0"/>
        <w:kinsoku/>
        <w:overflowPunct/>
        <w:topLinePunct w:val="0"/>
        <w:bidi w:val="0"/>
        <w:spacing w:beforeAutospacing="0" w:afterAutospacing="0" w:line="360" w:lineRule="auto"/>
        <w:rPr>
          <w:color w:val="auto"/>
          <w:highlight w:val="none"/>
        </w:rPr>
      </w:pPr>
    </w:p>
    <w:p>
      <w:pPr>
        <w:pageBreakBefore w:val="0"/>
        <w:widowControl/>
        <w:kinsoku/>
        <w:wordWrap w:val="0"/>
        <w:overflowPunct/>
        <w:topLinePunct w:val="0"/>
        <w:bidi w:val="0"/>
        <w:spacing w:beforeAutospacing="0" w:afterAutospacing="0" w:line="360" w:lineRule="auto"/>
        <w:ind w:firstLine="365" w:firstLineChars="130"/>
        <w:jc w:val="left"/>
        <w:outlineLvl w:val="0"/>
        <w:rPr>
          <w:rFonts w:ascii="Arial" w:hAnsi="Arial" w:eastAsia="新宋体"/>
          <w:b/>
          <w:color w:val="auto"/>
          <w:sz w:val="28"/>
          <w:highlight w:val="none"/>
        </w:rPr>
      </w:pPr>
      <w:bookmarkStart w:id="82" w:name="_Toc30519"/>
      <w:bookmarkStart w:id="83" w:name="_Toc1416"/>
      <w:bookmarkStart w:id="84" w:name="_Toc13976"/>
      <w:r>
        <w:rPr>
          <w:rFonts w:hint="eastAsia" w:ascii="Arial" w:hAnsi="Arial" w:eastAsia="新宋体"/>
          <w:b/>
          <w:color w:val="auto"/>
          <w:sz w:val="28"/>
          <w:highlight w:val="none"/>
        </w:rPr>
        <w:t>附件8               法定代表人授权书（格式）</w:t>
      </w:r>
      <w:bookmarkEnd w:id="82"/>
      <w:bookmarkEnd w:id="83"/>
      <w:bookmarkEnd w:id="84"/>
    </w:p>
    <w:p>
      <w:pPr>
        <w:pageBreakBefore w:val="0"/>
        <w:widowControl/>
        <w:tabs>
          <w:tab w:val="left" w:pos="420"/>
          <w:tab w:val="left" w:pos="2160"/>
        </w:tabs>
        <w:kinsoku/>
        <w:wordWrap w:val="0"/>
        <w:overflowPunct/>
        <w:topLinePunct w:val="0"/>
        <w:bidi w:val="0"/>
        <w:spacing w:beforeAutospacing="0" w:afterAutospacing="0" w:line="360" w:lineRule="auto"/>
        <w:ind w:firstLine="480" w:firstLineChars="200"/>
        <w:jc w:val="left"/>
        <w:rPr>
          <w:rFonts w:ascii="宋体" w:hAnsi="宋体" w:cs="宋体"/>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ascii="宋体" w:hAnsi="宋体" w:cs="宋体"/>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1"/>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bidi w:val="0"/>
              <w:spacing w:beforeAutospacing="0" w:afterAutospacing="0" w:line="360" w:lineRule="auto"/>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pageBreakBefore w:val="0"/>
        <w:widowControl/>
        <w:kinsoku/>
        <w:wordWrap w:val="0"/>
        <w:overflowPunct/>
        <w:topLinePunct w:val="0"/>
        <w:bidi w:val="0"/>
        <w:snapToGrid w:val="0"/>
        <w:spacing w:beforeAutospacing="0" w:afterAutospacing="0"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pageBreakBefore w:val="0"/>
        <w:widowControl/>
        <w:kinsoku/>
        <w:wordWrap w:val="0"/>
        <w:overflowPunct/>
        <w:topLinePunct w:val="0"/>
        <w:bidi w:val="0"/>
        <w:spacing w:beforeAutospacing="0" w:afterAutospacing="0" w:line="360" w:lineRule="auto"/>
        <w:ind w:firstLine="4800" w:firstLineChars="2000"/>
        <w:jc w:val="left"/>
        <w:rPr>
          <w:rFonts w:ascii="仿宋_GB2312" w:hAnsi="Lucida Sans Unicode" w:eastAsia="仿宋_GB2312" w:cs="Lucida Sans Unicode"/>
          <w:color w:val="auto"/>
          <w:kern w:val="0"/>
          <w:sz w:val="24"/>
          <w:highlight w:val="none"/>
        </w:rPr>
      </w:pPr>
    </w:p>
    <w:p>
      <w:pPr>
        <w:pageBreakBefore w:val="0"/>
        <w:widowControl/>
        <w:kinsoku/>
        <w:wordWrap w:val="0"/>
        <w:overflowPunct/>
        <w:topLinePunct w:val="0"/>
        <w:bidi w:val="0"/>
        <w:spacing w:beforeAutospacing="0" w:afterAutospacing="0" w:line="360" w:lineRule="auto"/>
        <w:jc w:val="center"/>
        <w:rPr>
          <w:rFonts w:ascii="仿宋_GB2312" w:hAnsi="Lucida Sans Unicode" w:eastAsia="仿宋_GB2312" w:cs="Lucida Sans Unicode"/>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cs="宋体"/>
          <w:color w:val="auto"/>
          <w:kern w:val="0"/>
          <w:sz w:val="24"/>
          <w:highlight w:val="none"/>
        </w:rPr>
      </w:pPr>
    </w:p>
    <w:p>
      <w:pPr>
        <w:pageBreakBefore w:val="0"/>
        <w:widowControl/>
        <w:kinsoku/>
        <w:wordWrap/>
        <w:overflowPunct/>
        <w:topLinePunct w:val="0"/>
        <w:bidi w:val="0"/>
        <w:spacing w:beforeAutospacing="0" w:afterAutospacing="0"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pageBreakBefore w:val="0"/>
        <w:widowControl/>
        <w:kinsoku/>
        <w:wordWrap w:val="0"/>
        <w:overflowPunct/>
        <w:topLinePunct w:val="0"/>
        <w:bidi w:val="0"/>
        <w:spacing w:beforeAutospacing="0" w:afterAutospacing="0" w:line="360" w:lineRule="auto"/>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pageBreakBefore w:val="0"/>
        <w:widowControl/>
        <w:kinsoku/>
        <w:overflowPunct/>
        <w:topLinePunct w:val="0"/>
        <w:bidi w:val="0"/>
        <w:spacing w:beforeAutospacing="0" w:afterAutospacing="0" w:line="360" w:lineRule="auto"/>
        <w:ind w:firstLine="7228" w:firstLineChars="2250"/>
        <w:jc w:val="left"/>
        <w:rPr>
          <w:rFonts w:ascii="宋体" w:hAnsi="宋体" w:cs="宋体"/>
          <w:b/>
          <w:color w:val="auto"/>
          <w:kern w:val="0"/>
          <w:sz w:val="32"/>
          <w:szCs w:val="32"/>
          <w:highlight w:val="none"/>
        </w:rPr>
      </w:pPr>
    </w:p>
    <w:p>
      <w:pPr>
        <w:pageBreakBefore w:val="0"/>
        <w:kinsoku/>
        <w:overflowPunct/>
        <w:topLinePunct w:val="0"/>
        <w:bidi w:val="0"/>
        <w:spacing w:beforeAutospacing="0" w:afterAutospacing="0" w:line="360" w:lineRule="auto"/>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pageBreakBefore w:val="0"/>
        <w:widowControl/>
        <w:kinsoku/>
        <w:overflowPunct/>
        <w:topLinePunct w:val="0"/>
        <w:bidi w:val="0"/>
        <w:snapToGrid w:val="0"/>
        <w:spacing w:beforeAutospacing="0" w:afterAutospacing="0" w:line="360" w:lineRule="auto"/>
        <w:jc w:val="left"/>
        <w:rPr>
          <w:rFonts w:ascii="宋体" w:hAnsi="宋体" w:cs="宋体"/>
          <w:b/>
          <w:color w:val="auto"/>
          <w:kern w:val="0"/>
          <w:sz w:val="24"/>
          <w:highlight w:val="none"/>
        </w:rPr>
      </w:pPr>
    </w:p>
    <w:p>
      <w:pPr>
        <w:pageBreakBefore w:val="0"/>
        <w:widowControl/>
        <w:kinsoku/>
        <w:overflowPunct/>
        <w:topLinePunct w:val="0"/>
        <w:bidi w:val="0"/>
        <w:snapToGrid w:val="0"/>
        <w:spacing w:beforeAutospacing="0" w:afterAutospacing="0" w:line="360" w:lineRule="auto"/>
        <w:jc w:val="left"/>
        <w:outlineLvl w:val="0"/>
        <w:rPr>
          <w:rFonts w:ascii="宋体" w:hAnsi="宋体" w:cs="宋体"/>
          <w:b/>
          <w:color w:val="auto"/>
          <w:kern w:val="0"/>
          <w:sz w:val="24"/>
          <w:highlight w:val="none"/>
        </w:rPr>
      </w:pPr>
      <w:bookmarkStart w:id="85" w:name="_Toc24693"/>
      <w:bookmarkStart w:id="86" w:name="_Toc30037"/>
      <w:bookmarkStart w:id="87" w:name="_Toc18105"/>
      <w:r>
        <w:rPr>
          <w:rFonts w:hint="eastAsia" w:ascii="Arial" w:hAnsi="Arial" w:eastAsia="新宋体"/>
          <w:b/>
          <w:color w:val="auto"/>
          <w:sz w:val="28"/>
          <w:highlight w:val="none"/>
        </w:rPr>
        <w:t>附件9               证明文件</w:t>
      </w:r>
      <w:bookmarkEnd w:id="85"/>
      <w:bookmarkEnd w:id="86"/>
      <w:bookmarkEnd w:id="87"/>
    </w:p>
    <w:p>
      <w:pPr>
        <w:pStyle w:val="8"/>
        <w:pageBreakBefore w:val="0"/>
        <w:kinsoku/>
        <w:overflowPunct/>
        <w:topLinePunct w:val="0"/>
        <w:bidi w:val="0"/>
        <w:spacing w:beforeAutospacing="0" w:afterAutospacing="0" w:line="36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8"/>
        <w:pageBreakBefore w:val="0"/>
        <w:kinsoku/>
        <w:overflowPunct/>
        <w:topLinePunct w:val="0"/>
        <w:bidi w:val="0"/>
        <w:spacing w:beforeAutospacing="0" w:afterAutospacing="0" w:line="36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服务方案</w:t>
      </w:r>
    </w:p>
    <w:p>
      <w:pPr>
        <w:pStyle w:val="8"/>
        <w:pageBreakBefore w:val="0"/>
        <w:kinsoku/>
        <w:overflowPunct/>
        <w:topLinePunct w:val="0"/>
        <w:bidi w:val="0"/>
        <w:spacing w:beforeAutospacing="0" w:afterAutospacing="0" w:line="36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8" w:name="_Toc17966"/>
    </w:p>
    <w:p>
      <w:pPr>
        <w:pStyle w:val="8"/>
        <w:pageBreakBefore w:val="0"/>
        <w:kinsoku/>
        <w:overflowPunct/>
        <w:topLinePunct w:val="0"/>
        <w:bidi w:val="0"/>
        <w:spacing w:beforeAutospacing="0" w:afterAutospacing="0" w:line="36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8"/>
        <w:pageBreakBefore w:val="0"/>
        <w:kinsoku/>
        <w:overflowPunct/>
        <w:topLinePunct w:val="0"/>
        <w:bidi w:val="0"/>
        <w:spacing w:beforeAutospacing="0" w:afterAutospacing="0" w:line="360" w:lineRule="auto"/>
        <w:ind w:firstLine="540" w:firstLineChars="224"/>
        <w:jc w:val="both"/>
        <w:rPr>
          <w:b/>
          <w:bCs/>
          <w:color w:val="auto"/>
          <w:highlight w:val="none"/>
        </w:rPr>
      </w:pPr>
    </w:p>
    <w:p>
      <w:pPr>
        <w:pageBreakBefore w:val="0"/>
        <w:kinsoku/>
        <w:overflowPunct/>
        <w:topLinePunct w:val="0"/>
        <w:bidi w:val="0"/>
        <w:spacing w:beforeAutospacing="0" w:afterAutospacing="0" w:line="360" w:lineRule="auto"/>
        <w:rPr>
          <w:b/>
          <w:bCs/>
          <w:color w:val="auto"/>
          <w:highlight w:val="none"/>
        </w:rPr>
      </w:pPr>
      <w:r>
        <w:rPr>
          <w:b/>
          <w:bCs/>
          <w:color w:val="auto"/>
          <w:highlight w:val="none"/>
        </w:rPr>
        <w:br w:type="page"/>
      </w:r>
    </w:p>
    <w:p>
      <w:pPr>
        <w:pStyle w:val="8"/>
        <w:pageBreakBefore w:val="0"/>
        <w:kinsoku/>
        <w:overflowPunct/>
        <w:topLinePunct w:val="0"/>
        <w:bidi w:val="0"/>
        <w:spacing w:beforeAutospacing="0" w:afterAutospacing="0" w:line="360" w:lineRule="auto"/>
        <w:ind w:firstLine="540" w:firstLineChars="224"/>
        <w:jc w:val="both"/>
        <w:rPr>
          <w:b/>
          <w:bCs/>
          <w:color w:val="auto"/>
          <w:highlight w:val="none"/>
        </w:rPr>
      </w:pPr>
    </w:p>
    <w:p>
      <w:pPr>
        <w:pageBreakBefore w:val="0"/>
        <w:widowControl/>
        <w:kinsoku/>
        <w:overflowPunct/>
        <w:topLinePunct w:val="0"/>
        <w:bidi w:val="0"/>
        <w:snapToGrid w:val="0"/>
        <w:spacing w:beforeAutospacing="0" w:afterAutospacing="0" w:line="360" w:lineRule="auto"/>
        <w:jc w:val="center"/>
        <w:outlineLvl w:val="0"/>
        <w:rPr>
          <w:rFonts w:ascii="宋体" w:hAnsi="宋体" w:cs="宋体"/>
          <w:b/>
          <w:color w:val="auto"/>
          <w:kern w:val="0"/>
          <w:sz w:val="28"/>
          <w:szCs w:val="28"/>
          <w:highlight w:val="none"/>
        </w:rPr>
      </w:pPr>
      <w:bookmarkStart w:id="89" w:name="_Toc13726"/>
      <w:bookmarkStart w:id="90" w:name="_Toc12888"/>
      <w:bookmarkStart w:id="91" w:name="_Toc29825"/>
      <w:r>
        <w:rPr>
          <w:rFonts w:hint="eastAsia" w:ascii="宋体" w:hAnsi="宋体" w:cs="Lucida Sans Unicode"/>
          <w:b/>
          <w:color w:val="auto"/>
          <w:kern w:val="0"/>
          <w:sz w:val="28"/>
          <w:szCs w:val="28"/>
          <w:highlight w:val="none"/>
        </w:rPr>
        <w:t xml:space="preserve">附件10        </w:t>
      </w:r>
      <w:bookmarkEnd w:id="88"/>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9"/>
      <w:bookmarkEnd w:id="90"/>
      <w:bookmarkEnd w:id="91"/>
    </w:p>
    <w:p>
      <w:pPr>
        <w:pageBreakBefore w:val="0"/>
        <w:kinsoku/>
        <w:overflowPunct/>
        <w:topLinePunct w:val="0"/>
        <w:bidi w:val="0"/>
        <w:spacing w:beforeAutospacing="0" w:afterAutospacing="0" w:line="360" w:lineRule="auto"/>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textAlignment w:val="auto"/>
        <w:rPr>
          <w:sz w:val="28"/>
          <w:szCs w:val="28"/>
        </w:rPr>
      </w:pPr>
      <w:r>
        <w:rPr>
          <w:rFonts w:hint="eastAsia" w:ascii="宋体" w:hAnsi="宋体" w:eastAsia="宋体" w:cs="宋体"/>
          <w:sz w:val="24"/>
          <w:szCs w:val="24"/>
        </w:rPr>
        <w:t>法定代表人或委托人（签字）：                   年   月   日</w:t>
      </w:r>
    </w:p>
    <w:p>
      <w:pPr>
        <w:pageBreakBefore w:val="0"/>
        <w:widowControl/>
        <w:kinsoku/>
        <w:overflowPunct/>
        <w:topLinePunct w:val="0"/>
        <w:bidi w:val="0"/>
        <w:spacing w:beforeAutospacing="0" w:afterAutospacing="0" w:line="360" w:lineRule="auto"/>
        <w:ind w:firstLine="4305" w:firstLineChars="2050"/>
        <w:jc w:val="left"/>
        <w:rPr>
          <w:rFonts w:ascii="宋体" w:hAnsi="宋体" w:cs="宋体"/>
          <w:color w:val="auto"/>
          <w:kern w:val="0"/>
          <w:szCs w:val="21"/>
          <w:highlight w:val="none"/>
        </w:rPr>
      </w:pPr>
    </w:p>
    <w:p>
      <w:pPr>
        <w:pStyle w:val="2"/>
        <w:pageBreakBefore w:val="0"/>
        <w:kinsoku/>
        <w:overflowPunct/>
        <w:topLinePunct w:val="0"/>
        <w:bidi w:val="0"/>
        <w:spacing w:beforeAutospacing="0" w:afterAutospacing="0" w:line="360" w:lineRule="auto"/>
        <w:rPr>
          <w:rFonts w:ascii="宋体" w:hAnsi="宋体" w:cs="宋体"/>
          <w:color w:val="auto"/>
          <w:kern w:val="0"/>
          <w:szCs w:val="21"/>
          <w:highlight w:val="none"/>
        </w:rPr>
      </w:pPr>
    </w:p>
    <w:p>
      <w:pPr>
        <w:pStyle w:val="5"/>
        <w:pageBreakBefore w:val="0"/>
        <w:kinsoku/>
        <w:overflowPunct/>
        <w:topLinePunct w:val="0"/>
        <w:bidi w:val="0"/>
        <w:spacing w:beforeAutospacing="0" w:afterAutospacing="0" w:line="360" w:lineRule="auto"/>
        <w:rPr>
          <w:rFonts w:ascii="宋体" w:hAnsi="宋体" w:cs="宋体"/>
          <w:color w:val="auto"/>
          <w:kern w:val="0"/>
          <w:szCs w:val="21"/>
          <w:highlight w:val="none"/>
        </w:rPr>
      </w:pPr>
    </w:p>
    <w:p>
      <w:pPr>
        <w:pageBreakBefore w:val="0"/>
        <w:kinsoku/>
        <w:overflowPunct/>
        <w:topLinePunct w:val="0"/>
        <w:bidi w:val="0"/>
        <w:spacing w:beforeAutospacing="0" w:afterAutospacing="0" w:line="360" w:lineRule="auto"/>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仿宋" w:hAnsi="仿宋" w:eastAsia="仿宋" w:cs="仿宋"/>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仿宋" w:hAnsi="仿宋" w:eastAsia="仿宋" w:cs="仿宋"/>
          <w:sz w:val="32"/>
          <w:szCs w:val="32"/>
          <w:lang w:val="en-US" w:eastAsia="zh-CN"/>
        </w:rPr>
        <w:t>记录；</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sz w:val="32"/>
          <w:szCs w:val="32"/>
        </w:rPr>
      </w:pPr>
    </w:p>
    <w:p>
      <w:pPr>
        <w:pageBreakBefore w:val="0"/>
        <w:kinsoku/>
        <w:overflowPunct/>
        <w:topLinePunct w:val="0"/>
        <w:bidi w:val="0"/>
        <w:spacing w:beforeAutospacing="0" w:afterAutospacing="0" w:line="360" w:lineRule="auto"/>
      </w:pPr>
    </w:p>
    <w:p>
      <w:pPr>
        <w:pageBreakBefore w:val="0"/>
        <w:kinsoku/>
        <w:overflowPunct/>
        <w:topLinePunct w:val="0"/>
        <w:bidi w:val="0"/>
        <w:spacing w:beforeAutospacing="0" w:afterAutospacing="0" w:line="360" w:lineRule="auto"/>
        <w:rPr>
          <w:color w:val="auto"/>
          <w:highlight w:val="none"/>
        </w:rPr>
      </w:pPr>
    </w:p>
    <w:p>
      <w:pPr>
        <w:pageBreakBefore w:val="0"/>
        <w:kinsoku/>
        <w:overflowPunct/>
        <w:topLinePunct w:val="0"/>
        <w:bidi w:val="0"/>
        <w:spacing w:beforeAutospacing="0" w:afterAutospacing="0" w:line="360" w:lineRule="auto"/>
        <w:rPr>
          <w:color w:val="auto"/>
          <w:highlight w:val="none"/>
        </w:rPr>
      </w:pPr>
      <w:r>
        <w:rPr>
          <w:color w:val="auto"/>
          <w:highlight w:val="none"/>
        </w:rPr>
        <w:br w:type="page"/>
      </w:r>
    </w:p>
    <w:p>
      <w:pPr>
        <w:pStyle w:val="49"/>
        <w:pageBreakBefore w:val="0"/>
        <w:kinsoku/>
        <w:overflowPunct/>
        <w:topLinePunct w:val="0"/>
        <w:bidi w:val="0"/>
        <w:spacing w:beforeAutospacing="0" w:after="0" w:afterAutospacing="0" w:line="360" w:lineRule="auto"/>
      </w:pPr>
    </w:p>
    <w:p>
      <w:pPr>
        <w:pageBreakBefore w:val="0"/>
        <w:widowControl/>
        <w:kinsoku/>
        <w:overflowPunct/>
        <w:topLinePunct w:val="0"/>
        <w:bidi w:val="0"/>
        <w:snapToGrid w:val="0"/>
        <w:spacing w:beforeAutospacing="0" w:afterAutospacing="0" w:line="360" w:lineRule="auto"/>
        <w:jc w:val="center"/>
        <w:outlineLvl w:val="0"/>
        <w:rPr>
          <w:rFonts w:ascii="宋体" w:hAnsi="宋体" w:cs="Lucida Sans Unicode"/>
          <w:b/>
          <w:color w:val="auto"/>
          <w:kern w:val="0"/>
          <w:sz w:val="24"/>
          <w:highlight w:val="none"/>
        </w:rPr>
      </w:pPr>
      <w:bookmarkStart w:id="92" w:name="_Toc23394"/>
      <w:bookmarkStart w:id="93" w:name="_Toc25094"/>
      <w:bookmarkStart w:id="94" w:name="_Toc22648"/>
      <w:r>
        <w:rPr>
          <w:rFonts w:hint="eastAsia" w:ascii="宋体" w:hAnsi="宋体" w:cs="Lucida Sans Unicode"/>
          <w:b/>
          <w:color w:val="auto"/>
          <w:kern w:val="0"/>
          <w:sz w:val="24"/>
          <w:highlight w:val="none"/>
        </w:rPr>
        <w:t>投标人认为有必要的其他资料</w:t>
      </w:r>
      <w:bookmarkEnd w:id="92"/>
      <w:bookmarkEnd w:id="93"/>
      <w:bookmarkEnd w:id="94"/>
    </w:p>
    <w:p>
      <w:pPr>
        <w:pageBreakBefore w:val="0"/>
        <w:widowControl/>
        <w:kinsoku/>
        <w:overflowPunct/>
        <w:topLinePunct w:val="0"/>
        <w:bidi w:val="0"/>
        <w:spacing w:beforeAutospacing="0" w:afterAutospacing="0"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8"/>
        <w:pageBreakBefore w:val="0"/>
        <w:kinsoku/>
        <w:overflowPunct/>
        <w:topLinePunct w:val="0"/>
        <w:bidi w:val="0"/>
        <w:spacing w:beforeAutospacing="0" w:afterAutospacing="0" w:line="360" w:lineRule="auto"/>
        <w:jc w:val="center"/>
        <w:rPr>
          <w:b/>
          <w:bCs/>
          <w:color w:val="auto"/>
          <w:sz w:val="28"/>
          <w:szCs w:val="28"/>
          <w:highlight w:val="none"/>
        </w:rPr>
      </w:pPr>
    </w:p>
    <w:p>
      <w:pPr>
        <w:pStyle w:val="8"/>
        <w:pageBreakBefore w:val="0"/>
        <w:kinsoku/>
        <w:overflowPunct/>
        <w:topLinePunct w:val="0"/>
        <w:bidi w:val="0"/>
        <w:spacing w:beforeAutospacing="0" w:afterAutospacing="0" w:line="360" w:lineRule="auto"/>
        <w:jc w:val="center"/>
        <w:rPr>
          <w:b/>
          <w:bCs/>
          <w:color w:val="auto"/>
          <w:sz w:val="28"/>
          <w:szCs w:val="28"/>
          <w:highlight w:val="none"/>
        </w:rPr>
      </w:pPr>
    </w:p>
    <w:p>
      <w:pPr>
        <w:pStyle w:val="8"/>
        <w:pageBreakBefore w:val="0"/>
        <w:kinsoku/>
        <w:overflowPunct/>
        <w:topLinePunct w:val="0"/>
        <w:bidi w:val="0"/>
        <w:spacing w:beforeAutospacing="0" w:afterAutospacing="0" w:line="360" w:lineRule="auto"/>
        <w:jc w:val="center"/>
        <w:rPr>
          <w:b/>
          <w:bCs/>
          <w:color w:val="auto"/>
          <w:sz w:val="28"/>
          <w:szCs w:val="28"/>
          <w:highlight w:val="none"/>
        </w:rPr>
      </w:pPr>
    </w:p>
    <w:p>
      <w:pPr>
        <w:pStyle w:val="8"/>
        <w:pageBreakBefore w:val="0"/>
        <w:kinsoku/>
        <w:overflowPunct/>
        <w:topLinePunct w:val="0"/>
        <w:bidi w:val="0"/>
        <w:spacing w:beforeAutospacing="0" w:afterAutospacing="0" w:line="360" w:lineRule="auto"/>
        <w:jc w:val="center"/>
        <w:rPr>
          <w:b/>
          <w:bCs/>
          <w:color w:val="auto"/>
          <w:sz w:val="28"/>
          <w:szCs w:val="28"/>
          <w:highlight w:val="none"/>
        </w:rPr>
      </w:pPr>
    </w:p>
    <w:p>
      <w:pPr>
        <w:pStyle w:val="8"/>
        <w:pageBreakBefore w:val="0"/>
        <w:kinsoku/>
        <w:overflowPunct/>
        <w:topLinePunct w:val="0"/>
        <w:bidi w:val="0"/>
        <w:spacing w:beforeAutospacing="0" w:afterAutospacing="0" w:line="360" w:lineRule="auto"/>
        <w:jc w:val="center"/>
        <w:rPr>
          <w:b/>
          <w:bCs/>
          <w:color w:val="auto"/>
          <w:sz w:val="28"/>
          <w:szCs w:val="28"/>
          <w:highlight w:val="none"/>
        </w:rPr>
      </w:pPr>
    </w:p>
    <w:p>
      <w:pPr>
        <w:pStyle w:val="8"/>
        <w:pageBreakBefore w:val="0"/>
        <w:kinsoku/>
        <w:overflowPunct/>
        <w:topLinePunct w:val="0"/>
        <w:bidi w:val="0"/>
        <w:spacing w:beforeAutospacing="0" w:afterAutospacing="0" w:line="360" w:lineRule="auto"/>
        <w:jc w:val="center"/>
        <w:rPr>
          <w:b/>
          <w:bCs/>
          <w:color w:val="auto"/>
          <w:sz w:val="28"/>
          <w:szCs w:val="28"/>
          <w:highlight w:val="none"/>
        </w:rPr>
      </w:pPr>
    </w:p>
    <w:p>
      <w:pPr>
        <w:pStyle w:val="8"/>
        <w:pageBreakBefore w:val="0"/>
        <w:kinsoku/>
        <w:overflowPunct/>
        <w:topLinePunct w:val="0"/>
        <w:bidi w:val="0"/>
        <w:spacing w:beforeAutospacing="0" w:afterAutospacing="0" w:line="360" w:lineRule="auto"/>
        <w:jc w:val="center"/>
        <w:rPr>
          <w:b/>
          <w:bCs/>
          <w:color w:val="auto"/>
          <w:sz w:val="28"/>
          <w:szCs w:val="28"/>
          <w:highlight w:val="none"/>
        </w:rPr>
      </w:pPr>
    </w:p>
    <w:p>
      <w:pPr>
        <w:pStyle w:val="8"/>
        <w:pageBreakBefore w:val="0"/>
        <w:kinsoku/>
        <w:overflowPunct/>
        <w:topLinePunct w:val="0"/>
        <w:bidi w:val="0"/>
        <w:spacing w:beforeAutospacing="0" w:afterAutospacing="0" w:line="360" w:lineRule="auto"/>
        <w:jc w:val="center"/>
        <w:rPr>
          <w:b/>
          <w:bCs/>
          <w:color w:val="auto"/>
          <w:sz w:val="28"/>
          <w:szCs w:val="28"/>
          <w:highlight w:val="none"/>
        </w:rPr>
      </w:pPr>
    </w:p>
    <w:p>
      <w:pPr>
        <w:pStyle w:val="8"/>
        <w:pageBreakBefore w:val="0"/>
        <w:kinsoku/>
        <w:overflowPunct/>
        <w:topLinePunct w:val="0"/>
        <w:bidi w:val="0"/>
        <w:spacing w:beforeAutospacing="0" w:afterAutospacing="0" w:line="360" w:lineRule="auto"/>
        <w:jc w:val="center"/>
        <w:rPr>
          <w:b/>
          <w:bCs/>
          <w:color w:val="auto"/>
          <w:sz w:val="28"/>
          <w:szCs w:val="28"/>
          <w:highlight w:val="none"/>
        </w:rPr>
      </w:pPr>
    </w:p>
    <w:p>
      <w:pPr>
        <w:pStyle w:val="8"/>
        <w:pageBreakBefore w:val="0"/>
        <w:kinsoku/>
        <w:overflowPunct/>
        <w:topLinePunct w:val="0"/>
        <w:bidi w:val="0"/>
        <w:spacing w:beforeAutospacing="0" w:afterAutospacing="0" w:line="360" w:lineRule="auto"/>
        <w:jc w:val="center"/>
        <w:rPr>
          <w:b/>
          <w:bCs/>
          <w:color w:val="auto"/>
          <w:sz w:val="28"/>
          <w:szCs w:val="28"/>
          <w:highlight w:val="none"/>
        </w:rPr>
      </w:pPr>
    </w:p>
    <w:p>
      <w:pPr>
        <w:pStyle w:val="8"/>
        <w:pageBreakBefore w:val="0"/>
        <w:kinsoku/>
        <w:overflowPunct/>
        <w:topLinePunct w:val="0"/>
        <w:bidi w:val="0"/>
        <w:spacing w:beforeAutospacing="0" w:afterAutospacing="0" w:line="360" w:lineRule="auto"/>
        <w:jc w:val="center"/>
        <w:rPr>
          <w:b/>
          <w:bCs/>
          <w:color w:val="auto"/>
          <w:sz w:val="28"/>
          <w:szCs w:val="28"/>
          <w:highlight w:val="none"/>
        </w:rPr>
      </w:pPr>
    </w:p>
    <w:p>
      <w:pPr>
        <w:pStyle w:val="8"/>
        <w:pageBreakBefore w:val="0"/>
        <w:kinsoku/>
        <w:overflowPunct/>
        <w:topLinePunct w:val="0"/>
        <w:bidi w:val="0"/>
        <w:spacing w:beforeAutospacing="0" w:afterAutospacing="0" w:line="360" w:lineRule="auto"/>
        <w:jc w:val="center"/>
        <w:rPr>
          <w:b/>
          <w:bCs/>
          <w:color w:val="auto"/>
          <w:sz w:val="28"/>
          <w:szCs w:val="28"/>
          <w:highlight w:val="none"/>
        </w:rPr>
      </w:pPr>
    </w:p>
    <w:p>
      <w:pPr>
        <w:pStyle w:val="8"/>
        <w:pageBreakBefore w:val="0"/>
        <w:kinsoku/>
        <w:overflowPunct/>
        <w:topLinePunct w:val="0"/>
        <w:bidi w:val="0"/>
        <w:spacing w:beforeAutospacing="0" w:afterAutospacing="0" w:line="360" w:lineRule="auto"/>
        <w:jc w:val="center"/>
        <w:rPr>
          <w:b/>
          <w:bCs/>
          <w:color w:val="auto"/>
          <w:sz w:val="28"/>
          <w:szCs w:val="28"/>
          <w:highlight w:val="none"/>
        </w:rPr>
      </w:pPr>
    </w:p>
    <w:p>
      <w:pPr>
        <w:pStyle w:val="8"/>
        <w:pageBreakBefore w:val="0"/>
        <w:kinsoku/>
        <w:overflowPunct/>
        <w:topLinePunct w:val="0"/>
        <w:bidi w:val="0"/>
        <w:spacing w:beforeAutospacing="0" w:afterAutospacing="0" w:line="360" w:lineRule="auto"/>
        <w:jc w:val="center"/>
        <w:rPr>
          <w:b/>
          <w:bCs/>
          <w:color w:val="auto"/>
          <w:sz w:val="28"/>
          <w:szCs w:val="28"/>
          <w:highlight w:val="none"/>
        </w:rPr>
      </w:pPr>
    </w:p>
    <w:p>
      <w:pPr>
        <w:pStyle w:val="8"/>
        <w:pageBreakBefore w:val="0"/>
        <w:kinsoku/>
        <w:overflowPunct/>
        <w:topLinePunct w:val="0"/>
        <w:bidi w:val="0"/>
        <w:spacing w:beforeAutospacing="0" w:afterAutospacing="0" w:line="360" w:lineRule="auto"/>
        <w:jc w:val="center"/>
        <w:rPr>
          <w:b/>
          <w:bCs/>
          <w:color w:val="auto"/>
          <w:sz w:val="28"/>
          <w:szCs w:val="28"/>
          <w:highlight w:val="none"/>
        </w:rPr>
      </w:pPr>
    </w:p>
    <w:p>
      <w:pPr>
        <w:pStyle w:val="8"/>
        <w:pageBreakBefore w:val="0"/>
        <w:kinsoku/>
        <w:overflowPunct/>
        <w:topLinePunct w:val="0"/>
        <w:bidi w:val="0"/>
        <w:spacing w:beforeAutospacing="0" w:afterAutospacing="0" w:line="360" w:lineRule="auto"/>
        <w:jc w:val="center"/>
        <w:rPr>
          <w:b/>
          <w:bCs/>
          <w:color w:val="auto"/>
          <w:sz w:val="28"/>
          <w:szCs w:val="28"/>
          <w:highlight w:val="none"/>
        </w:rPr>
      </w:pPr>
    </w:p>
    <w:p>
      <w:pPr>
        <w:pStyle w:val="8"/>
        <w:pageBreakBefore w:val="0"/>
        <w:kinsoku/>
        <w:overflowPunct/>
        <w:topLinePunct w:val="0"/>
        <w:bidi w:val="0"/>
        <w:spacing w:beforeAutospacing="0" w:afterAutospacing="0" w:line="360" w:lineRule="auto"/>
        <w:jc w:val="both"/>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rPr>
        <w:rFonts w:hint="eastAsia" w:ascii="宋体" w:hAnsi="宋体" w:cs="宋体"/>
        <w:color w:val="auto"/>
        <w:szCs w:val="21"/>
        <w:highlight w:val="none"/>
        <w:u w:val="none"/>
        <w:shd w:val="clear" w:color="auto" w:fill="FFFFFF"/>
        <w:lang w:val="en-US" w:eastAsia="zh-CN"/>
      </w:rPr>
      <w:t>驻马店市中心医院七氟丙烷气体灭火钢瓶检测采购</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rPr>
        <w:rFonts w:hint="eastAsia"/>
      </w:rPr>
    </w:pPr>
    <w:r>
      <w:rPr>
        <w:rFonts w:hint="eastAsia" w:ascii="宋体" w:hAnsi="宋体" w:cs="宋体"/>
        <w:color w:val="auto"/>
        <w:szCs w:val="21"/>
        <w:highlight w:val="none"/>
        <w:u w:val="none"/>
        <w:shd w:val="clear" w:color="auto" w:fill="FFFFFF"/>
        <w:lang w:val="en-US" w:eastAsia="zh-CN"/>
      </w:rPr>
      <w:t>驻马店市中心医院七氟丙烷气体灭火钢瓶检测项目采购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4884FACE"/>
    <w:multiLevelType w:val="singleLevel"/>
    <w:tmpl w:val="4884FACE"/>
    <w:lvl w:ilvl="0" w:tentative="0">
      <w:start w:val="1"/>
      <w:numFmt w:val="decimal"/>
      <w:suff w:val="nothing"/>
      <w:lvlText w:val="%1、"/>
      <w:lvlJc w:val="left"/>
    </w:lvl>
  </w:abstractNum>
  <w:abstractNum w:abstractNumId="3">
    <w:nsid w:val="59B6410A"/>
    <w:multiLevelType w:val="singleLevel"/>
    <w:tmpl w:val="59B6410A"/>
    <w:lvl w:ilvl="0" w:tentative="0">
      <w:start w:val="1"/>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TZjMjFkMjFjOGMwYTIzNWEzZDljNjYxZWI0MmY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525212"/>
    <w:rsid w:val="01564054"/>
    <w:rsid w:val="015C0A67"/>
    <w:rsid w:val="017E6D95"/>
    <w:rsid w:val="01D715BE"/>
    <w:rsid w:val="01EB45BC"/>
    <w:rsid w:val="01F86CD9"/>
    <w:rsid w:val="01FA63A5"/>
    <w:rsid w:val="02011C7D"/>
    <w:rsid w:val="02035523"/>
    <w:rsid w:val="021C6E40"/>
    <w:rsid w:val="02222FF2"/>
    <w:rsid w:val="02384FF4"/>
    <w:rsid w:val="023F67A9"/>
    <w:rsid w:val="0247575A"/>
    <w:rsid w:val="025235B1"/>
    <w:rsid w:val="0262674D"/>
    <w:rsid w:val="02747B01"/>
    <w:rsid w:val="02890D36"/>
    <w:rsid w:val="02D92EF7"/>
    <w:rsid w:val="02DA4665"/>
    <w:rsid w:val="02DF39F5"/>
    <w:rsid w:val="02F40325"/>
    <w:rsid w:val="031126C4"/>
    <w:rsid w:val="03123DCA"/>
    <w:rsid w:val="03475E56"/>
    <w:rsid w:val="035E4919"/>
    <w:rsid w:val="036A009A"/>
    <w:rsid w:val="03844805"/>
    <w:rsid w:val="03845791"/>
    <w:rsid w:val="03A011E9"/>
    <w:rsid w:val="03AE7F27"/>
    <w:rsid w:val="03BD2BCD"/>
    <w:rsid w:val="03CC058D"/>
    <w:rsid w:val="03E017D2"/>
    <w:rsid w:val="03F77068"/>
    <w:rsid w:val="04416C20"/>
    <w:rsid w:val="047968B1"/>
    <w:rsid w:val="04870542"/>
    <w:rsid w:val="04B30F7A"/>
    <w:rsid w:val="054C0111"/>
    <w:rsid w:val="05545DD3"/>
    <w:rsid w:val="056E2AD6"/>
    <w:rsid w:val="05806815"/>
    <w:rsid w:val="058251D3"/>
    <w:rsid w:val="058C28F1"/>
    <w:rsid w:val="05945CCE"/>
    <w:rsid w:val="059D05A4"/>
    <w:rsid w:val="059D5E17"/>
    <w:rsid w:val="05AB0A28"/>
    <w:rsid w:val="05AB0F81"/>
    <w:rsid w:val="05B93D6B"/>
    <w:rsid w:val="05D53002"/>
    <w:rsid w:val="05D75738"/>
    <w:rsid w:val="05F17CC7"/>
    <w:rsid w:val="061E7D14"/>
    <w:rsid w:val="06446B44"/>
    <w:rsid w:val="06560AED"/>
    <w:rsid w:val="066469C9"/>
    <w:rsid w:val="066646A1"/>
    <w:rsid w:val="06983B20"/>
    <w:rsid w:val="069A3B66"/>
    <w:rsid w:val="06B31420"/>
    <w:rsid w:val="06B91765"/>
    <w:rsid w:val="06CA2AD2"/>
    <w:rsid w:val="06CE3071"/>
    <w:rsid w:val="06CF34A1"/>
    <w:rsid w:val="06D33DBA"/>
    <w:rsid w:val="06E13F9F"/>
    <w:rsid w:val="06FB0AC5"/>
    <w:rsid w:val="070D2D5D"/>
    <w:rsid w:val="07111B8D"/>
    <w:rsid w:val="074A5B92"/>
    <w:rsid w:val="075D0147"/>
    <w:rsid w:val="075E3193"/>
    <w:rsid w:val="078E18EB"/>
    <w:rsid w:val="07B10EA5"/>
    <w:rsid w:val="07CE3FA1"/>
    <w:rsid w:val="07EC2ECB"/>
    <w:rsid w:val="07FE66CB"/>
    <w:rsid w:val="080B4D47"/>
    <w:rsid w:val="08321601"/>
    <w:rsid w:val="08326375"/>
    <w:rsid w:val="083D5C91"/>
    <w:rsid w:val="0847191F"/>
    <w:rsid w:val="08591DC3"/>
    <w:rsid w:val="08695E80"/>
    <w:rsid w:val="087C4541"/>
    <w:rsid w:val="087E5595"/>
    <w:rsid w:val="08C52D6F"/>
    <w:rsid w:val="08EF0201"/>
    <w:rsid w:val="08F41DE8"/>
    <w:rsid w:val="09737462"/>
    <w:rsid w:val="099156C3"/>
    <w:rsid w:val="09A53F39"/>
    <w:rsid w:val="09A60E13"/>
    <w:rsid w:val="09AB2883"/>
    <w:rsid w:val="09D206F0"/>
    <w:rsid w:val="0A321AC2"/>
    <w:rsid w:val="0A343D4E"/>
    <w:rsid w:val="0A3E6D2E"/>
    <w:rsid w:val="0A8455AD"/>
    <w:rsid w:val="0AD13A85"/>
    <w:rsid w:val="0AE0655C"/>
    <w:rsid w:val="0AF02C43"/>
    <w:rsid w:val="0AF97749"/>
    <w:rsid w:val="0B091954"/>
    <w:rsid w:val="0B4224D9"/>
    <w:rsid w:val="0B637D77"/>
    <w:rsid w:val="0B7006C4"/>
    <w:rsid w:val="0BAC324F"/>
    <w:rsid w:val="0BC11EE9"/>
    <w:rsid w:val="0BF16C73"/>
    <w:rsid w:val="0BF72F1E"/>
    <w:rsid w:val="0C3152C1"/>
    <w:rsid w:val="0C3957A5"/>
    <w:rsid w:val="0C45559A"/>
    <w:rsid w:val="0C626DA7"/>
    <w:rsid w:val="0C6876AE"/>
    <w:rsid w:val="0C71390F"/>
    <w:rsid w:val="0C720EC8"/>
    <w:rsid w:val="0C942042"/>
    <w:rsid w:val="0C9D50DC"/>
    <w:rsid w:val="0CA5271D"/>
    <w:rsid w:val="0CAC4D10"/>
    <w:rsid w:val="0CC72121"/>
    <w:rsid w:val="0CEE5A21"/>
    <w:rsid w:val="0D05268E"/>
    <w:rsid w:val="0D0646E7"/>
    <w:rsid w:val="0D0C38CA"/>
    <w:rsid w:val="0D1D3A97"/>
    <w:rsid w:val="0D206810"/>
    <w:rsid w:val="0D735465"/>
    <w:rsid w:val="0DC577E0"/>
    <w:rsid w:val="0DDC6319"/>
    <w:rsid w:val="0E0C0D4C"/>
    <w:rsid w:val="0E115DA1"/>
    <w:rsid w:val="0E162D6D"/>
    <w:rsid w:val="0E541CA2"/>
    <w:rsid w:val="0E594756"/>
    <w:rsid w:val="0E95596D"/>
    <w:rsid w:val="0EAE6205"/>
    <w:rsid w:val="0EAE6579"/>
    <w:rsid w:val="0EAF71BF"/>
    <w:rsid w:val="0ECE6257"/>
    <w:rsid w:val="0EE4129D"/>
    <w:rsid w:val="0F171032"/>
    <w:rsid w:val="0F335E69"/>
    <w:rsid w:val="0F372614"/>
    <w:rsid w:val="0F3D59C9"/>
    <w:rsid w:val="0F516D5A"/>
    <w:rsid w:val="0F565B36"/>
    <w:rsid w:val="0F821E7D"/>
    <w:rsid w:val="0FCA42ED"/>
    <w:rsid w:val="0FE7592C"/>
    <w:rsid w:val="0FFD20F0"/>
    <w:rsid w:val="103E6E57"/>
    <w:rsid w:val="1041497B"/>
    <w:rsid w:val="10425FF6"/>
    <w:rsid w:val="106612B1"/>
    <w:rsid w:val="109010E6"/>
    <w:rsid w:val="10B271F4"/>
    <w:rsid w:val="10B537CC"/>
    <w:rsid w:val="10C8275C"/>
    <w:rsid w:val="10C86D3B"/>
    <w:rsid w:val="10E03539"/>
    <w:rsid w:val="10E82D1F"/>
    <w:rsid w:val="10EE5C94"/>
    <w:rsid w:val="10F5757C"/>
    <w:rsid w:val="113329E7"/>
    <w:rsid w:val="113F294C"/>
    <w:rsid w:val="11437C85"/>
    <w:rsid w:val="1166372C"/>
    <w:rsid w:val="11700D10"/>
    <w:rsid w:val="1178125A"/>
    <w:rsid w:val="118441E0"/>
    <w:rsid w:val="1196056D"/>
    <w:rsid w:val="11D34654"/>
    <w:rsid w:val="12010480"/>
    <w:rsid w:val="120E707F"/>
    <w:rsid w:val="121D0051"/>
    <w:rsid w:val="12413D84"/>
    <w:rsid w:val="127A7D1C"/>
    <w:rsid w:val="12836D8B"/>
    <w:rsid w:val="12AB0349"/>
    <w:rsid w:val="12B66520"/>
    <w:rsid w:val="12CD57F1"/>
    <w:rsid w:val="12CE7AFA"/>
    <w:rsid w:val="12D67466"/>
    <w:rsid w:val="13036052"/>
    <w:rsid w:val="13272A5D"/>
    <w:rsid w:val="13493108"/>
    <w:rsid w:val="13693592"/>
    <w:rsid w:val="13733928"/>
    <w:rsid w:val="13920D68"/>
    <w:rsid w:val="139C16C9"/>
    <w:rsid w:val="13B63CE1"/>
    <w:rsid w:val="13BC6684"/>
    <w:rsid w:val="13C72B3A"/>
    <w:rsid w:val="13DF575E"/>
    <w:rsid w:val="13E470BD"/>
    <w:rsid w:val="13EE3A98"/>
    <w:rsid w:val="142123F7"/>
    <w:rsid w:val="142A11D8"/>
    <w:rsid w:val="144B544C"/>
    <w:rsid w:val="145B7B45"/>
    <w:rsid w:val="14717443"/>
    <w:rsid w:val="148D52E3"/>
    <w:rsid w:val="14992B90"/>
    <w:rsid w:val="14AF1856"/>
    <w:rsid w:val="14AF19A3"/>
    <w:rsid w:val="14B53957"/>
    <w:rsid w:val="14C53ECE"/>
    <w:rsid w:val="14CF6CB0"/>
    <w:rsid w:val="14E002E6"/>
    <w:rsid w:val="14FC36BD"/>
    <w:rsid w:val="14FF5EA7"/>
    <w:rsid w:val="151E3A0F"/>
    <w:rsid w:val="15477903"/>
    <w:rsid w:val="1557566D"/>
    <w:rsid w:val="15811F1B"/>
    <w:rsid w:val="15A30135"/>
    <w:rsid w:val="15A34015"/>
    <w:rsid w:val="15BB487B"/>
    <w:rsid w:val="15CE086D"/>
    <w:rsid w:val="15E2236F"/>
    <w:rsid w:val="161D09ED"/>
    <w:rsid w:val="162323A3"/>
    <w:rsid w:val="162F30B1"/>
    <w:rsid w:val="16510F12"/>
    <w:rsid w:val="166448F9"/>
    <w:rsid w:val="1677211D"/>
    <w:rsid w:val="167954F9"/>
    <w:rsid w:val="169F7296"/>
    <w:rsid w:val="16A060BA"/>
    <w:rsid w:val="16A57EAF"/>
    <w:rsid w:val="16AC6E3F"/>
    <w:rsid w:val="16C872D5"/>
    <w:rsid w:val="16D54FA3"/>
    <w:rsid w:val="16D84D9F"/>
    <w:rsid w:val="16E94D3E"/>
    <w:rsid w:val="170D06E0"/>
    <w:rsid w:val="17332185"/>
    <w:rsid w:val="17475951"/>
    <w:rsid w:val="179F2E61"/>
    <w:rsid w:val="17C227C0"/>
    <w:rsid w:val="17EE5BFF"/>
    <w:rsid w:val="18097740"/>
    <w:rsid w:val="185D3C42"/>
    <w:rsid w:val="185F38AF"/>
    <w:rsid w:val="188F0211"/>
    <w:rsid w:val="18AD1BEB"/>
    <w:rsid w:val="18B3004A"/>
    <w:rsid w:val="18B96080"/>
    <w:rsid w:val="18DB2CD8"/>
    <w:rsid w:val="18F67868"/>
    <w:rsid w:val="190B2D88"/>
    <w:rsid w:val="190E6B63"/>
    <w:rsid w:val="19123928"/>
    <w:rsid w:val="19194264"/>
    <w:rsid w:val="19283048"/>
    <w:rsid w:val="19420786"/>
    <w:rsid w:val="19427EC0"/>
    <w:rsid w:val="195711D7"/>
    <w:rsid w:val="195D2A3F"/>
    <w:rsid w:val="198310E9"/>
    <w:rsid w:val="198D747A"/>
    <w:rsid w:val="19A15638"/>
    <w:rsid w:val="1A125525"/>
    <w:rsid w:val="1A5F4342"/>
    <w:rsid w:val="1A616E2C"/>
    <w:rsid w:val="1A7F369B"/>
    <w:rsid w:val="1A8C5D82"/>
    <w:rsid w:val="1A994988"/>
    <w:rsid w:val="1A9B546C"/>
    <w:rsid w:val="1AA3511F"/>
    <w:rsid w:val="1AAE3B54"/>
    <w:rsid w:val="1AC10987"/>
    <w:rsid w:val="1AF423FA"/>
    <w:rsid w:val="1B0C5B32"/>
    <w:rsid w:val="1B0D3E82"/>
    <w:rsid w:val="1B1652AB"/>
    <w:rsid w:val="1B181CD5"/>
    <w:rsid w:val="1B265306"/>
    <w:rsid w:val="1B4F2450"/>
    <w:rsid w:val="1B530868"/>
    <w:rsid w:val="1B8C18B7"/>
    <w:rsid w:val="1BB73AE1"/>
    <w:rsid w:val="1BBE6445"/>
    <w:rsid w:val="1BDA6D68"/>
    <w:rsid w:val="1BF14125"/>
    <w:rsid w:val="1C555978"/>
    <w:rsid w:val="1C556DAA"/>
    <w:rsid w:val="1C6554A1"/>
    <w:rsid w:val="1C7971B7"/>
    <w:rsid w:val="1C917D91"/>
    <w:rsid w:val="1CA27B15"/>
    <w:rsid w:val="1CD402EC"/>
    <w:rsid w:val="1CED16EF"/>
    <w:rsid w:val="1CF02333"/>
    <w:rsid w:val="1D0C33A2"/>
    <w:rsid w:val="1D113E6E"/>
    <w:rsid w:val="1D114E5E"/>
    <w:rsid w:val="1D1F0050"/>
    <w:rsid w:val="1D2222DC"/>
    <w:rsid w:val="1D5B3CDE"/>
    <w:rsid w:val="1D6E2950"/>
    <w:rsid w:val="1D98209B"/>
    <w:rsid w:val="1DA23746"/>
    <w:rsid w:val="1DAA14B9"/>
    <w:rsid w:val="1DD04513"/>
    <w:rsid w:val="1DDD2BCB"/>
    <w:rsid w:val="1E0345E3"/>
    <w:rsid w:val="1E656063"/>
    <w:rsid w:val="1E6B06A5"/>
    <w:rsid w:val="1E7F7D9E"/>
    <w:rsid w:val="1E840DA4"/>
    <w:rsid w:val="1EA5444C"/>
    <w:rsid w:val="1EB350EF"/>
    <w:rsid w:val="1EC21749"/>
    <w:rsid w:val="1EEB7C4E"/>
    <w:rsid w:val="1F072441"/>
    <w:rsid w:val="1F171B83"/>
    <w:rsid w:val="1F2D491A"/>
    <w:rsid w:val="1F7369C7"/>
    <w:rsid w:val="1F94547B"/>
    <w:rsid w:val="1FAF308C"/>
    <w:rsid w:val="1FC11109"/>
    <w:rsid w:val="1FEF08C8"/>
    <w:rsid w:val="1FF72E6A"/>
    <w:rsid w:val="201B3ED4"/>
    <w:rsid w:val="20310B02"/>
    <w:rsid w:val="206F0406"/>
    <w:rsid w:val="20784063"/>
    <w:rsid w:val="207E346A"/>
    <w:rsid w:val="208E12C3"/>
    <w:rsid w:val="209502A3"/>
    <w:rsid w:val="210F579E"/>
    <w:rsid w:val="212550B5"/>
    <w:rsid w:val="214178FD"/>
    <w:rsid w:val="21592B62"/>
    <w:rsid w:val="2172049B"/>
    <w:rsid w:val="21747CD2"/>
    <w:rsid w:val="219263AA"/>
    <w:rsid w:val="219E5782"/>
    <w:rsid w:val="21DA299C"/>
    <w:rsid w:val="21E72B0B"/>
    <w:rsid w:val="221F2D96"/>
    <w:rsid w:val="22246DB1"/>
    <w:rsid w:val="22440067"/>
    <w:rsid w:val="225A6017"/>
    <w:rsid w:val="227A5532"/>
    <w:rsid w:val="22843A03"/>
    <w:rsid w:val="228E5C2C"/>
    <w:rsid w:val="22A338AB"/>
    <w:rsid w:val="22AD37A2"/>
    <w:rsid w:val="22B31E8A"/>
    <w:rsid w:val="22C05285"/>
    <w:rsid w:val="22C735BD"/>
    <w:rsid w:val="22E646AA"/>
    <w:rsid w:val="22F06957"/>
    <w:rsid w:val="23122833"/>
    <w:rsid w:val="231D4917"/>
    <w:rsid w:val="23223458"/>
    <w:rsid w:val="23225D32"/>
    <w:rsid w:val="23357BE6"/>
    <w:rsid w:val="2342574E"/>
    <w:rsid w:val="2377331D"/>
    <w:rsid w:val="237D43DE"/>
    <w:rsid w:val="23940114"/>
    <w:rsid w:val="23B57016"/>
    <w:rsid w:val="23D4764B"/>
    <w:rsid w:val="23EC3718"/>
    <w:rsid w:val="24044EF2"/>
    <w:rsid w:val="2407139D"/>
    <w:rsid w:val="240B04F4"/>
    <w:rsid w:val="242A0646"/>
    <w:rsid w:val="2435301D"/>
    <w:rsid w:val="243D6E1A"/>
    <w:rsid w:val="24607F91"/>
    <w:rsid w:val="246C581B"/>
    <w:rsid w:val="247C52A2"/>
    <w:rsid w:val="24CC106B"/>
    <w:rsid w:val="24D00598"/>
    <w:rsid w:val="24D725E9"/>
    <w:rsid w:val="25045F70"/>
    <w:rsid w:val="250474F1"/>
    <w:rsid w:val="25056E93"/>
    <w:rsid w:val="25092EBA"/>
    <w:rsid w:val="25241020"/>
    <w:rsid w:val="257572C3"/>
    <w:rsid w:val="25790E85"/>
    <w:rsid w:val="25972C60"/>
    <w:rsid w:val="25974C6F"/>
    <w:rsid w:val="259D1676"/>
    <w:rsid w:val="25A353EB"/>
    <w:rsid w:val="25B87B65"/>
    <w:rsid w:val="25CB78C3"/>
    <w:rsid w:val="25D54390"/>
    <w:rsid w:val="261879A7"/>
    <w:rsid w:val="261A071C"/>
    <w:rsid w:val="2624460F"/>
    <w:rsid w:val="264B0BA4"/>
    <w:rsid w:val="268C5256"/>
    <w:rsid w:val="268E455B"/>
    <w:rsid w:val="26912B30"/>
    <w:rsid w:val="269772F0"/>
    <w:rsid w:val="26977FBF"/>
    <w:rsid w:val="26997893"/>
    <w:rsid w:val="26A30712"/>
    <w:rsid w:val="26AC0C27"/>
    <w:rsid w:val="26C807A6"/>
    <w:rsid w:val="26D1527F"/>
    <w:rsid w:val="26DB67BA"/>
    <w:rsid w:val="26E311CD"/>
    <w:rsid w:val="26EF24ED"/>
    <w:rsid w:val="26F1408A"/>
    <w:rsid w:val="26F96584"/>
    <w:rsid w:val="27015370"/>
    <w:rsid w:val="270B421F"/>
    <w:rsid w:val="274E2228"/>
    <w:rsid w:val="27517A93"/>
    <w:rsid w:val="275E53AF"/>
    <w:rsid w:val="276658E8"/>
    <w:rsid w:val="277E30D2"/>
    <w:rsid w:val="27803F2A"/>
    <w:rsid w:val="27A34941"/>
    <w:rsid w:val="27EE3A7B"/>
    <w:rsid w:val="283C23DF"/>
    <w:rsid w:val="283D69F1"/>
    <w:rsid w:val="284C16F5"/>
    <w:rsid w:val="28570AB5"/>
    <w:rsid w:val="28622C36"/>
    <w:rsid w:val="286E3A52"/>
    <w:rsid w:val="28C2534B"/>
    <w:rsid w:val="28C5525A"/>
    <w:rsid w:val="28D14B96"/>
    <w:rsid w:val="28FE4325"/>
    <w:rsid w:val="29020C46"/>
    <w:rsid w:val="290240C7"/>
    <w:rsid w:val="291A2B97"/>
    <w:rsid w:val="29274EE0"/>
    <w:rsid w:val="2969197F"/>
    <w:rsid w:val="29746E87"/>
    <w:rsid w:val="297C03C2"/>
    <w:rsid w:val="299573AB"/>
    <w:rsid w:val="29BE5BD0"/>
    <w:rsid w:val="29C01572"/>
    <w:rsid w:val="29CA4207"/>
    <w:rsid w:val="29E74CE2"/>
    <w:rsid w:val="2A241B69"/>
    <w:rsid w:val="2A306A36"/>
    <w:rsid w:val="2A5372C6"/>
    <w:rsid w:val="2A5B03D8"/>
    <w:rsid w:val="2A6F6D07"/>
    <w:rsid w:val="2A882500"/>
    <w:rsid w:val="2AB63ABC"/>
    <w:rsid w:val="2B003D00"/>
    <w:rsid w:val="2B074D5E"/>
    <w:rsid w:val="2B100BA9"/>
    <w:rsid w:val="2B1B5825"/>
    <w:rsid w:val="2B1E3AFC"/>
    <w:rsid w:val="2B8D373E"/>
    <w:rsid w:val="2B9E4F56"/>
    <w:rsid w:val="2BDB5A88"/>
    <w:rsid w:val="2BE91C37"/>
    <w:rsid w:val="2BEC3F72"/>
    <w:rsid w:val="2C083572"/>
    <w:rsid w:val="2C185F94"/>
    <w:rsid w:val="2C1F1AC4"/>
    <w:rsid w:val="2C3F3A41"/>
    <w:rsid w:val="2C4431C4"/>
    <w:rsid w:val="2C62059F"/>
    <w:rsid w:val="2C6634FA"/>
    <w:rsid w:val="2CAC022C"/>
    <w:rsid w:val="2CC11807"/>
    <w:rsid w:val="2CF16074"/>
    <w:rsid w:val="2CF81D1B"/>
    <w:rsid w:val="2D3F2453"/>
    <w:rsid w:val="2D835174"/>
    <w:rsid w:val="2D9331F9"/>
    <w:rsid w:val="2DD90B7B"/>
    <w:rsid w:val="2DDD3FC1"/>
    <w:rsid w:val="2DF701D8"/>
    <w:rsid w:val="2DF970A1"/>
    <w:rsid w:val="2E085834"/>
    <w:rsid w:val="2E1034F8"/>
    <w:rsid w:val="2E443652"/>
    <w:rsid w:val="2E505773"/>
    <w:rsid w:val="2E5C3FC8"/>
    <w:rsid w:val="2E742F70"/>
    <w:rsid w:val="2E9A689E"/>
    <w:rsid w:val="2EDC2A13"/>
    <w:rsid w:val="2EFD7DB9"/>
    <w:rsid w:val="2F01691D"/>
    <w:rsid w:val="2F1A081D"/>
    <w:rsid w:val="2F1E3DC0"/>
    <w:rsid w:val="2F2D326E"/>
    <w:rsid w:val="2F3112DE"/>
    <w:rsid w:val="2F3B6922"/>
    <w:rsid w:val="2F3D7B25"/>
    <w:rsid w:val="2F506C6D"/>
    <w:rsid w:val="2F51291F"/>
    <w:rsid w:val="2F55758A"/>
    <w:rsid w:val="2F7F15AE"/>
    <w:rsid w:val="2FA54796"/>
    <w:rsid w:val="2FA674E2"/>
    <w:rsid w:val="2FFE7D49"/>
    <w:rsid w:val="3002294D"/>
    <w:rsid w:val="3011153D"/>
    <w:rsid w:val="30142680"/>
    <w:rsid w:val="302A11B1"/>
    <w:rsid w:val="302A5C42"/>
    <w:rsid w:val="30B8125D"/>
    <w:rsid w:val="30BF439A"/>
    <w:rsid w:val="30CF6A37"/>
    <w:rsid w:val="30D250CF"/>
    <w:rsid w:val="31002970"/>
    <w:rsid w:val="311016AD"/>
    <w:rsid w:val="3136622A"/>
    <w:rsid w:val="3139422E"/>
    <w:rsid w:val="31496359"/>
    <w:rsid w:val="314D19A6"/>
    <w:rsid w:val="316467C4"/>
    <w:rsid w:val="31700E4B"/>
    <w:rsid w:val="3172683C"/>
    <w:rsid w:val="31A359FC"/>
    <w:rsid w:val="31AD0D61"/>
    <w:rsid w:val="31CD73BD"/>
    <w:rsid w:val="31D66571"/>
    <w:rsid w:val="31DB4220"/>
    <w:rsid w:val="31DC56CD"/>
    <w:rsid w:val="31E63B94"/>
    <w:rsid w:val="31F27AF7"/>
    <w:rsid w:val="32176602"/>
    <w:rsid w:val="322A7699"/>
    <w:rsid w:val="322B25C6"/>
    <w:rsid w:val="32422E70"/>
    <w:rsid w:val="325E56C6"/>
    <w:rsid w:val="3275698A"/>
    <w:rsid w:val="32A93829"/>
    <w:rsid w:val="32B943EC"/>
    <w:rsid w:val="32DC63A0"/>
    <w:rsid w:val="32E429C1"/>
    <w:rsid w:val="330503EE"/>
    <w:rsid w:val="334A3B2A"/>
    <w:rsid w:val="3365592E"/>
    <w:rsid w:val="336A31F3"/>
    <w:rsid w:val="336F6533"/>
    <w:rsid w:val="337E5E2F"/>
    <w:rsid w:val="3384610D"/>
    <w:rsid w:val="33AA5979"/>
    <w:rsid w:val="33C03E90"/>
    <w:rsid w:val="33C96649"/>
    <w:rsid w:val="33CC3D88"/>
    <w:rsid w:val="33DD0306"/>
    <w:rsid w:val="33FD722F"/>
    <w:rsid w:val="3400362D"/>
    <w:rsid w:val="340B09C5"/>
    <w:rsid w:val="341E4CAB"/>
    <w:rsid w:val="34584EE2"/>
    <w:rsid w:val="347D373F"/>
    <w:rsid w:val="34922A93"/>
    <w:rsid w:val="34956481"/>
    <w:rsid w:val="34A35871"/>
    <w:rsid w:val="34C06C9D"/>
    <w:rsid w:val="34DF24AE"/>
    <w:rsid w:val="351C4931"/>
    <w:rsid w:val="351C4EAC"/>
    <w:rsid w:val="351D4C26"/>
    <w:rsid w:val="352E7D40"/>
    <w:rsid w:val="35325A82"/>
    <w:rsid w:val="35361A77"/>
    <w:rsid w:val="35461A22"/>
    <w:rsid w:val="35483CC9"/>
    <w:rsid w:val="35A815CB"/>
    <w:rsid w:val="35AA1B9C"/>
    <w:rsid w:val="35DB09A6"/>
    <w:rsid w:val="35ED19A9"/>
    <w:rsid w:val="36080591"/>
    <w:rsid w:val="3609472F"/>
    <w:rsid w:val="361B6AE2"/>
    <w:rsid w:val="36541A28"/>
    <w:rsid w:val="369B4CF0"/>
    <w:rsid w:val="36D62629"/>
    <w:rsid w:val="36D76172"/>
    <w:rsid w:val="36E833BB"/>
    <w:rsid w:val="36EB1E1B"/>
    <w:rsid w:val="36F17F0D"/>
    <w:rsid w:val="36F56D67"/>
    <w:rsid w:val="3735197D"/>
    <w:rsid w:val="373756A2"/>
    <w:rsid w:val="375E0DA6"/>
    <w:rsid w:val="378B61A6"/>
    <w:rsid w:val="37B90F0B"/>
    <w:rsid w:val="37CD3F98"/>
    <w:rsid w:val="37DF75BA"/>
    <w:rsid w:val="37DF7ABF"/>
    <w:rsid w:val="37E148E2"/>
    <w:rsid w:val="37F848EE"/>
    <w:rsid w:val="38304889"/>
    <w:rsid w:val="38352DFD"/>
    <w:rsid w:val="38382675"/>
    <w:rsid w:val="383B7B0D"/>
    <w:rsid w:val="3851700B"/>
    <w:rsid w:val="385246B6"/>
    <w:rsid w:val="38673C95"/>
    <w:rsid w:val="3876113B"/>
    <w:rsid w:val="387E52C9"/>
    <w:rsid w:val="38A53DB7"/>
    <w:rsid w:val="38BF3388"/>
    <w:rsid w:val="38CC268D"/>
    <w:rsid w:val="38DF1FDA"/>
    <w:rsid w:val="38E25BC3"/>
    <w:rsid w:val="38EC2960"/>
    <w:rsid w:val="392536E2"/>
    <w:rsid w:val="39465F15"/>
    <w:rsid w:val="396453C5"/>
    <w:rsid w:val="39922CCF"/>
    <w:rsid w:val="39A65327"/>
    <w:rsid w:val="39A65C9B"/>
    <w:rsid w:val="39BC5ED6"/>
    <w:rsid w:val="39D27231"/>
    <w:rsid w:val="39EB39E0"/>
    <w:rsid w:val="39EF02D4"/>
    <w:rsid w:val="3A11342A"/>
    <w:rsid w:val="3A153110"/>
    <w:rsid w:val="3A2149EA"/>
    <w:rsid w:val="3A2507C0"/>
    <w:rsid w:val="3A393FA7"/>
    <w:rsid w:val="3A3A5A22"/>
    <w:rsid w:val="3A524858"/>
    <w:rsid w:val="3A64203E"/>
    <w:rsid w:val="3A663D00"/>
    <w:rsid w:val="3A7428D0"/>
    <w:rsid w:val="3A7601BF"/>
    <w:rsid w:val="3A923AE4"/>
    <w:rsid w:val="3AA50E25"/>
    <w:rsid w:val="3AC566E3"/>
    <w:rsid w:val="3AD6747A"/>
    <w:rsid w:val="3B312338"/>
    <w:rsid w:val="3B3D0FF2"/>
    <w:rsid w:val="3B521A18"/>
    <w:rsid w:val="3B8D2B96"/>
    <w:rsid w:val="3B923660"/>
    <w:rsid w:val="3BCA44BE"/>
    <w:rsid w:val="3C061F3A"/>
    <w:rsid w:val="3C0A04F9"/>
    <w:rsid w:val="3C495480"/>
    <w:rsid w:val="3C4C3A42"/>
    <w:rsid w:val="3C6F0167"/>
    <w:rsid w:val="3C71667B"/>
    <w:rsid w:val="3C914F3B"/>
    <w:rsid w:val="3CC17F13"/>
    <w:rsid w:val="3CE320A3"/>
    <w:rsid w:val="3CE9196C"/>
    <w:rsid w:val="3CF15105"/>
    <w:rsid w:val="3D0C04B9"/>
    <w:rsid w:val="3D1414C5"/>
    <w:rsid w:val="3D1C763E"/>
    <w:rsid w:val="3D201AA5"/>
    <w:rsid w:val="3D2B37EA"/>
    <w:rsid w:val="3D2F7FF3"/>
    <w:rsid w:val="3D3D1507"/>
    <w:rsid w:val="3D62085B"/>
    <w:rsid w:val="3D7B4622"/>
    <w:rsid w:val="3D942E29"/>
    <w:rsid w:val="3DA53531"/>
    <w:rsid w:val="3DB54E0C"/>
    <w:rsid w:val="3DB900C1"/>
    <w:rsid w:val="3DB9469E"/>
    <w:rsid w:val="3DE91725"/>
    <w:rsid w:val="3DF159B1"/>
    <w:rsid w:val="3E1A106E"/>
    <w:rsid w:val="3E36303B"/>
    <w:rsid w:val="3E526044"/>
    <w:rsid w:val="3E6C2B3A"/>
    <w:rsid w:val="3E8C5311"/>
    <w:rsid w:val="3E8E7E55"/>
    <w:rsid w:val="3EB61473"/>
    <w:rsid w:val="3F315E6B"/>
    <w:rsid w:val="3F5175E2"/>
    <w:rsid w:val="3F56276A"/>
    <w:rsid w:val="3F6C10E0"/>
    <w:rsid w:val="3F963015"/>
    <w:rsid w:val="3F964D35"/>
    <w:rsid w:val="3FA327ED"/>
    <w:rsid w:val="3FB11738"/>
    <w:rsid w:val="3FB5581B"/>
    <w:rsid w:val="3FC33D05"/>
    <w:rsid w:val="3FF46B18"/>
    <w:rsid w:val="3FF74A2E"/>
    <w:rsid w:val="3FFC36E2"/>
    <w:rsid w:val="4005572D"/>
    <w:rsid w:val="4012098A"/>
    <w:rsid w:val="402833BA"/>
    <w:rsid w:val="40283C2B"/>
    <w:rsid w:val="40394FD1"/>
    <w:rsid w:val="40425879"/>
    <w:rsid w:val="405C1C05"/>
    <w:rsid w:val="405F34A4"/>
    <w:rsid w:val="40765D15"/>
    <w:rsid w:val="407F2DE9"/>
    <w:rsid w:val="40991379"/>
    <w:rsid w:val="409B3C3D"/>
    <w:rsid w:val="40F701DF"/>
    <w:rsid w:val="40FD480A"/>
    <w:rsid w:val="412A32F8"/>
    <w:rsid w:val="417F433E"/>
    <w:rsid w:val="419C4043"/>
    <w:rsid w:val="41B7239D"/>
    <w:rsid w:val="41FF3845"/>
    <w:rsid w:val="421104A9"/>
    <w:rsid w:val="42143B88"/>
    <w:rsid w:val="42164586"/>
    <w:rsid w:val="424C046A"/>
    <w:rsid w:val="425B5DD1"/>
    <w:rsid w:val="4260300C"/>
    <w:rsid w:val="427C799E"/>
    <w:rsid w:val="42800B9B"/>
    <w:rsid w:val="42A06B6C"/>
    <w:rsid w:val="42A27996"/>
    <w:rsid w:val="42AA04E2"/>
    <w:rsid w:val="42EA5650"/>
    <w:rsid w:val="431408DA"/>
    <w:rsid w:val="4331401E"/>
    <w:rsid w:val="43591DDA"/>
    <w:rsid w:val="435A0DF2"/>
    <w:rsid w:val="436C42E1"/>
    <w:rsid w:val="437C210F"/>
    <w:rsid w:val="43847F02"/>
    <w:rsid w:val="438F113C"/>
    <w:rsid w:val="439E7EFB"/>
    <w:rsid w:val="43B1568A"/>
    <w:rsid w:val="43BD7F58"/>
    <w:rsid w:val="43D43ECA"/>
    <w:rsid w:val="43DD452F"/>
    <w:rsid w:val="43DE6CD4"/>
    <w:rsid w:val="43E51150"/>
    <w:rsid w:val="43EF28BB"/>
    <w:rsid w:val="43EF56D3"/>
    <w:rsid w:val="44095C00"/>
    <w:rsid w:val="440A6FD2"/>
    <w:rsid w:val="444946CA"/>
    <w:rsid w:val="444B3F54"/>
    <w:rsid w:val="4476661F"/>
    <w:rsid w:val="447E3AC5"/>
    <w:rsid w:val="448E5DEE"/>
    <w:rsid w:val="44A90BAA"/>
    <w:rsid w:val="44B24A20"/>
    <w:rsid w:val="44BC0BEE"/>
    <w:rsid w:val="44BF6C07"/>
    <w:rsid w:val="44C55A88"/>
    <w:rsid w:val="44FB1C9C"/>
    <w:rsid w:val="454F1836"/>
    <w:rsid w:val="458235FF"/>
    <w:rsid w:val="45887B45"/>
    <w:rsid w:val="458B66DF"/>
    <w:rsid w:val="45940F0E"/>
    <w:rsid w:val="45AC5DBA"/>
    <w:rsid w:val="45C647AF"/>
    <w:rsid w:val="45DD529D"/>
    <w:rsid w:val="45E57886"/>
    <w:rsid w:val="46003076"/>
    <w:rsid w:val="46026F63"/>
    <w:rsid w:val="46177E29"/>
    <w:rsid w:val="46205B7F"/>
    <w:rsid w:val="465D501C"/>
    <w:rsid w:val="466367DB"/>
    <w:rsid w:val="46686D18"/>
    <w:rsid w:val="46752CBD"/>
    <w:rsid w:val="46BF7E28"/>
    <w:rsid w:val="46C3037C"/>
    <w:rsid w:val="46FF15E0"/>
    <w:rsid w:val="4700581C"/>
    <w:rsid w:val="4702516A"/>
    <w:rsid w:val="474A4B33"/>
    <w:rsid w:val="47665A15"/>
    <w:rsid w:val="47677941"/>
    <w:rsid w:val="477F1660"/>
    <w:rsid w:val="4788232A"/>
    <w:rsid w:val="478B0398"/>
    <w:rsid w:val="478F5D0B"/>
    <w:rsid w:val="47B8724E"/>
    <w:rsid w:val="47ED7BCA"/>
    <w:rsid w:val="48016F34"/>
    <w:rsid w:val="480212E4"/>
    <w:rsid w:val="480556DB"/>
    <w:rsid w:val="48185C56"/>
    <w:rsid w:val="48450F81"/>
    <w:rsid w:val="484E729D"/>
    <w:rsid w:val="48566773"/>
    <w:rsid w:val="485A23C2"/>
    <w:rsid w:val="488C5052"/>
    <w:rsid w:val="48A16B62"/>
    <w:rsid w:val="48BC6222"/>
    <w:rsid w:val="48C245E9"/>
    <w:rsid w:val="48DB312A"/>
    <w:rsid w:val="48DF49D9"/>
    <w:rsid w:val="492108CC"/>
    <w:rsid w:val="493D634C"/>
    <w:rsid w:val="49413F52"/>
    <w:rsid w:val="494F6304"/>
    <w:rsid w:val="4A05334F"/>
    <w:rsid w:val="4A244932"/>
    <w:rsid w:val="4A2922C8"/>
    <w:rsid w:val="4A4117B2"/>
    <w:rsid w:val="4A7A4350"/>
    <w:rsid w:val="4A7E2497"/>
    <w:rsid w:val="4A896826"/>
    <w:rsid w:val="4ABF5E17"/>
    <w:rsid w:val="4AE01A66"/>
    <w:rsid w:val="4AE104D6"/>
    <w:rsid w:val="4AED707B"/>
    <w:rsid w:val="4B015D61"/>
    <w:rsid w:val="4B0B7979"/>
    <w:rsid w:val="4B520DF4"/>
    <w:rsid w:val="4B603107"/>
    <w:rsid w:val="4B9802B0"/>
    <w:rsid w:val="4B9E65BE"/>
    <w:rsid w:val="4B9F33A8"/>
    <w:rsid w:val="4BA80AFD"/>
    <w:rsid w:val="4BB033BA"/>
    <w:rsid w:val="4BB469AD"/>
    <w:rsid w:val="4BC06040"/>
    <w:rsid w:val="4BF441D2"/>
    <w:rsid w:val="4C1C2A09"/>
    <w:rsid w:val="4C694192"/>
    <w:rsid w:val="4C7964D9"/>
    <w:rsid w:val="4C9269F6"/>
    <w:rsid w:val="4C9476E9"/>
    <w:rsid w:val="4CC84335"/>
    <w:rsid w:val="4CE9350A"/>
    <w:rsid w:val="4D297BF3"/>
    <w:rsid w:val="4D2D0EAF"/>
    <w:rsid w:val="4D783DF7"/>
    <w:rsid w:val="4D7F0082"/>
    <w:rsid w:val="4D952FD9"/>
    <w:rsid w:val="4D970662"/>
    <w:rsid w:val="4DB33393"/>
    <w:rsid w:val="4DBC3CE3"/>
    <w:rsid w:val="4DCF1E0D"/>
    <w:rsid w:val="4DD632D9"/>
    <w:rsid w:val="4DE05D9E"/>
    <w:rsid w:val="4DE05DF9"/>
    <w:rsid w:val="4DE44800"/>
    <w:rsid w:val="4DEE0709"/>
    <w:rsid w:val="4DFC14EA"/>
    <w:rsid w:val="4DFF6815"/>
    <w:rsid w:val="4E0A3427"/>
    <w:rsid w:val="4E304B5D"/>
    <w:rsid w:val="4E611B8B"/>
    <w:rsid w:val="4E682F8C"/>
    <w:rsid w:val="4E6A7BB7"/>
    <w:rsid w:val="4EE07EA5"/>
    <w:rsid w:val="4F0773B4"/>
    <w:rsid w:val="4F307BB1"/>
    <w:rsid w:val="4F3D562D"/>
    <w:rsid w:val="4F5C4EE0"/>
    <w:rsid w:val="4F6E1972"/>
    <w:rsid w:val="4F943166"/>
    <w:rsid w:val="4FBA02A1"/>
    <w:rsid w:val="4FE7106E"/>
    <w:rsid w:val="50053943"/>
    <w:rsid w:val="50374A3C"/>
    <w:rsid w:val="50550E55"/>
    <w:rsid w:val="50901457"/>
    <w:rsid w:val="509F43E4"/>
    <w:rsid w:val="50A54D3E"/>
    <w:rsid w:val="50F1402B"/>
    <w:rsid w:val="50FD2AD9"/>
    <w:rsid w:val="51097D9A"/>
    <w:rsid w:val="51237D2E"/>
    <w:rsid w:val="515B06D0"/>
    <w:rsid w:val="517F5754"/>
    <w:rsid w:val="51996737"/>
    <w:rsid w:val="51B408B8"/>
    <w:rsid w:val="51CC0868"/>
    <w:rsid w:val="51D5340F"/>
    <w:rsid w:val="52382F2A"/>
    <w:rsid w:val="52386E3D"/>
    <w:rsid w:val="523A7DD1"/>
    <w:rsid w:val="523B7711"/>
    <w:rsid w:val="5271774C"/>
    <w:rsid w:val="52DE008D"/>
    <w:rsid w:val="52EE341E"/>
    <w:rsid w:val="52F37FE6"/>
    <w:rsid w:val="52FC1CAF"/>
    <w:rsid w:val="531A330F"/>
    <w:rsid w:val="532B6CAF"/>
    <w:rsid w:val="53350D91"/>
    <w:rsid w:val="53412644"/>
    <w:rsid w:val="53433903"/>
    <w:rsid w:val="53517A72"/>
    <w:rsid w:val="5361549D"/>
    <w:rsid w:val="536220DA"/>
    <w:rsid w:val="53650637"/>
    <w:rsid w:val="53757C6B"/>
    <w:rsid w:val="537B63EF"/>
    <w:rsid w:val="537E1075"/>
    <w:rsid w:val="53837051"/>
    <w:rsid w:val="53A44D07"/>
    <w:rsid w:val="53A46AC8"/>
    <w:rsid w:val="53AB7F1F"/>
    <w:rsid w:val="53AC6F7B"/>
    <w:rsid w:val="53EB297B"/>
    <w:rsid w:val="53EC4BF7"/>
    <w:rsid w:val="53F758A1"/>
    <w:rsid w:val="540D5A7F"/>
    <w:rsid w:val="542E2BC2"/>
    <w:rsid w:val="54352A96"/>
    <w:rsid w:val="54447390"/>
    <w:rsid w:val="545E1D01"/>
    <w:rsid w:val="54935B8F"/>
    <w:rsid w:val="54CC6227"/>
    <w:rsid w:val="54D10F9B"/>
    <w:rsid w:val="54D264E2"/>
    <w:rsid w:val="54D97871"/>
    <w:rsid w:val="551D586C"/>
    <w:rsid w:val="55200298"/>
    <w:rsid w:val="55335E1B"/>
    <w:rsid w:val="553F1856"/>
    <w:rsid w:val="554B7EF0"/>
    <w:rsid w:val="556F3D99"/>
    <w:rsid w:val="55720837"/>
    <w:rsid w:val="55860894"/>
    <w:rsid w:val="558F6181"/>
    <w:rsid w:val="55B02DF1"/>
    <w:rsid w:val="55DC290C"/>
    <w:rsid w:val="55EA5D64"/>
    <w:rsid w:val="55F01FA1"/>
    <w:rsid w:val="56130B60"/>
    <w:rsid w:val="56990B7C"/>
    <w:rsid w:val="569E1126"/>
    <w:rsid w:val="56B80DEB"/>
    <w:rsid w:val="56E0560F"/>
    <w:rsid w:val="56E06E61"/>
    <w:rsid w:val="56F653FE"/>
    <w:rsid w:val="574448FC"/>
    <w:rsid w:val="575B7AFD"/>
    <w:rsid w:val="57660D3F"/>
    <w:rsid w:val="57D1153D"/>
    <w:rsid w:val="57FA3774"/>
    <w:rsid w:val="58084A3C"/>
    <w:rsid w:val="580B5F93"/>
    <w:rsid w:val="582772A7"/>
    <w:rsid w:val="58531B77"/>
    <w:rsid w:val="585D2975"/>
    <w:rsid w:val="585F64F9"/>
    <w:rsid w:val="587E3341"/>
    <w:rsid w:val="58C12AF6"/>
    <w:rsid w:val="58CF56D8"/>
    <w:rsid w:val="58D31010"/>
    <w:rsid w:val="58D6741E"/>
    <w:rsid w:val="58DB0535"/>
    <w:rsid w:val="58E62E0E"/>
    <w:rsid w:val="58EA3D0E"/>
    <w:rsid w:val="58F71269"/>
    <w:rsid w:val="58FE045E"/>
    <w:rsid w:val="5943350B"/>
    <w:rsid w:val="59561946"/>
    <w:rsid w:val="59670F51"/>
    <w:rsid w:val="596A44F9"/>
    <w:rsid w:val="596C19BB"/>
    <w:rsid w:val="59790BDB"/>
    <w:rsid w:val="597E3F42"/>
    <w:rsid w:val="598653AC"/>
    <w:rsid w:val="59AC3C86"/>
    <w:rsid w:val="59D42FDA"/>
    <w:rsid w:val="59DA4E01"/>
    <w:rsid w:val="59F64E82"/>
    <w:rsid w:val="5A0A5DD6"/>
    <w:rsid w:val="5A10435C"/>
    <w:rsid w:val="5A2654CC"/>
    <w:rsid w:val="5A323A44"/>
    <w:rsid w:val="5A395E66"/>
    <w:rsid w:val="5A484352"/>
    <w:rsid w:val="5A5321A5"/>
    <w:rsid w:val="5A8734AF"/>
    <w:rsid w:val="5A9D3E45"/>
    <w:rsid w:val="5AA4101D"/>
    <w:rsid w:val="5AB17576"/>
    <w:rsid w:val="5ABD68E6"/>
    <w:rsid w:val="5ABF73D2"/>
    <w:rsid w:val="5ACB3D8A"/>
    <w:rsid w:val="5AE1508F"/>
    <w:rsid w:val="5AF80256"/>
    <w:rsid w:val="5B110CC9"/>
    <w:rsid w:val="5B1F7B5D"/>
    <w:rsid w:val="5B441A40"/>
    <w:rsid w:val="5B585171"/>
    <w:rsid w:val="5B585B78"/>
    <w:rsid w:val="5B6D62B9"/>
    <w:rsid w:val="5B9A2B59"/>
    <w:rsid w:val="5BC0085A"/>
    <w:rsid w:val="5BF03D58"/>
    <w:rsid w:val="5BF20AFB"/>
    <w:rsid w:val="5C1A6BB2"/>
    <w:rsid w:val="5C37233A"/>
    <w:rsid w:val="5C5355FE"/>
    <w:rsid w:val="5C6F4105"/>
    <w:rsid w:val="5CBB7F6F"/>
    <w:rsid w:val="5CC248CE"/>
    <w:rsid w:val="5CC4145A"/>
    <w:rsid w:val="5D442CB4"/>
    <w:rsid w:val="5D7C3F11"/>
    <w:rsid w:val="5D9D49E0"/>
    <w:rsid w:val="5DDF1821"/>
    <w:rsid w:val="5DE2656A"/>
    <w:rsid w:val="5DEA2F91"/>
    <w:rsid w:val="5DF94AE0"/>
    <w:rsid w:val="5DFA5883"/>
    <w:rsid w:val="5E3146A3"/>
    <w:rsid w:val="5E442F62"/>
    <w:rsid w:val="5E6C2C5B"/>
    <w:rsid w:val="5E6E2DD8"/>
    <w:rsid w:val="5E7251A2"/>
    <w:rsid w:val="5E7C3591"/>
    <w:rsid w:val="5E9D0E18"/>
    <w:rsid w:val="5EA341D7"/>
    <w:rsid w:val="5EA755DE"/>
    <w:rsid w:val="5ED35F0E"/>
    <w:rsid w:val="5EFC1390"/>
    <w:rsid w:val="5EFC3EB6"/>
    <w:rsid w:val="5F03335D"/>
    <w:rsid w:val="5F0368C7"/>
    <w:rsid w:val="5F1544E7"/>
    <w:rsid w:val="5F312D8D"/>
    <w:rsid w:val="5F3C4923"/>
    <w:rsid w:val="5F5A7800"/>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B3C50"/>
    <w:rsid w:val="608B6567"/>
    <w:rsid w:val="60FF21D9"/>
    <w:rsid w:val="613021B3"/>
    <w:rsid w:val="613253FD"/>
    <w:rsid w:val="61421F29"/>
    <w:rsid w:val="61712185"/>
    <w:rsid w:val="618B7207"/>
    <w:rsid w:val="61A90D68"/>
    <w:rsid w:val="61BE5E24"/>
    <w:rsid w:val="62065A1D"/>
    <w:rsid w:val="621775E2"/>
    <w:rsid w:val="622F7552"/>
    <w:rsid w:val="6250406E"/>
    <w:rsid w:val="627D6831"/>
    <w:rsid w:val="62811B1C"/>
    <w:rsid w:val="62A20409"/>
    <w:rsid w:val="62B54B44"/>
    <w:rsid w:val="62E045DA"/>
    <w:rsid w:val="62E454A1"/>
    <w:rsid w:val="62F36E4C"/>
    <w:rsid w:val="62F47F8F"/>
    <w:rsid w:val="62F7233F"/>
    <w:rsid w:val="631F3FB4"/>
    <w:rsid w:val="6340438B"/>
    <w:rsid w:val="6353238E"/>
    <w:rsid w:val="63612AB8"/>
    <w:rsid w:val="6379289B"/>
    <w:rsid w:val="637D0978"/>
    <w:rsid w:val="638968B0"/>
    <w:rsid w:val="638A282C"/>
    <w:rsid w:val="63A85E90"/>
    <w:rsid w:val="63A962DB"/>
    <w:rsid w:val="63AB1A91"/>
    <w:rsid w:val="63B82D47"/>
    <w:rsid w:val="63C74D38"/>
    <w:rsid w:val="63EE4692"/>
    <w:rsid w:val="63FD622D"/>
    <w:rsid w:val="643F32F9"/>
    <w:rsid w:val="64582686"/>
    <w:rsid w:val="64673C87"/>
    <w:rsid w:val="64A251DD"/>
    <w:rsid w:val="650242F0"/>
    <w:rsid w:val="65365B2B"/>
    <w:rsid w:val="653F447E"/>
    <w:rsid w:val="65542778"/>
    <w:rsid w:val="655829AF"/>
    <w:rsid w:val="656B70C3"/>
    <w:rsid w:val="658F4798"/>
    <w:rsid w:val="659B1EBA"/>
    <w:rsid w:val="65B461E9"/>
    <w:rsid w:val="65BE39A8"/>
    <w:rsid w:val="65F4425C"/>
    <w:rsid w:val="65FB3FBE"/>
    <w:rsid w:val="66247D11"/>
    <w:rsid w:val="66736112"/>
    <w:rsid w:val="667F5B5B"/>
    <w:rsid w:val="6694262A"/>
    <w:rsid w:val="66990381"/>
    <w:rsid w:val="66B31B01"/>
    <w:rsid w:val="66CB4B3F"/>
    <w:rsid w:val="66CE1E80"/>
    <w:rsid w:val="66E362F9"/>
    <w:rsid w:val="66E47FD9"/>
    <w:rsid w:val="66F127F8"/>
    <w:rsid w:val="67071922"/>
    <w:rsid w:val="673B73C0"/>
    <w:rsid w:val="674743C8"/>
    <w:rsid w:val="675608B6"/>
    <w:rsid w:val="67754402"/>
    <w:rsid w:val="677D54ED"/>
    <w:rsid w:val="67B25E27"/>
    <w:rsid w:val="67B4646D"/>
    <w:rsid w:val="67C4383B"/>
    <w:rsid w:val="67D35E1A"/>
    <w:rsid w:val="67F35317"/>
    <w:rsid w:val="680201B7"/>
    <w:rsid w:val="68362BFB"/>
    <w:rsid w:val="683F1130"/>
    <w:rsid w:val="684456A1"/>
    <w:rsid w:val="685E1363"/>
    <w:rsid w:val="687731D1"/>
    <w:rsid w:val="6878475E"/>
    <w:rsid w:val="688E1089"/>
    <w:rsid w:val="68A026F3"/>
    <w:rsid w:val="68AF6C13"/>
    <w:rsid w:val="68BF20F5"/>
    <w:rsid w:val="690E07C7"/>
    <w:rsid w:val="69236A65"/>
    <w:rsid w:val="692E469B"/>
    <w:rsid w:val="69315C48"/>
    <w:rsid w:val="694019EC"/>
    <w:rsid w:val="69584DB4"/>
    <w:rsid w:val="696C3D80"/>
    <w:rsid w:val="698A5EE4"/>
    <w:rsid w:val="69C811ED"/>
    <w:rsid w:val="69D33070"/>
    <w:rsid w:val="69E97E75"/>
    <w:rsid w:val="69FB5D9E"/>
    <w:rsid w:val="6A1A3007"/>
    <w:rsid w:val="6A1E645E"/>
    <w:rsid w:val="6A417049"/>
    <w:rsid w:val="6A7903E5"/>
    <w:rsid w:val="6AA03032"/>
    <w:rsid w:val="6AA86FEC"/>
    <w:rsid w:val="6AC56475"/>
    <w:rsid w:val="6ADA6AC4"/>
    <w:rsid w:val="6ADB11D6"/>
    <w:rsid w:val="6B100A31"/>
    <w:rsid w:val="6B1A2C3C"/>
    <w:rsid w:val="6B31644D"/>
    <w:rsid w:val="6B486C86"/>
    <w:rsid w:val="6B554C72"/>
    <w:rsid w:val="6B847AD7"/>
    <w:rsid w:val="6B8F2BBC"/>
    <w:rsid w:val="6B9A2DF9"/>
    <w:rsid w:val="6BAC4619"/>
    <w:rsid w:val="6BCD2823"/>
    <w:rsid w:val="6BDD15DD"/>
    <w:rsid w:val="6BDF2966"/>
    <w:rsid w:val="6BE86A5F"/>
    <w:rsid w:val="6C234DED"/>
    <w:rsid w:val="6C29198B"/>
    <w:rsid w:val="6C3A67D1"/>
    <w:rsid w:val="6C3D2D5C"/>
    <w:rsid w:val="6C4800AA"/>
    <w:rsid w:val="6C4D28F8"/>
    <w:rsid w:val="6C573E9C"/>
    <w:rsid w:val="6C5C23DC"/>
    <w:rsid w:val="6C6D1126"/>
    <w:rsid w:val="6C986334"/>
    <w:rsid w:val="6CA35B3A"/>
    <w:rsid w:val="6CA41A5D"/>
    <w:rsid w:val="6CA479DF"/>
    <w:rsid w:val="6CAF588C"/>
    <w:rsid w:val="6CB4638E"/>
    <w:rsid w:val="6CBF3C6A"/>
    <w:rsid w:val="6CBF5306"/>
    <w:rsid w:val="6CE70FA1"/>
    <w:rsid w:val="6CFA6351"/>
    <w:rsid w:val="6CFC3C40"/>
    <w:rsid w:val="6D401DE3"/>
    <w:rsid w:val="6D480984"/>
    <w:rsid w:val="6DB13E57"/>
    <w:rsid w:val="6DC71662"/>
    <w:rsid w:val="6DCD5126"/>
    <w:rsid w:val="6DDB6CB0"/>
    <w:rsid w:val="6DE52ACD"/>
    <w:rsid w:val="6DFC0B44"/>
    <w:rsid w:val="6E0458E7"/>
    <w:rsid w:val="6E212037"/>
    <w:rsid w:val="6E3B221B"/>
    <w:rsid w:val="6E475779"/>
    <w:rsid w:val="6E7220B1"/>
    <w:rsid w:val="6E7764EF"/>
    <w:rsid w:val="6EAD447C"/>
    <w:rsid w:val="6EAE5472"/>
    <w:rsid w:val="6EB32ADA"/>
    <w:rsid w:val="6ECD7F59"/>
    <w:rsid w:val="6EED7C80"/>
    <w:rsid w:val="6EF773A4"/>
    <w:rsid w:val="6F2F2D9E"/>
    <w:rsid w:val="6F4147D9"/>
    <w:rsid w:val="6F5B0D5A"/>
    <w:rsid w:val="6F5C35EA"/>
    <w:rsid w:val="6F6B6A15"/>
    <w:rsid w:val="6F947E4B"/>
    <w:rsid w:val="6FA30BDA"/>
    <w:rsid w:val="6FB21D4C"/>
    <w:rsid w:val="6FB80698"/>
    <w:rsid w:val="701021F4"/>
    <w:rsid w:val="7024611F"/>
    <w:rsid w:val="70637B96"/>
    <w:rsid w:val="70797317"/>
    <w:rsid w:val="7099044B"/>
    <w:rsid w:val="709D518F"/>
    <w:rsid w:val="70C759D3"/>
    <w:rsid w:val="70CF2B23"/>
    <w:rsid w:val="70D70CB1"/>
    <w:rsid w:val="710952C1"/>
    <w:rsid w:val="711449B4"/>
    <w:rsid w:val="71452CD8"/>
    <w:rsid w:val="7158683A"/>
    <w:rsid w:val="715B2F52"/>
    <w:rsid w:val="71764F23"/>
    <w:rsid w:val="71946576"/>
    <w:rsid w:val="71967E84"/>
    <w:rsid w:val="71A61873"/>
    <w:rsid w:val="71AF4936"/>
    <w:rsid w:val="71B12351"/>
    <w:rsid w:val="71D75D0F"/>
    <w:rsid w:val="721919B3"/>
    <w:rsid w:val="721A6098"/>
    <w:rsid w:val="721D18D3"/>
    <w:rsid w:val="72310D1A"/>
    <w:rsid w:val="725D6B54"/>
    <w:rsid w:val="72986FA0"/>
    <w:rsid w:val="72A17C99"/>
    <w:rsid w:val="72AD7197"/>
    <w:rsid w:val="72AF6F7E"/>
    <w:rsid w:val="72CD226C"/>
    <w:rsid w:val="73047904"/>
    <w:rsid w:val="73253EFA"/>
    <w:rsid w:val="734C1A6A"/>
    <w:rsid w:val="735C5949"/>
    <w:rsid w:val="73737DA5"/>
    <w:rsid w:val="73740A39"/>
    <w:rsid w:val="73887B3E"/>
    <w:rsid w:val="73892412"/>
    <w:rsid w:val="73AF2114"/>
    <w:rsid w:val="73E96BCA"/>
    <w:rsid w:val="73EE4A6E"/>
    <w:rsid w:val="741048BC"/>
    <w:rsid w:val="742E78D4"/>
    <w:rsid w:val="74317498"/>
    <w:rsid w:val="74335A84"/>
    <w:rsid w:val="74406B6D"/>
    <w:rsid w:val="74676A28"/>
    <w:rsid w:val="747E40B6"/>
    <w:rsid w:val="749B1FF5"/>
    <w:rsid w:val="74AC3224"/>
    <w:rsid w:val="74BB2C83"/>
    <w:rsid w:val="74C33758"/>
    <w:rsid w:val="74DE4E5F"/>
    <w:rsid w:val="74EB54AB"/>
    <w:rsid w:val="74FF6D43"/>
    <w:rsid w:val="750201A2"/>
    <w:rsid w:val="751A76AF"/>
    <w:rsid w:val="75224790"/>
    <w:rsid w:val="75250574"/>
    <w:rsid w:val="7550443E"/>
    <w:rsid w:val="755F0BCC"/>
    <w:rsid w:val="756F17F9"/>
    <w:rsid w:val="75825461"/>
    <w:rsid w:val="759926FC"/>
    <w:rsid w:val="75A24276"/>
    <w:rsid w:val="75AA231D"/>
    <w:rsid w:val="75E8633A"/>
    <w:rsid w:val="763F09AA"/>
    <w:rsid w:val="764F3FCC"/>
    <w:rsid w:val="7650339F"/>
    <w:rsid w:val="76603C9A"/>
    <w:rsid w:val="76BB1CAB"/>
    <w:rsid w:val="76C04050"/>
    <w:rsid w:val="76E65049"/>
    <w:rsid w:val="77076007"/>
    <w:rsid w:val="77413F7E"/>
    <w:rsid w:val="7758241F"/>
    <w:rsid w:val="7762504C"/>
    <w:rsid w:val="777A7D22"/>
    <w:rsid w:val="77835654"/>
    <w:rsid w:val="7797109C"/>
    <w:rsid w:val="779A2A38"/>
    <w:rsid w:val="77B4450A"/>
    <w:rsid w:val="77B46E73"/>
    <w:rsid w:val="77E37A12"/>
    <w:rsid w:val="77FE3468"/>
    <w:rsid w:val="78250553"/>
    <w:rsid w:val="78546F0C"/>
    <w:rsid w:val="78EE1C79"/>
    <w:rsid w:val="78FA66FA"/>
    <w:rsid w:val="79424F6E"/>
    <w:rsid w:val="797239CC"/>
    <w:rsid w:val="79831473"/>
    <w:rsid w:val="7999527A"/>
    <w:rsid w:val="79AF76C5"/>
    <w:rsid w:val="79C25EE1"/>
    <w:rsid w:val="79CE2967"/>
    <w:rsid w:val="79EA664C"/>
    <w:rsid w:val="79F9627A"/>
    <w:rsid w:val="7A2F3BBF"/>
    <w:rsid w:val="7A2F459A"/>
    <w:rsid w:val="7A322A39"/>
    <w:rsid w:val="7A517022"/>
    <w:rsid w:val="7A6F5001"/>
    <w:rsid w:val="7AA2343E"/>
    <w:rsid w:val="7AA5597C"/>
    <w:rsid w:val="7AD60EB8"/>
    <w:rsid w:val="7ADA73A4"/>
    <w:rsid w:val="7AE66B99"/>
    <w:rsid w:val="7B0A3BCA"/>
    <w:rsid w:val="7B345AA9"/>
    <w:rsid w:val="7B4048C1"/>
    <w:rsid w:val="7B73082F"/>
    <w:rsid w:val="7BC62E00"/>
    <w:rsid w:val="7BE35E2A"/>
    <w:rsid w:val="7BF66C24"/>
    <w:rsid w:val="7BFA1CC7"/>
    <w:rsid w:val="7BFB70B3"/>
    <w:rsid w:val="7C0251DA"/>
    <w:rsid w:val="7C1052F2"/>
    <w:rsid w:val="7C2668D9"/>
    <w:rsid w:val="7C32497F"/>
    <w:rsid w:val="7C3C69AE"/>
    <w:rsid w:val="7C691974"/>
    <w:rsid w:val="7C8A6570"/>
    <w:rsid w:val="7C8B7390"/>
    <w:rsid w:val="7C9B0D0E"/>
    <w:rsid w:val="7CA42B03"/>
    <w:rsid w:val="7CB51A62"/>
    <w:rsid w:val="7CD2318A"/>
    <w:rsid w:val="7CD2702A"/>
    <w:rsid w:val="7CD34C42"/>
    <w:rsid w:val="7CDE3FF9"/>
    <w:rsid w:val="7CE26EBF"/>
    <w:rsid w:val="7CEE3130"/>
    <w:rsid w:val="7D1F6674"/>
    <w:rsid w:val="7D480B34"/>
    <w:rsid w:val="7D777A3E"/>
    <w:rsid w:val="7D9005BC"/>
    <w:rsid w:val="7D9F0AD0"/>
    <w:rsid w:val="7DD12BB7"/>
    <w:rsid w:val="7DF223A2"/>
    <w:rsid w:val="7DFF0955"/>
    <w:rsid w:val="7E0B750E"/>
    <w:rsid w:val="7E1939E8"/>
    <w:rsid w:val="7E2822EA"/>
    <w:rsid w:val="7E355A7B"/>
    <w:rsid w:val="7E6E3E85"/>
    <w:rsid w:val="7E9C184B"/>
    <w:rsid w:val="7EA72948"/>
    <w:rsid w:val="7EB31EDB"/>
    <w:rsid w:val="7EE70CC0"/>
    <w:rsid w:val="7EEB48DB"/>
    <w:rsid w:val="7EF27444"/>
    <w:rsid w:val="7F185A04"/>
    <w:rsid w:val="7F265C58"/>
    <w:rsid w:val="7F4C4618"/>
    <w:rsid w:val="7F582CF2"/>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9">
    <w:name w:val="heading 1"/>
    <w:basedOn w:val="1"/>
    <w:next w:val="1"/>
    <w:qFormat/>
    <w:uiPriority w:val="0"/>
    <w:pPr>
      <w:keepNext/>
      <w:keepLines/>
      <w:spacing w:before="340" w:after="330" w:line="576" w:lineRule="auto"/>
      <w:outlineLvl w:val="0"/>
    </w:pPr>
    <w:rPr>
      <w:b/>
      <w:bCs/>
      <w:kern w:val="44"/>
      <w:sz w:val="44"/>
      <w:szCs w:val="44"/>
    </w:rPr>
  </w:style>
  <w:style w:type="paragraph" w:styleId="10">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11">
    <w:name w:val="heading 3"/>
    <w:basedOn w:val="1"/>
    <w:next w:val="1"/>
    <w:qFormat/>
    <w:uiPriority w:val="0"/>
    <w:pPr>
      <w:keepNext/>
      <w:keepLines/>
      <w:spacing w:before="260" w:after="260" w:line="416" w:lineRule="auto"/>
      <w:outlineLvl w:val="2"/>
    </w:pPr>
    <w:rPr>
      <w:b/>
      <w:bCs/>
      <w:sz w:val="32"/>
      <w:szCs w:val="32"/>
    </w:rPr>
  </w:style>
  <w:style w:type="paragraph" w:styleId="12">
    <w:name w:val="heading 4"/>
    <w:basedOn w:val="1"/>
    <w:next w:val="1"/>
    <w:qFormat/>
    <w:uiPriority w:val="0"/>
    <w:pPr>
      <w:keepNext/>
      <w:keepLines/>
      <w:spacing w:line="360" w:lineRule="auto"/>
      <w:outlineLvl w:val="3"/>
    </w:pPr>
    <w:rPr>
      <w:rFonts w:ascii="Arial" w:hAnsi="Arial"/>
      <w:b/>
      <w:bCs/>
      <w:szCs w:val="28"/>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5"/>
    <w:qFormat/>
    <w:uiPriority w:val="0"/>
    <w:pPr>
      <w:spacing w:line="360" w:lineRule="auto"/>
      <w:ind w:firstLine="420" w:firstLineChars="100"/>
    </w:pPr>
    <w:rPr>
      <w:szCs w:val="21"/>
    </w:rPr>
  </w:style>
  <w:style w:type="paragraph" w:styleId="3">
    <w:name w:val="Body Text"/>
    <w:basedOn w:val="1"/>
    <w:next w:val="4"/>
    <w:link w:val="73"/>
    <w:qFormat/>
    <w:uiPriority w:val="0"/>
  </w:style>
  <w:style w:type="paragraph" w:styleId="4">
    <w:name w:val="Body Text 2"/>
    <w:basedOn w:val="1"/>
    <w:next w:val="3"/>
    <w:qFormat/>
    <w:uiPriority w:val="0"/>
    <w:pPr>
      <w:spacing w:line="480" w:lineRule="auto"/>
    </w:pPr>
  </w:style>
  <w:style w:type="paragraph" w:styleId="5">
    <w:name w:val="Body Text First Indent 2"/>
    <w:basedOn w:val="6"/>
    <w:next w:val="8"/>
    <w:qFormat/>
    <w:uiPriority w:val="0"/>
    <w:pPr>
      <w:ind w:firstLine="420" w:firstLineChars="200"/>
    </w:pPr>
  </w:style>
  <w:style w:type="paragraph" w:styleId="6">
    <w:name w:val="Body Text Indent"/>
    <w:basedOn w:val="1"/>
    <w:next w:val="7"/>
    <w:qFormat/>
    <w:uiPriority w:val="0"/>
    <w:pPr>
      <w:widowControl/>
      <w:spacing w:beforeAutospacing="1" w:afterAutospacing="1"/>
      <w:jc w:val="left"/>
    </w:pPr>
    <w:rPr>
      <w:rFonts w:ascii="宋体" w:hAnsi="宋体" w:cs="宋体"/>
      <w:kern w:val="0"/>
      <w:sz w:val="24"/>
    </w:rPr>
  </w:style>
  <w:style w:type="paragraph" w:styleId="7">
    <w:name w:val="envelope return"/>
    <w:basedOn w:val="1"/>
    <w:unhideWhenUsed/>
    <w:qFormat/>
    <w:uiPriority w:val="99"/>
    <w:pPr>
      <w:snapToGrid w:val="0"/>
    </w:pPr>
    <w:rPr>
      <w:rFonts w:ascii="Arial" w:hAnsi="Arial"/>
    </w:rPr>
  </w:style>
  <w:style w:type="paragraph" w:styleId="8">
    <w:name w:val="Normal Indent"/>
    <w:basedOn w:val="1"/>
    <w:qFormat/>
    <w:uiPriority w:val="0"/>
    <w:pPr>
      <w:widowControl/>
      <w:spacing w:beforeAutospacing="1" w:afterAutospacing="1"/>
      <w:jc w:val="left"/>
    </w:pPr>
    <w:rPr>
      <w:rFonts w:ascii="宋体" w:hAnsi="宋体" w:cs="宋体"/>
      <w:kern w:val="0"/>
      <w:sz w:val="24"/>
    </w:rPr>
  </w:style>
  <w:style w:type="paragraph" w:styleId="13">
    <w:name w:val="List Number"/>
    <w:basedOn w:val="1"/>
    <w:qFormat/>
    <w:uiPriority w:val="0"/>
    <w:pPr>
      <w:widowControl/>
      <w:spacing w:beforeAutospacing="1" w:afterAutospacing="1"/>
      <w:jc w:val="left"/>
    </w:pPr>
    <w:rPr>
      <w:rFonts w:ascii="宋体" w:hAnsi="宋体" w:cs="宋体"/>
      <w:kern w:val="0"/>
      <w:sz w:val="24"/>
    </w:rPr>
  </w:style>
  <w:style w:type="paragraph" w:styleId="14">
    <w:name w:val="Document Map"/>
    <w:basedOn w:val="1"/>
    <w:link w:val="75"/>
    <w:qFormat/>
    <w:uiPriority w:val="0"/>
    <w:rPr>
      <w:rFonts w:ascii="宋体" w:hAnsi="Calibri"/>
      <w:sz w:val="18"/>
      <w:szCs w:val="18"/>
    </w:rPr>
  </w:style>
  <w:style w:type="paragraph" w:styleId="15">
    <w:name w:val="annotation text"/>
    <w:basedOn w:val="1"/>
    <w:qFormat/>
    <w:uiPriority w:val="0"/>
    <w:pPr>
      <w:jc w:val="left"/>
    </w:pPr>
  </w:style>
  <w:style w:type="paragraph" w:styleId="16">
    <w:name w:val="Body Text 3"/>
    <w:basedOn w:val="1"/>
    <w:qFormat/>
    <w:uiPriority w:val="0"/>
    <w:rPr>
      <w:sz w:val="16"/>
      <w:szCs w:val="16"/>
    </w:rPr>
  </w:style>
  <w:style w:type="paragraph" w:styleId="17">
    <w:name w:val="List 2"/>
    <w:basedOn w:val="1"/>
    <w:qFormat/>
    <w:uiPriority w:val="0"/>
    <w:pPr>
      <w:ind w:left="100" w:leftChars="200" w:hanging="200" w:hangingChars="200"/>
    </w:pPr>
  </w:style>
  <w:style w:type="paragraph" w:styleId="18">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qFormat/>
    <w:uiPriority w:val="0"/>
    <w:pPr>
      <w:tabs>
        <w:tab w:val="left" w:pos="709"/>
        <w:tab w:val="right" w:leader="dot" w:pos="8789"/>
      </w:tabs>
      <w:spacing w:line="400" w:lineRule="atLeast"/>
    </w:pPr>
    <w:rPr>
      <w:rFonts w:ascii="宋体"/>
      <w:kern w:val="0"/>
      <w:szCs w:val="20"/>
    </w:rPr>
  </w:style>
  <w:style w:type="paragraph" w:styleId="20">
    <w:name w:val="Plain Text"/>
    <w:basedOn w:val="1"/>
    <w:qFormat/>
    <w:uiPriority w:val="0"/>
    <w:pPr>
      <w:widowControl/>
      <w:spacing w:beforeAutospacing="1" w:afterAutospacing="1"/>
      <w:jc w:val="left"/>
    </w:pPr>
    <w:rPr>
      <w:rFonts w:ascii="宋体" w:hAnsi="宋体" w:cs="宋体"/>
      <w:kern w:val="0"/>
      <w:sz w:val="24"/>
    </w:rPr>
  </w:style>
  <w:style w:type="paragraph" w:styleId="21">
    <w:name w:val="Date"/>
    <w:basedOn w:val="1"/>
    <w:next w:val="1"/>
    <w:qFormat/>
    <w:uiPriority w:val="0"/>
    <w:pPr>
      <w:ind w:left="100" w:leftChars="2500"/>
    </w:pPr>
    <w:rPr>
      <w:rFonts w:ascii="宋体" w:hAnsi="宋体"/>
      <w:sz w:val="28"/>
    </w:rPr>
  </w:style>
  <w:style w:type="paragraph" w:styleId="22">
    <w:name w:val="Body Text Indent 2"/>
    <w:basedOn w:val="1"/>
    <w:qFormat/>
    <w:uiPriority w:val="0"/>
    <w:pPr>
      <w:spacing w:line="480" w:lineRule="auto"/>
      <w:ind w:left="420" w:leftChars="200"/>
    </w:pPr>
  </w:style>
  <w:style w:type="paragraph" w:styleId="23">
    <w:name w:val="footer"/>
    <w:basedOn w:val="1"/>
    <w:qFormat/>
    <w:uiPriority w:val="0"/>
    <w:pPr>
      <w:tabs>
        <w:tab w:val="center" w:pos="4153"/>
        <w:tab w:val="right" w:pos="8306"/>
      </w:tabs>
      <w:snapToGrid w:val="0"/>
      <w:jc w:val="left"/>
    </w:pPr>
    <w:rPr>
      <w:sz w:val="18"/>
      <w:szCs w:val="18"/>
    </w:rPr>
  </w:style>
  <w:style w:type="paragraph" w:styleId="2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0"/>
  </w:style>
  <w:style w:type="paragraph" w:styleId="26">
    <w:name w:val="List"/>
    <w:basedOn w:val="1"/>
    <w:qFormat/>
    <w:uiPriority w:val="0"/>
    <w:pPr>
      <w:ind w:left="200" w:hanging="200" w:hangingChars="200"/>
    </w:pPr>
  </w:style>
  <w:style w:type="paragraph" w:styleId="27">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qFormat/>
    <w:uiPriority w:val="99"/>
    <w:pPr>
      <w:spacing w:before="100" w:beforeAutospacing="1" w:after="100" w:afterAutospacing="1"/>
      <w:jc w:val="left"/>
    </w:pPr>
    <w:rPr>
      <w:kern w:val="0"/>
      <w:sz w:val="24"/>
    </w:rPr>
  </w:style>
  <w:style w:type="paragraph" w:styleId="30">
    <w:name w:val="Title"/>
    <w:basedOn w:val="1"/>
    <w:qFormat/>
    <w:uiPriority w:val="0"/>
    <w:pPr>
      <w:jc w:val="center"/>
      <w:outlineLvl w:val="0"/>
    </w:pPr>
    <w:rPr>
      <w:rFonts w:ascii="Arial" w:hAnsi="Arial" w:cs="Arial"/>
      <w:b/>
      <w:bCs/>
      <w:sz w:val="32"/>
      <w:szCs w:val="32"/>
    </w:rPr>
  </w:style>
  <w:style w:type="table" w:styleId="32">
    <w:name w:val="Table Grid"/>
    <w:basedOn w:val="3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qFormat/>
    <w:uiPriority w:val="0"/>
    <w:rPr>
      <w:b/>
      <w:bCs/>
      <w:szCs w:val="24"/>
    </w:rPr>
  </w:style>
  <w:style w:type="character" w:styleId="35">
    <w:name w:val="page number"/>
    <w:basedOn w:val="33"/>
    <w:qFormat/>
    <w:uiPriority w:val="0"/>
  </w:style>
  <w:style w:type="character" w:styleId="36">
    <w:name w:val="FollowedHyperlink"/>
    <w:qFormat/>
    <w:uiPriority w:val="0"/>
    <w:rPr>
      <w:color w:val="333333"/>
      <w:szCs w:val="24"/>
      <w:u w:val="none"/>
    </w:rPr>
  </w:style>
  <w:style w:type="character" w:styleId="37">
    <w:name w:val="Emphasis"/>
    <w:basedOn w:val="33"/>
    <w:qFormat/>
    <w:uiPriority w:val="0"/>
  </w:style>
  <w:style w:type="character" w:styleId="38">
    <w:name w:val="HTML Definition"/>
    <w:basedOn w:val="33"/>
    <w:qFormat/>
    <w:uiPriority w:val="0"/>
  </w:style>
  <w:style w:type="character" w:styleId="39">
    <w:name w:val="HTML Typewriter"/>
    <w:basedOn w:val="33"/>
    <w:qFormat/>
    <w:uiPriority w:val="0"/>
    <w:rPr>
      <w:rFonts w:hint="default" w:ascii="monospace" w:hAnsi="monospace" w:eastAsia="monospace" w:cs="monospace"/>
      <w:sz w:val="20"/>
    </w:rPr>
  </w:style>
  <w:style w:type="character" w:styleId="40">
    <w:name w:val="HTML Acronym"/>
    <w:basedOn w:val="33"/>
    <w:qFormat/>
    <w:uiPriority w:val="0"/>
  </w:style>
  <w:style w:type="character" w:styleId="41">
    <w:name w:val="HTML Variable"/>
    <w:basedOn w:val="33"/>
    <w:qFormat/>
    <w:uiPriority w:val="0"/>
  </w:style>
  <w:style w:type="character" w:styleId="42">
    <w:name w:val="Hyperlink"/>
    <w:basedOn w:val="33"/>
    <w:qFormat/>
    <w:uiPriority w:val="0"/>
    <w:rPr>
      <w:color w:val="333333"/>
      <w:szCs w:val="24"/>
      <w:u w:val="none"/>
    </w:rPr>
  </w:style>
  <w:style w:type="character" w:styleId="43">
    <w:name w:val="HTML Code"/>
    <w:basedOn w:val="33"/>
    <w:qFormat/>
    <w:uiPriority w:val="0"/>
    <w:rPr>
      <w:rFonts w:ascii="monospace" w:hAnsi="monospace" w:eastAsia="monospace" w:cs="monospace"/>
      <w:sz w:val="20"/>
    </w:rPr>
  </w:style>
  <w:style w:type="character" w:styleId="44">
    <w:name w:val="HTML Cite"/>
    <w:basedOn w:val="33"/>
    <w:qFormat/>
    <w:uiPriority w:val="0"/>
  </w:style>
  <w:style w:type="character" w:styleId="45">
    <w:name w:val="HTML Keyboard"/>
    <w:basedOn w:val="33"/>
    <w:qFormat/>
    <w:uiPriority w:val="0"/>
    <w:rPr>
      <w:rFonts w:hint="default" w:ascii="monospace" w:hAnsi="monospace" w:eastAsia="monospace" w:cs="monospace"/>
      <w:sz w:val="20"/>
    </w:rPr>
  </w:style>
  <w:style w:type="character" w:styleId="46">
    <w:name w:val="HTML Sample"/>
    <w:basedOn w:val="33"/>
    <w:qFormat/>
    <w:uiPriority w:val="0"/>
    <w:rPr>
      <w:rFonts w:hint="default" w:ascii="monospace" w:hAnsi="monospace" w:eastAsia="monospace" w:cs="monospace"/>
    </w:rPr>
  </w:style>
  <w:style w:type="paragraph" w:customStyle="1" w:styleId="47">
    <w:name w:val="目录 51"/>
    <w:next w:val="1"/>
    <w:qFormat/>
    <w:uiPriority w:val="0"/>
    <w:pPr>
      <w:wordWrap w:val="0"/>
      <w:ind w:left="1700"/>
      <w:jc w:val="both"/>
    </w:pPr>
    <w:rPr>
      <w:rFonts w:ascii="Calibri" w:hAnsi="Calibri" w:eastAsia="Calibri" w:cs="Times New Roman"/>
      <w:sz w:val="21"/>
      <w:lang w:val="en-US" w:eastAsia="zh-CN" w:bidi="ar-SA"/>
    </w:rPr>
  </w:style>
  <w:style w:type="paragraph" w:customStyle="1" w:styleId="48">
    <w:name w:val="Default"/>
    <w:next w:val="1"/>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9">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50">
    <w:name w:val="No Spacing1"/>
    <w:basedOn w:val="1"/>
    <w:qFormat/>
    <w:uiPriority w:val="0"/>
    <w:pPr>
      <w:spacing w:line="400" w:lineRule="exact"/>
    </w:pPr>
    <w:rPr>
      <w:sz w:val="24"/>
    </w:rPr>
  </w:style>
  <w:style w:type="paragraph" w:customStyle="1" w:styleId="51">
    <w:name w:val="大标题"/>
    <w:basedOn w:val="1"/>
    <w:next w:val="5"/>
    <w:qFormat/>
    <w:uiPriority w:val="0"/>
    <w:pPr>
      <w:jc w:val="center"/>
    </w:pPr>
    <w:rPr>
      <w:rFonts w:ascii="Arial" w:hAnsi="Arial"/>
      <w:b/>
      <w:sz w:val="28"/>
    </w:rPr>
  </w:style>
  <w:style w:type="paragraph" w:customStyle="1" w:styleId="52">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qFormat/>
    <w:uiPriority w:val="0"/>
  </w:style>
  <w:style w:type="paragraph" w:customStyle="1" w:styleId="54">
    <w:name w:val="正文缩进1"/>
    <w:basedOn w:val="1"/>
    <w:qFormat/>
    <w:uiPriority w:val="0"/>
    <w:pPr>
      <w:widowControl/>
      <w:ind w:firstLine="420"/>
      <w:jc w:val="left"/>
    </w:pPr>
    <w:rPr>
      <w:kern w:val="0"/>
      <w:szCs w:val="20"/>
    </w:rPr>
  </w:style>
  <w:style w:type="paragraph" w:customStyle="1" w:styleId="55">
    <w:name w:val="列出段落2"/>
    <w:basedOn w:val="1"/>
    <w:qFormat/>
    <w:uiPriority w:val="34"/>
    <w:pPr>
      <w:ind w:firstLine="420" w:firstLineChars="200"/>
    </w:pPr>
  </w:style>
  <w:style w:type="paragraph" w:customStyle="1" w:styleId="56">
    <w:name w:val="plaintext"/>
    <w:basedOn w:val="1"/>
    <w:qFormat/>
    <w:uiPriority w:val="0"/>
    <w:pPr>
      <w:widowControl/>
      <w:spacing w:beforeAutospacing="1" w:afterAutospacing="1"/>
      <w:jc w:val="left"/>
    </w:pPr>
    <w:rPr>
      <w:rFonts w:ascii="宋体" w:hAnsi="宋体" w:cs="宋体"/>
      <w:kern w:val="0"/>
      <w:sz w:val="24"/>
    </w:rPr>
  </w:style>
  <w:style w:type="paragraph" w:customStyle="1" w:styleId="57">
    <w:name w:val="1"/>
    <w:basedOn w:val="1"/>
    <w:qFormat/>
    <w:uiPriority w:val="0"/>
    <w:pPr>
      <w:widowControl/>
      <w:spacing w:beforeAutospacing="1" w:afterAutospacing="1"/>
      <w:jc w:val="left"/>
    </w:pPr>
    <w:rPr>
      <w:rFonts w:ascii="宋体" w:hAnsi="宋体" w:cs="宋体"/>
      <w:kern w:val="0"/>
      <w:sz w:val="24"/>
    </w:rPr>
  </w:style>
  <w:style w:type="paragraph" w:styleId="58">
    <w:name w:val="No Spacing"/>
    <w:qFormat/>
    <w:uiPriority w:val="1"/>
    <w:rPr>
      <w:rFonts w:ascii="Calibri" w:hAnsi="Calibri" w:eastAsia="宋体" w:cs="Times New Roman"/>
      <w:sz w:val="22"/>
      <w:szCs w:val="22"/>
      <w:lang w:val="en-US" w:eastAsia="zh-CN" w:bidi="ar-SA"/>
    </w:rPr>
  </w:style>
  <w:style w:type="paragraph" w:customStyle="1" w:styleId="59">
    <w:name w:val="_Style 2"/>
    <w:basedOn w:val="1"/>
    <w:qFormat/>
    <w:uiPriority w:val="34"/>
    <w:pPr>
      <w:ind w:firstLine="420" w:firstLineChars="200"/>
    </w:pPr>
    <w:rPr>
      <w:rFonts w:ascii="Calibri" w:hAnsi="Calibri"/>
    </w:rPr>
  </w:style>
  <w:style w:type="paragraph" w:customStyle="1" w:styleId="60">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1">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qFormat/>
    <w:uiPriority w:val="0"/>
  </w:style>
  <w:style w:type="paragraph" w:customStyle="1" w:styleId="63">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qFormat/>
    <w:uiPriority w:val="1"/>
    <w:pPr>
      <w:jc w:val="left"/>
    </w:pPr>
    <w:rPr>
      <w:rFonts w:ascii="宋体" w:hAnsi="宋体" w:cs="宋体"/>
      <w:kern w:val="0"/>
      <w:sz w:val="22"/>
      <w:szCs w:val="22"/>
      <w:lang w:eastAsia="en-US"/>
    </w:rPr>
  </w:style>
  <w:style w:type="paragraph" w:customStyle="1" w:styleId="65">
    <w:name w:val="无间隔1"/>
    <w:basedOn w:val="1"/>
    <w:qFormat/>
    <w:uiPriority w:val="1"/>
    <w:pPr>
      <w:spacing w:line="400" w:lineRule="exact"/>
    </w:pPr>
    <w:rPr>
      <w:sz w:val="24"/>
    </w:rPr>
  </w:style>
  <w:style w:type="paragraph" w:customStyle="1" w:styleId="66">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qFormat/>
    <w:uiPriority w:val="34"/>
    <w:pPr>
      <w:ind w:firstLine="420" w:firstLineChars="200"/>
    </w:pPr>
  </w:style>
  <w:style w:type="paragraph" w:customStyle="1" w:styleId="69">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qFormat/>
    <w:uiPriority w:val="0"/>
    <w:pPr>
      <w:widowControl/>
      <w:spacing w:beforeAutospacing="1" w:afterAutospacing="1"/>
      <w:jc w:val="left"/>
    </w:pPr>
    <w:rPr>
      <w:rFonts w:ascii="宋体" w:hAnsi="宋体" w:cs="宋体"/>
      <w:kern w:val="0"/>
      <w:sz w:val="24"/>
    </w:rPr>
  </w:style>
  <w:style w:type="paragraph" w:customStyle="1" w:styleId="71">
    <w:name w:val="default"/>
    <w:basedOn w:val="1"/>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qFormat/>
    <w:uiPriority w:val="0"/>
    <w:pPr>
      <w:ind w:firstLine="420" w:firstLineChars="200"/>
    </w:pPr>
    <w:rPr>
      <w:rFonts w:ascii="Calibri" w:hAnsi="Calibri"/>
      <w:szCs w:val="22"/>
    </w:rPr>
  </w:style>
  <w:style w:type="character" w:customStyle="1" w:styleId="73">
    <w:name w:val="正文文本 Char"/>
    <w:basedOn w:val="33"/>
    <w:link w:val="3"/>
    <w:qFormat/>
    <w:uiPriority w:val="0"/>
  </w:style>
  <w:style w:type="character" w:customStyle="1" w:styleId="74">
    <w:name w:val="apple-converted-space"/>
    <w:basedOn w:val="33"/>
    <w:qFormat/>
    <w:uiPriority w:val="0"/>
  </w:style>
  <w:style w:type="character" w:customStyle="1" w:styleId="75">
    <w:name w:val="文档结构图 Char"/>
    <w:link w:val="14"/>
    <w:qFormat/>
    <w:uiPriority w:val="0"/>
    <w:rPr>
      <w:rFonts w:ascii="宋体"/>
      <w:kern w:val="2"/>
      <w:sz w:val="18"/>
      <w:szCs w:val="18"/>
    </w:rPr>
  </w:style>
  <w:style w:type="character" w:customStyle="1" w:styleId="76">
    <w:name w:val="不明显强调1"/>
    <w:qFormat/>
    <w:uiPriority w:val="19"/>
    <w:rPr>
      <w:i/>
      <w:iCs/>
      <w:color w:val="7F7F7F"/>
      <w:szCs w:val="24"/>
    </w:rPr>
  </w:style>
  <w:style w:type="character" w:customStyle="1" w:styleId="77">
    <w:name w:val="font71"/>
    <w:qFormat/>
    <w:uiPriority w:val="0"/>
    <w:rPr>
      <w:rFonts w:hint="eastAsia" w:ascii="宋体" w:hAnsi="宋体" w:eastAsia="宋体" w:cs="宋体"/>
      <w:color w:val="000000"/>
      <w:sz w:val="28"/>
      <w:szCs w:val="28"/>
      <w:u w:val="none"/>
    </w:rPr>
  </w:style>
  <w:style w:type="character" w:customStyle="1" w:styleId="78">
    <w:name w:val="font21"/>
    <w:qFormat/>
    <w:uiPriority w:val="0"/>
    <w:rPr>
      <w:rFonts w:hint="default" w:ascii="Calibri" w:hAnsi="Calibri" w:cs="Calibri"/>
      <w:color w:val="000000"/>
      <w:sz w:val="28"/>
      <w:szCs w:val="28"/>
      <w:u w:val="none"/>
    </w:rPr>
  </w:style>
  <w:style w:type="character" w:customStyle="1" w:styleId="79">
    <w:name w:val="17"/>
    <w:qFormat/>
    <w:uiPriority w:val="0"/>
    <w:rPr>
      <w:rFonts w:hint="eastAsia" w:ascii="宋体" w:hAnsi="宋体" w:eastAsia="宋体"/>
      <w:color w:val="000000"/>
    </w:rPr>
  </w:style>
  <w:style w:type="character" w:customStyle="1" w:styleId="80">
    <w:name w:val="font91"/>
    <w:qFormat/>
    <w:uiPriority w:val="0"/>
    <w:rPr>
      <w:rFonts w:hint="eastAsia" w:ascii="宋体" w:hAnsi="宋体" w:eastAsia="宋体" w:cs="宋体"/>
      <w:color w:val="FF0000"/>
      <w:sz w:val="28"/>
      <w:szCs w:val="28"/>
      <w:u w:val="none"/>
    </w:rPr>
  </w:style>
  <w:style w:type="paragraph" w:customStyle="1" w:styleId="81">
    <w:name w:val="p"/>
    <w:basedOn w:val="1"/>
    <w:qFormat/>
    <w:uiPriority w:val="0"/>
    <w:pPr>
      <w:widowControl/>
      <w:spacing w:line="432" w:lineRule="auto"/>
      <w:jc w:val="left"/>
    </w:pPr>
    <w:rPr>
      <w:rFonts w:ascii="宋体" w:hAnsi="宋体" w:cs="宋体"/>
      <w:kern w:val="0"/>
      <w:sz w:val="24"/>
    </w:rPr>
  </w:style>
  <w:style w:type="paragraph" w:customStyle="1" w:styleId="82">
    <w:name w:val="WPSOffice手动目录 1"/>
    <w:qFormat/>
    <w:uiPriority w:val="0"/>
    <w:rPr>
      <w:rFonts w:ascii="Times New Roman" w:hAnsi="Times New Roman" w:eastAsia="宋体" w:cs="Times New Roman"/>
      <w:lang w:val="en-US" w:eastAsia="zh-CN" w:bidi="ar-SA"/>
    </w:rPr>
  </w:style>
  <w:style w:type="paragraph" w:customStyle="1" w:styleId="83">
    <w:name w:val="*正文_1"/>
    <w:basedOn w:val="1"/>
    <w:next w:val="1"/>
    <w:qFormat/>
    <w:uiPriority w:val="0"/>
    <w:pPr>
      <w:widowControl/>
      <w:ind w:firstLine="482"/>
    </w:pPr>
    <w:rPr>
      <w:rFonts w:ascii="微软雅黑" w:hAnsi="微软雅黑" w:eastAsia="微软雅黑"/>
      <w:kern w:val="0"/>
      <w:szCs w:val="20"/>
    </w:rPr>
  </w:style>
  <w:style w:type="paragraph" w:customStyle="1" w:styleId="84">
    <w:name w:val="表格文字"/>
    <w:basedOn w:val="1"/>
    <w:next w:val="3"/>
    <w:qFormat/>
    <w:uiPriority w:val="0"/>
    <w:pPr>
      <w:adjustRightInd w:val="0"/>
      <w:spacing w:line="420" w:lineRule="atLeast"/>
      <w:jc w:val="left"/>
      <w:textAlignment w:val="baseline"/>
    </w:pPr>
    <w:rPr>
      <w:kern w:val="0"/>
      <w:szCs w:val="20"/>
    </w:rPr>
  </w:style>
  <w:style w:type="character" w:customStyle="1" w:styleId="85">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qFormat/>
    <w:uiPriority w:val="34"/>
    <w:pPr>
      <w:widowControl/>
      <w:ind w:firstLine="420"/>
      <w:jc w:val="left"/>
    </w:pPr>
    <w:rPr>
      <w:kern w:val="0"/>
    </w:rPr>
  </w:style>
  <w:style w:type="paragraph" w:styleId="87">
    <w:name w:val="List Paragraph"/>
    <w:basedOn w:val="1"/>
    <w:qFormat/>
    <w:uiPriority w:val="34"/>
    <w:pPr>
      <w:ind w:firstLine="420" w:firstLineChars="200"/>
    </w:pPr>
  </w:style>
  <w:style w:type="character" w:customStyle="1" w:styleId="88">
    <w:name w:val="hover18"/>
    <w:basedOn w:val="33"/>
    <w:qFormat/>
    <w:uiPriority w:val="0"/>
  </w:style>
  <w:style w:type="table" w:customStyle="1" w:styleId="89">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14579</Words>
  <Characters>15361</Characters>
  <Lines>50</Lines>
  <Paragraphs>68</Paragraphs>
  <TotalTime>5</TotalTime>
  <ScaleCrop>false</ScaleCrop>
  <LinksUpToDate>false</LinksUpToDate>
  <CharactersWithSpaces>16487</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梧桐叶落</cp:lastModifiedBy>
  <cp:lastPrinted>2021-09-30T00:46:00Z</cp:lastPrinted>
  <dcterms:modified xsi:type="dcterms:W3CDTF">2023-09-21T01:30:53Z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674F991D607844DA91ADD0033423FF34_13</vt:lpwstr>
  </property>
</Properties>
</file>