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w:t>
      </w:r>
      <w:r>
        <w:rPr>
          <w:rFonts w:hint="eastAsia" w:ascii="黑体" w:hAnsi="黑体" w:eastAsia="黑体" w:cs="宋体"/>
          <w:bCs/>
          <w:color w:val="auto"/>
          <w:kern w:val="0"/>
          <w:sz w:val="48"/>
          <w:szCs w:val="48"/>
          <w:lang w:val="en-US" w:eastAsia="zh-CN"/>
        </w:rPr>
        <w:t>污物袋采购</w:t>
      </w: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3"/>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08</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w:t>
      </w:r>
      <w:r>
        <w:rPr>
          <w:rFonts w:hint="eastAsia" w:ascii="黑体" w:hAnsi="黑体" w:eastAsia="黑体" w:cs="宋体"/>
          <w:bCs/>
          <w:color w:val="auto"/>
          <w:kern w:val="0"/>
          <w:sz w:val="28"/>
          <w:szCs w:val="28"/>
          <w:lang w:val="en-US" w:eastAsia="zh-CN"/>
        </w:rPr>
        <w:t>污物袋采</w:t>
      </w:r>
      <w:r>
        <w:rPr>
          <w:rFonts w:hint="eastAsia" w:ascii="黑体" w:hAnsi="黑体" w:eastAsia="黑体" w:cs="宋体"/>
          <w:bCs/>
          <w:color w:val="auto"/>
          <w:kern w:val="0"/>
          <w:sz w:val="28"/>
          <w:szCs w:val="28"/>
          <w:lang w:eastAsia="zh-CN"/>
        </w:rPr>
        <w:t>购</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eastAsia="zh-CN"/>
        </w:rPr>
        <w:t>驻马店市中心医院</w:t>
      </w:r>
      <w:r>
        <w:rPr>
          <w:rFonts w:hint="eastAsia" w:ascii="宋体" w:hAnsi="宋体" w:eastAsia="宋体" w:cs="宋体"/>
          <w:color w:val="auto"/>
          <w:u w:val="single"/>
          <w:lang w:val="en-US" w:eastAsia="zh-CN"/>
        </w:rPr>
        <w:t>污物袋采购</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w:t>
      </w:r>
      <w:r>
        <w:rPr>
          <w:rFonts w:hint="eastAsia" w:ascii="宋体" w:hAnsi="宋体" w:cs="宋体"/>
          <w:color w:val="auto"/>
          <w:szCs w:val="21"/>
          <w:highlight w:val="none"/>
          <w:shd w:val="clear" w:color="auto" w:fill="FFFFFF"/>
          <w:lang w:val="en-US" w:eastAsia="zh-CN"/>
        </w:rPr>
        <w:t>污物袋采购</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6079"/>
      <w:bookmarkStart w:id="5" w:name="_Toc24040"/>
      <w:bookmarkStart w:id="6" w:name="_Toc21071"/>
      <w:bookmarkStart w:id="7" w:name="_Toc27913"/>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3626"/>
      <w:bookmarkStart w:id="11" w:name="_Toc16639"/>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643"/>
      <w:bookmarkStart w:id="14" w:name="_Toc23395"/>
      <w:bookmarkStart w:id="15" w:name="_Toc7823"/>
      <w:bookmarkStart w:id="16" w:name="_Toc9562"/>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p>
    <w:bookmarkEnd w:id="13"/>
    <w:bookmarkEnd w:id="14"/>
    <w:bookmarkEnd w:id="15"/>
    <w:bookmarkEnd w:id="16"/>
    <w:bookmarkEnd w:id="17"/>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bookmarkStart w:id="18" w:name="_Toc10738"/>
      <w:bookmarkStart w:id="19" w:name="_Toc25869"/>
      <w:bookmarkStart w:id="20" w:name="_Toc27480"/>
      <w:bookmarkStart w:id="21" w:name="_Toc15135"/>
      <w:bookmarkStart w:id="22" w:name="_Toc15111"/>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604"/>
      <w:bookmarkStart w:id="30" w:name="_Toc27370"/>
      <w:bookmarkStart w:id="31" w:name="_Toc31928"/>
      <w:bookmarkStart w:id="32" w:name="_Toc2427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 购 人：驻马店市中心医院</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址：驻马店市中华大道747号</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    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代理机构：中大宇辰项目管理有限公司</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 李先生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w:t>
      </w: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3283085329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33"/>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5</w:t>
      </w:r>
      <w:r>
        <w:rPr>
          <w:rFonts w:hint="eastAsia" w:ascii="宋体" w:hAnsi="宋体" w:eastAsia="宋体" w:cs="宋体"/>
          <w:color w:val="auto"/>
          <w:kern w:val="0"/>
          <w:sz w:val="21"/>
          <w:szCs w:val="21"/>
          <w:highlight w:val="yellow"/>
          <w:shd w:val="clear" w:color="auto" w:fill="FFFFFF"/>
          <w:lang w:val="en-US" w:eastAsia="zh-CN" w:bidi="ar-SA"/>
        </w:rPr>
        <w:t>日</w:t>
      </w:r>
    </w:p>
    <w:p>
      <w:pPr>
        <w:rPr>
          <w:b/>
          <w:bCs/>
          <w:color w:val="auto"/>
          <w:sz w:val="24"/>
          <w:highlight w:val="none"/>
        </w:rPr>
      </w:pPr>
      <w:bookmarkStart w:id="91" w:name="_GoBack"/>
      <w:bookmarkEnd w:id="91"/>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 xml:space="preserve">项目名称、数量：污物袋采购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项目用途说明：污物袋采购合同即将到期，经医院同意重新进行招标。                                                         </w:t>
      </w:r>
    </w:p>
    <w:tbl>
      <w:tblPr>
        <w:tblStyle w:val="34"/>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6"/>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产品名称</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auto"/>
                <w:sz w:val="21"/>
                <w:szCs w:val="21"/>
              </w:rPr>
            </w:pPr>
            <w:r>
              <w:rPr>
                <w:rFonts w:hint="eastAsia"/>
                <w:b/>
                <w:bCs/>
                <w:sz w:val="24"/>
                <w:szCs w:val="24"/>
                <w:vertAlign w:val="baseline"/>
                <w:lang w:val="en-US" w:eastAsia="zh-CN"/>
              </w:rPr>
              <w:t>数量</w:t>
            </w:r>
          </w:p>
        </w:tc>
        <w:tc>
          <w:tcPr>
            <w:tcW w:w="1473"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color w:val="auto"/>
                <w:sz w:val="21"/>
                <w:szCs w:val="21"/>
                <w:lang w:eastAsia="zh-CN"/>
              </w:rPr>
            </w:pPr>
            <w:r>
              <w:rPr>
                <w:rFonts w:hint="eastAsia" w:ascii="宋体" w:hAnsi="宋体"/>
                <w:b/>
                <w:bCs/>
                <w:sz w:val="30"/>
                <w:szCs w:val="30"/>
              </w:rPr>
              <w:t>资金预算</w:t>
            </w:r>
          </w:p>
        </w:tc>
        <w:tc>
          <w:tcPr>
            <w:tcW w:w="2014" w:type="dxa"/>
            <w:tcBorders>
              <w:top w:val="single" w:color="auto" w:sz="4" w:space="0"/>
              <w:left w:val="nil"/>
              <w:bottom w:val="single" w:color="auto" w:sz="4" w:space="0"/>
              <w:right w:val="single" w:color="auto" w:sz="4" w:space="0"/>
            </w:tcBorders>
            <w:vAlign w:val="center"/>
          </w:tcPr>
          <w:p>
            <w:pPr>
              <w:pStyle w:val="16"/>
              <w:ind w:left="0" w:leftChars="0"/>
              <w:jc w:val="center"/>
              <w:rPr>
                <w:rFonts w:hint="eastAsia" w:ascii="宋体" w:hAnsi="宋体" w:eastAsia="宋体" w:cs="宋体"/>
                <w:b/>
                <w:bCs/>
                <w:color w:val="auto"/>
                <w:sz w:val="21"/>
                <w:szCs w:val="21"/>
              </w:rPr>
            </w:pPr>
            <w:r>
              <w:rPr>
                <w:rFonts w:hint="eastAsia" w:ascii="宋体" w:hAnsi="宋体"/>
                <w:b/>
                <w:bCs/>
                <w:sz w:val="30"/>
                <w:szCs w:val="3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6"/>
              <w:jc w:val="center"/>
              <w:rPr>
                <w:rFonts w:hint="default" w:ascii="宋体" w:hAnsi="宋体" w:eastAsia="宋体" w:cs="宋体"/>
                <w:color w:val="auto"/>
                <w:sz w:val="21"/>
                <w:szCs w:val="21"/>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cs="宋体"/>
                <w:color w:val="auto"/>
                <w:sz w:val="21"/>
                <w:szCs w:val="21"/>
                <w:lang w:val="en-US" w:eastAsia="zh-CN"/>
              </w:rPr>
              <w:t>污物袋采购</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cs="宋体"/>
                <w:color w:val="auto"/>
                <w:sz w:val="21"/>
                <w:szCs w:val="21"/>
                <w:lang w:val="en-US" w:eastAsia="zh-CN"/>
              </w:rPr>
            </w:pPr>
            <w:r>
              <w:rPr>
                <w:rFonts w:hint="eastAsia" w:ascii="宋体" w:hAnsi="宋体"/>
                <w:sz w:val="24"/>
                <w:szCs w:val="24"/>
                <w:lang w:val="en-US" w:eastAsia="zh-CN"/>
              </w:rPr>
              <w:t>详见清单</w:t>
            </w:r>
          </w:p>
        </w:tc>
        <w:tc>
          <w:tcPr>
            <w:tcW w:w="1473"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both"/>
              <w:rPr>
                <w:rFonts w:hint="default" w:cs="宋体"/>
                <w:color w:val="auto"/>
                <w:sz w:val="21"/>
                <w:szCs w:val="21"/>
                <w:lang w:val="en-US" w:eastAsia="zh-CN"/>
              </w:rPr>
            </w:pPr>
            <w:r>
              <w:rPr>
                <w:rFonts w:hint="eastAsia" w:ascii="宋体" w:hAnsi="宋体"/>
                <w:sz w:val="24"/>
                <w:szCs w:val="24"/>
                <w:lang w:val="en-US" w:eastAsia="zh-CN"/>
              </w:rPr>
              <w:t>45万元</w:t>
            </w:r>
          </w:p>
        </w:tc>
        <w:tc>
          <w:tcPr>
            <w:tcW w:w="2014"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75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cs="宋体"/>
                <w:color w:val="auto"/>
                <w:sz w:val="21"/>
                <w:szCs w:val="21"/>
                <w:lang w:val="en-US" w:eastAsia="zh-CN"/>
              </w:rPr>
            </w:pPr>
            <w:r>
              <w:rPr>
                <w:rFonts w:hint="eastAsia" w:cs="宋体"/>
                <w:color w:val="auto"/>
                <w:sz w:val="21"/>
                <w:szCs w:val="21"/>
                <w:lang w:val="en-US" w:eastAsia="zh-CN"/>
              </w:rPr>
              <w:t>备注</w:t>
            </w:r>
          </w:p>
        </w:tc>
        <w:tc>
          <w:tcPr>
            <w:tcW w:w="1736"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lang w:val="en-US" w:eastAsia="zh-CN"/>
              </w:rPr>
              <w:t>招一家供应商</w:t>
            </w:r>
          </w:p>
        </w:tc>
        <w:tc>
          <w:tcPr>
            <w:tcW w:w="1473"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both"/>
              <w:rPr>
                <w:rFonts w:hint="eastAsia" w:ascii="宋体" w:hAnsi="宋体"/>
                <w:sz w:val="24"/>
                <w:szCs w:val="24"/>
                <w:lang w:val="en-US" w:eastAsia="zh-CN"/>
              </w:rPr>
            </w:pPr>
          </w:p>
        </w:tc>
        <w:tc>
          <w:tcPr>
            <w:tcW w:w="2014" w:type="dxa"/>
            <w:tcBorders>
              <w:top w:val="single" w:color="auto" w:sz="4" w:space="0"/>
              <w:left w:val="nil"/>
              <w:bottom w:val="single" w:color="auto" w:sz="4" w:space="0"/>
              <w:right w:val="single" w:color="auto" w:sz="4" w:space="0"/>
            </w:tcBorders>
            <w:vAlign w:val="center"/>
          </w:tcPr>
          <w:p>
            <w:pPr>
              <w:pStyle w:val="16"/>
              <w:ind w:left="0" w:leftChars="0" w:firstLine="0" w:firstLineChars="0"/>
              <w:jc w:val="center"/>
              <w:rPr>
                <w:rFonts w:hint="eastAsia" w:ascii="宋体" w:hAnsi="宋体"/>
                <w:lang w:val="en-US" w:eastAsia="zh-CN"/>
              </w:rPr>
            </w:pPr>
          </w:p>
        </w:tc>
      </w:tr>
    </w:tbl>
    <w:p>
      <w:pPr>
        <w:jc w:val="center"/>
        <w:rPr>
          <w:rFonts w:hint="eastAsia"/>
          <w:b/>
          <w:bCs/>
          <w:sz w:val="36"/>
          <w:szCs w:val="36"/>
          <w:lang w:eastAsia="zh-CN"/>
        </w:rPr>
      </w:pPr>
    </w:p>
    <w:p>
      <w:pPr>
        <w:jc w:val="center"/>
        <w:rPr>
          <w:rFonts w:hint="default"/>
          <w:b/>
          <w:bCs/>
          <w:sz w:val="36"/>
          <w:szCs w:val="36"/>
          <w:lang w:val="en-US" w:eastAsia="zh-CN"/>
        </w:rPr>
      </w:pPr>
      <w:r>
        <w:rPr>
          <w:rFonts w:hint="eastAsia"/>
          <w:b/>
          <w:bCs/>
          <w:sz w:val="36"/>
          <w:szCs w:val="36"/>
          <w:lang w:eastAsia="zh-CN"/>
        </w:rPr>
        <w:t>污物袋采购</w:t>
      </w:r>
      <w:r>
        <w:rPr>
          <w:rFonts w:hint="eastAsia"/>
          <w:b/>
          <w:bCs/>
          <w:sz w:val="36"/>
          <w:szCs w:val="36"/>
          <w:lang w:val="en-US" w:eastAsia="zh-CN"/>
        </w:rPr>
        <w:t>清单</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b w:val="0"/>
          <w:bCs w:val="0"/>
          <w:sz w:val="28"/>
          <w:szCs w:val="28"/>
          <w:lang w:eastAsia="zh-CN"/>
        </w:rPr>
      </w:pPr>
    </w:p>
    <w:tbl>
      <w:tblPr>
        <w:tblStyle w:val="35"/>
        <w:tblW w:w="957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1746"/>
        <w:gridCol w:w="1154"/>
        <w:gridCol w:w="1694"/>
        <w:gridCol w:w="143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286"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品  名</w:t>
            </w:r>
          </w:p>
        </w:tc>
        <w:tc>
          <w:tcPr>
            <w:tcW w:w="1746" w:type="dxa"/>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规格 </w:t>
            </w:r>
          </w:p>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长/宽（cm</w:t>
            </w:r>
            <w:r>
              <w:rPr>
                <w:rFonts w:ascii="宋体" w:hAnsi="宋体" w:eastAsia="宋体" w:cs="宋体"/>
                <w:b/>
                <w:bCs/>
                <w:kern w:val="0"/>
                <w:sz w:val="24"/>
                <w:szCs w:val="24"/>
              </w:rPr>
              <w:t>）</w:t>
            </w:r>
          </w:p>
        </w:tc>
        <w:tc>
          <w:tcPr>
            <w:tcW w:w="1154"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rPr>
              <w:t>单位</w:t>
            </w:r>
          </w:p>
        </w:tc>
        <w:tc>
          <w:tcPr>
            <w:tcW w:w="1694" w:type="dxa"/>
            <w:noWrap w:val="0"/>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每把重量</w:t>
            </w:r>
          </w:p>
          <w:p>
            <w:pPr>
              <w:widowControl/>
              <w:jc w:val="center"/>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w:t>
            </w:r>
            <w:r>
              <w:rPr>
                <w:rFonts w:hint="default" w:ascii="Arial" w:hAnsi="Arial" w:eastAsia="宋体" w:cs="Arial"/>
                <w:b/>
                <w:bCs/>
                <w:kern w:val="0"/>
                <w:sz w:val="24"/>
                <w:szCs w:val="24"/>
                <w:lang w:val="en-US" w:eastAsia="zh-CN" w:bidi="ar-SA"/>
              </w:rPr>
              <w:t>≥</w:t>
            </w:r>
            <w:r>
              <w:rPr>
                <w:rFonts w:hint="eastAsia" w:ascii="宋体" w:hAnsi="宋体" w:eastAsia="宋体" w:cs="宋体"/>
                <w:b/>
                <w:bCs/>
                <w:kern w:val="0"/>
                <w:sz w:val="24"/>
                <w:szCs w:val="24"/>
                <w:lang w:val="en-US" w:eastAsia="zh-CN" w:bidi="ar-SA"/>
              </w:rPr>
              <w:t>克）</w:t>
            </w:r>
          </w:p>
        </w:tc>
        <w:tc>
          <w:tcPr>
            <w:tcW w:w="1430" w:type="dxa"/>
            <w:noWrap w:val="0"/>
            <w:vAlign w:val="center"/>
          </w:tcPr>
          <w:p>
            <w:pPr>
              <w:widowControl/>
              <w:jc w:val="center"/>
              <w:rPr>
                <w:rFonts w:hint="eastAsia"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控制价</w:t>
            </w:r>
          </w:p>
          <w:p>
            <w:pPr>
              <w:jc w:val="center"/>
              <w:rPr>
                <w:rFonts w:hint="eastAsia"/>
                <w:b/>
                <w:bCs/>
                <w:sz w:val="24"/>
                <w:szCs w:val="24"/>
                <w:vertAlign w:val="baseline"/>
                <w:lang w:eastAsia="zh-CN"/>
              </w:rPr>
            </w:pPr>
            <w:r>
              <w:rPr>
                <w:rFonts w:hint="eastAsia" w:ascii="宋体" w:hAnsi="宋体" w:cs="宋体"/>
                <w:b/>
                <w:bCs/>
                <w:kern w:val="0"/>
                <w:sz w:val="24"/>
                <w:szCs w:val="24"/>
                <w:lang w:val="en-US" w:eastAsia="zh-CN" w:bidi="ar-SA"/>
              </w:rPr>
              <w:t>（元）</w:t>
            </w:r>
          </w:p>
        </w:tc>
        <w:tc>
          <w:tcPr>
            <w:tcW w:w="1260"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36#黑污物袋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36*52</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65*110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65*110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1650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40*75</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30*52</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26#黄污物袋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26*34</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大白药袋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29.5*5</w:t>
            </w:r>
            <w:r>
              <w:rPr>
                <w:rFonts w:hint="eastAsia" w:ascii="宋体" w:hAnsi="宋体" w:eastAsia="宋体" w:cs="宋体"/>
                <w:kern w:val="0"/>
                <w:sz w:val="24"/>
                <w:szCs w:val="24"/>
                <w:lang w:val="en-US" w:eastAsia="zh-CN"/>
              </w:rPr>
              <w:t>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小白药袋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19.5*37</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40*70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750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60*100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26#白污物袋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26*40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c>
          <w:tcPr>
            <w:tcW w:w="14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一次性床单</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90x200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c>
          <w:tcPr>
            <w:tcW w:w="169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50</w:t>
            </w:r>
            <w:r>
              <w:rPr>
                <w:rFonts w:hint="eastAsia" w:ascii="宋体" w:hAnsi="宋体" w:eastAsia="宋体" w:cs="宋体"/>
                <w:kern w:val="0"/>
                <w:sz w:val="24"/>
                <w:szCs w:val="24"/>
              </w:rPr>
              <w:t>#黑污物袋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50x80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20x37</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8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白药袋</w:t>
            </w:r>
          </w:p>
        </w:tc>
        <w:tc>
          <w:tcPr>
            <w:tcW w:w="174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30x50</w:t>
            </w:r>
          </w:p>
        </w:tc>
        <w:tc>
          <w:tcPr>
            <w:tcW w:w="1154"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把</w:t>
            </w:r>
          </w:p>
        </w:tc>
        <w:tc>
          <w:tcPr>
            <w:tcW w:w="1694"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700</w:t>
            </w:r>
          </w:p>
        </w:tc>
        <w:tc>
          <w:tcPr>
            <w:tcW w:w="143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26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100/把</w:t>
            </w:r>
          </w:p>
        </w:tc>
      </w:tr>
    </w:tbl>
    <w:p>
      <w:pPr>
        <w:snapToGrid/>
        <w:spacing w:before="0" w:beforeAutospacing="0" w:after="0" w:afterAutospacing="0" w:line="360" w:lineRule="auto"/>
        <w:jc w:val="center"/>
        <w:textAlignment w:val="baseline"/>
        <w:rPr>
          <w:b/>
          <w:bCs/>
          <w:color w:val="auto"/>
          <w:sz w:val="30"/>
          <w:szCs w:val="30"/>
          <w:highlight w:val="none"/>
        </w:rPr>
      </w:pPr>
      <w:r>
        <w:rPr>
          <w:rFonts w:hint="eastAsia" w:ascii="宋体" w:hAnsi="宋体" w:eastAsia="宋体" w:cs="宋体"/>
          <w:color w:val="auto"/>
          <w:kern w:val="2"/>
          <w:sz w:val="21"/>
          <w:szCs w:val="24"/>
          <w:lang w:val="en-US" w:eastAsia="zh-CN" w:bidi="ar-SA"/>
        </w:rPr>
        <w:br w:type="page"/>
      </w:r>
      <w:bookmarkEnd w:id="35"/>
      <w:bookmarkEnd w:id="36"/>
      <w:r>
        <w:rPr>
          <w:rFonts w:hint="eastAsia"/>
          <w:b/>
          <w:bCs/>
          <w:color w:val="auto"/>
          <w:sz w:val="30"/>
          <w:szCs w:val="30"/>
          <w:highlight w:val="none"/>
        </w:rPr>
        <w:t>商务要求</w:t>
      </w:r>
    </w:p>
    <w:tbl>
      <w:tblPr>
        <w:tblStyle w:val="34"/>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日历天</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3"/>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lang w:val="en-US" w:eastAsia="zh-CN"/>
              </w:rPr>
              <w:t>2</w:t>
            </w:r>
            <w:r>
              <w:rPr>
                <w:rFonts w:hint="eastAsia"/>
              </w:rPr>
              <w:t>、授权评标委员会确定一名中标人并推荐</w:t>
            </w:r>
            <w:r>
              <w:rPr>
                <w:rFonts w:hint="eastAsia"/>
                <w:lang w:eastAsia="zh-CN"/>
              </w:rPr>
              <w:t>一</w:t>
            </w:r>
            <w:r>
              <w:rPr>
                <w:rFonts w:hint="eastAsia"/>
              </w:rPr>
              <w:t>名中标候选人。</w:t>
            </w:r>
          </w:p>
          <w:p>
            <w:pPr>
              <w:widowControl/>
              <w:snapToGrid w:val="0"/>
              <w:spacing w:line="360" w:lineRule="auto"/>
              <w:rPr>
                <w:rFonts w:hint="eastAsia"/>
              </w:rPr>
            </w:pPr>
            <w:r>
              <w:rPr>
                <w:rFonts w:hint="eastAsia"/>
                <w:lang w:val="en-US" w:eastAsia="zh-CN"/>
              </w:rPr>
              <w:t>3</w:t>
            </w:r>
            <w:r>
              <w:rPr>
                <w:rFonts w:hint="eastAsia"/>
              </w:rPr>
              <w:t>、供应商应根据</w:t>
            </w:r>
            <w:r>
              <w:rPr>
                <w:rFonts w:hint="eastAsia"/>
                <w:lang w:eastAsia="zh-CN"/>
              </w:rPr>
              <w:t>采购</w:t>
            </w:r>
            <w:r>
              <w:rPr>
                <w:rFonts w:hint="eastAsia"/>
              </w:rPr>
              <w:t>文件的要求提供技术响应表、商务响应表等内容以对</w:t>
            </w:r>
            <w:r>
              <w:rPr>
                <w:rFonts w:hint="eastAsia"/>
                <w:lang w:eastAsia="zh-CN"/>
              </w:rPr>
              <w:t>采购</w:t>
            </w:r>
            <w:r>
              <w:rPr>
                <w:rFonts w:hint="eastAsia"/>
              </w:rPr>
              <w:t>文件作出响应。</w:t>
            </w:r>
          </w:p>
          <w:p>
            <w:pPr>
              <w:widowControl/>
              <w:snapToGrid w:val="0"/>
              <w:spacing w:line="360" w:lineRule="auto"/>
              <w:rPr>
                <w:rFonts w:hint="eastAsia" w:eastAsia="黑体"/>
                <w:lang w:val="en-US" w:eastAsia="zh-CN"/>
              </w:rPr>
            </w:pPr>
            <w:r>
              <w:rPr>
                <w:rFonts w:hint="eastAsia" w:ascii="Times New Roman" w:hAnsi="Times New Roman" w:eastAsia="宋体" w:cs="Times New Roman"/>
                <w:b/>
                <w:bCs/>
                <w:kern w:val="2"/>
                <w:sz w:val="21"/>
                <w:szCs w:val="24"/>
                <w:lang w:val="en-US" w:eastAsia="zh-CN" w:bidi="ar-SA"/>
              </w:rPr>
              <w:t>4、需携带样品。</w:t>
            </w:r>
            <w:r>
              <w:rPr>
                <w:rFonts w:hint="eastAsia"/>
                <w:b/>
                <w:bCs/>
                <w:color w:val="auto"/>
                <w:lang w:val="en-US" w:eastAsia="zh-CN"/>
              </w:rPr>
              <w:t xml:space="preserve">  </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45万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lang w:eastAsia="zh-CN"/>
              </w:rPr>
              <w:t>天</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45万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hAnsi="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3"/>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0"/>
                <w:sz w:val="21"/>
                <w:szCs w:val="21"/>
                <w:highlight w:val="none"/>
                <w:lang w:val="en-US" w:eastAsia="zh-CN"/>
              </w:rPr>
              <w:t>1、产品技术参数（25分）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2、实施方案（15分）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供应商对项目实施方案的整体规划，包括对接方案、</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w:t>
            </w:r>
            <w:r>
              <w:rPr>
                <w:rFonts w:hint="eastAsia" w:ascii="宋体" w:hAnsi="宋体" w:cs="宋体"/>
                <w:b w:val="0"/>
                <w:bCs w:val="0"/>
                <w:color w:val="auto"/>
                <w:kern w:val="0"/>
                <w:sz w:val="21"/>
                <w:szCs w:val="21"/>
                <w:highlight w:val="none"/>
                <w:lang w:val="en-US" w:eastAsia="zh-CN"/>
              </w:rPr>
              <w:t>11-15</w:t>
            </w:r>
            <w:r>
              <w:rPr>
                <w:rFonts w:hint="eastAsia" w:ascii="宋体" w:hAnsi="宋体" w:eastAsia="宋体" w:cs="宋体"/>
                <w:b w:val="0"/>
                <w:bCs w:val="0"/>
                <w:color w:val="auto"/>
                <w:sz w:val="21"/>
                <w:szCs w:val="21"/>
                <w:highlight w:val="none"/>
              </w:rPr>
              <w:t>分；基本详细、基本合理、基本可行的</w:t>
            </w:r>
            <w:r>
              <w:rPr>
                <w:rFonts w:hint="eastAsia" w:ascii="宋体" w:hAnsi="宋体" w:cs="宋体"/>
                <w:b w:val="0"/>
                <w:bCs w:val="0"/>
                <w:color w:val="auto"/>
                <w:kern w:val="0"/>
                <w:sz w:val="21"/>
                <w:szCs w:val="21"/>
                <w:highlight w:val="none"/>
                <w:lang w:val="en-US" w:eastAsia="zh-CN"/>
              </w:rPr>
              <w:t>6-10</w:t>
            </w:r>
            <w:r>
              <w:rPr>
                <w:rFonts w:hint="eastAsia" w:ascii="宋体" w:hAnsi="宋体" w:eastAsia="宋体" w:cs="宋体"/>
                <w:b w:val="0"/>
                <w:bCs w:val="0"/>
                <w:color w:val="auto"/>
                <w:sz w:val="21"/>
                <w:szCs w:val="21"/>
                <w:highlight w:val="none"/>
              </w:rPr>
              <w:t>分；基本详细度、合理性差、可行性差的</w:t>
            </w:r>
            <w:r>
              <w:rPr>
                <w:rFonts w:hint="eastAsia" w:ascii="宋体" w:hAnsi="宋体" w:cs="宋体"/>
                <w:b w:val="0"/>
                <w:bCs w:val="0"/>
                <w:color w:val="auto"/>
                <w:kern w:val="0"/>
                <w:sz w:val="21"/>
                <w:szCs w:val="21"/>
                <w:highlight w:val="none"/>
                <w:lang w:val="en-US" w:eastAsia="zh-CN"/>
              </w:rPr>
              <w:t>1-5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质保期（6分）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3"/>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售后服务体系（15分）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3"/>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13"/>
        <w:rPr>
          <w:rFonts w:hAnsi="宋体"/>
          <w:b/>
          <w:bCs/>
          <w:color w:val="auto"/>
          <w:highlight w:val="none"/>
        </w:rPr>
      </w:pPr>
    </w:p>
    <w:p>
      <w:pPr>
        <w:pStyle w:val="13"/>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3"/>
        <w:spacing w:line="360" w:lineRule="auto"/>
        <w:rPr>
          <w:rFonts w:hint="eastAsia" w:ascii="宋体" w:hAnsi="宋体" w:eastAsia="宋体" w:cs="宋体"/>
          <w:color w:val="auto"/>
          <w:highlight w:val="none"/>
        </w:rPr>
      </w:pPr>
    </w:p>
    <w:p>
      <w:pPr>
        <w:pStyle w:val="1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4"/>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4"/>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3"/>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ascii="宋体" w:hAnsi="宋体" w:eastAsia="宋体" w:cs="宋体"/>
          <w:sz w:val="24"/>
          <w:szCs w:val="24"/>
        </w:rPr>
      </w:pPr>
    </w:p>
    <w:p>
      <w:pPr>
        <w:pStyle w:val="15"/>
        <w:rPr>
          <w:rFonts w:hint="eastAsia" w:ascii="宋体" w:hAnsi="宋体" w:eastAsia="宋体" w:cs="宋体"/>
          <w:sz w:val="24"/>
          <w:szCs w:val="24"/>
        </w:rPr>
      </w:pPr>
    </w:p>
    <w:p>
      <w:pPr>
        <w:rPr>
          <w:rFonts w:hint="eastAsia" w:ascii="宋体" w:hAnsi="宋体" w:eastAsia="宋体" w:cs="宋体"/>
          <w:sz w:val="24"/>
          <w:szCs w:val="24"/>
        </w:rPr>
      </w:pPr>
    </w:p>
    <w:p>
      <w:pPr>
        <w:pStyle w:val="33"/>
        <w:rPr>
          <w:rFonts w:hint="eastAsia"/>
        </w:rPr>
      </w:pPr>
    </w:p>
    <w:p>
      <w:pPr>
        <w:pStyle w:val="51"/>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w:t>
    </w:r>
    <w:r>
      <w:rPr>
        <w:rFonts w:hint="eastAsia" w:ascii="宋体" w:hAnsi="宋体" w:cs="宋体"/>
        <w:color w:val="auto"/>
        <w:lang w:val="en-US" w:eastAsia="zh-CN"/>
      </w:rPr>
      <w:t>污物袋采购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3C74AB"/>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A3DEE"/>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00164"/>
    <w:rsid w:val="1C7971B7"/>
    <w:rsid w:val="1CD402EC"/>
    <w:rsid w:val="1CF02333"/>
    <w:rsid w:val="1D0C33A2"/>
    <w:rsid w:val="1D113E6E"/>
    <w:rsid w:val="1D114E5E"/>
    <w:rsid w:val="1D1F0050"/>
    <w:rsid w:val="1D2222D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62059F"/>
    <w:rsid w:val="2C6634FA"/>
    <w:rsid w:val="2CA71209"/>
    <w:rsid w:val="2CAC022C"/>
    <w:rsid w:val="2CC11807"/>
    <w:rsid w:val="2CF16074"/>
    <w:rsid w:val="2CF81D1B"/>
    <w:rsid w:val="2D3F2453"/>
    <w:rsid w:val="2D835174"/>
    <w:rsid w:val="2DD90B7B"/>
    <w:rsid w:val="2DDD3FC1"/>
    <w:rsid w:val="2DF701D8"/>
    <w:rsid w:val="2DF970A1"/>
    <w:rsid w:val="2E085834"/>
    <w:rsid w:val="2E1034F8"/>
    <w:rsid w:val="2E173A9E"/>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343D8"/>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696E2A"/>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485D02"/>
    <w:rsid w:val="50550E55"/>
    <w:rsid w:val="509F43E4"/>
    <w:rsid w:val="50A54D3E"/>
    <w:rsid w:val="50F1402B"/>
    <w:rsid w:val="50FD2AD9"/>
    <w:rsid w:val="51097D9A"/>
    <w:rsid w:val="51237D2E"/>
    <w:rsid w:val="51996737"/>
    <w:rsid w:val="51B408B8"/>
    <w:rsid w:val="51CC0868"/>
    <w:rsid w:val="51D5340F"/>
    <w:rsid w:val="5217598C"/>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7A124A"/>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323A44"/>
    <w:rsid w:val="5A395E66"/>
    <w:rsid w:val="5A484352"/>
    <w:rsid w:val="5A5321A5"/>
    <w:rsid w:val="5A5F6122"/>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BC7B73"/>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C462B9"/>
    <w:rsid w:val="6CE70FA1"/>
    <w:rsid w:val="6CFA6351"/>
    <w:rsid w:val="6CFC3C40"/>
    <w:rsid w:val="6CFF6BBC"/>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345B2"/>
    <w:rsid w:val="734C1A6A"/>
    <w:rsid w:val="735C5949"/>
    <w:rsid w:val="73737DA5"/>
    <w:rsid w:val="73880040"/>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AA651F"/>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customStyle="1" w:styleId="13">
    <w:name w:val="Default"/>
    <w:next w:val="1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大标题"/>
    <w:basedOn w:val="1"/>
    <w:next w:val="15"/>
    <w:qFormat/>
    <w:uiPriority w:val="0"/>
    <w:pPr>
      <w:jc w:val="center"/>
    </w:pPr>
    <w:rPr>
      <w:rFonts w:ascii="Arial" w:hAnsi="Arial"/>
      <w:b/>
      <w:sz w:val="28"/>
    </w:rPr>
  </w:style>
  <w:style w:type="paragraph" w:styleId="15">
    <w:name w:val="Body Text First Indent 2"/>
    <w:basedOn w:val="16"/>
    <w:next w:val="1"/>
    <w:qFormat/>
    <w:uiPriority w:val="0"/>
    <w:pPr>
      <w:ind w:firstLine="420" w:firstLineChars="200"/>
    </w:pPr>
  </w:style>
  <w:style w:type="paragraph" w:styleId="16">
    <w:name w:val="Body Text Indent"/>
    <w:basedOn w:val="1"/>
    <w:next w:val="17"/>
    <w:qFormat/>
    <w:uiPriority w:val="0"/>
    <w:pPr>
      <w:widowControl/>
      <w:spacing w:beforeAutospacing="1" w:afterAutospacing="1"/>
      <w:jc w:val="left"/>
    </w:pPr>
    <w:rPr>
      <w:rFonts w:ascii="宋体" w:hAnsi="宋体" w:cs="宋体"/>
      <w:kern w:val="0"/>
      <w:sz w:val="24"/>
    </w:rPr>
  </w:style>
  <w:style w:type="paragraph" w:customStyle="1" w:styleId="1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12"/>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12"/>
    <w:next w:val="15"/>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无间隔1"/>
    <w:basedOn w:val="1"/>
    <w:qFormat/>
    <w:uiPriority w:val="1"/>
    <w:pPr>
      <w:spacing w:line="400" w:lineRule="exact"/>
    </w:pPr>
    <w:rPr>
      <w:sz w:val="24"/>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12"/>
    <w:qFormat/>
    <w:uiPriority w:val="0"/>
  </w:style>
  <w:style w:type="character" w:customStyle="1" w:styleId="74">
    <w:name w:val="apple-converted-space"/>
    <w:basedOn w:val="36"/>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14687</Words>
  <Characters>15539</Characters>
  <Lines>50</Lines>
  <Paragraphs>68</Paragraphs>
  <TotalTime>0</TotalTime>
  <ScaleCrop>false</ScaleCrop>
  <LinksUpToDate>false</LinksUpToDate>
  <CharactersWithSpaces>16506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2023-09-05T08:56:26Z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562A285641654D2EA086C4325B3B203C</vt:lpwstr>
  </property>
</Properties>
</file>