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驻马店市中心医院锐珂DR球管紧急采购项目</w:t>
      </w:r>
    </w:p>
    <w:p>
      <w:pPr>
        <w:pStyle w:val="21"/>
        <w:bidi w:val="0"/>
        <w:jc w:val="center"/>
        <w:rPr>
          <w:rStyle w:val="44"/>
          <w:rFonts w:hint="eastAsia" w:ascii="宋体" w:hAnsi="宋体" w:eastAsia="宋体" w:cs="宋体"/>
          <w:b/>
          <w:bCs/>
          <w:color w:val="auto"/>
          <w:sz w:val="48"/>
          <w:szCs w:val="48"/>
          <w:highlight w:val="none"/>
        </w:rPr>
      </w:pPr>
    </w:p>
    <w:p>
      <w:pPr>
        <w:pStyle w:val="21"/>
        <w:bidi w:val="0"/>
        <w:jc w:val="center"/>
        <w:rPr>
          <w:rStyle w:val="44"/>
          <w:rFonts w:hint="eastAsia" w:ascii="宋体" w:hAnsi="宋体" w:eastAsia="宋体" w:cs="宋体"/>
          <w:b/>
          <w:bCs/>
          <w:color w:val="auto"/>
          <w:sz w:val="48"/>
          <w:szCs w:val="48"/>
          <w:highlight w:val="none"/>
        </w:rPr>
      </w:pPr>
    </w:p>
    <w:p>
      <w:pPr>
        <w:pStyle w:val="21"/>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2"/>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9</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紧急采购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驻马店市中心医院锐珂DR球管采购项目紧急采购</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val="en-US" w:eastAsia="zh-CN"/>
        </w:rPr>
        <w:t>锐珂DR球管采购项目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锐珂DR球管采购项目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6079"/>
      <w:bookmarkStart w:id="10" w:name="_Toc21071"/>
      <w:bookmarkStart w:id="11" w:name="_Toc24040"/>
      <w:bookmarkStart w:id="12" w:name="_Toc19521"/>
      <w:bookmarkStart w:id="13" w:name="_Toc27913"/>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8607"/>
      <w:bookmarkStart w:id="15" w:name="_Toc23626"/>
      <w:bookmarkStart w:id="16" w:name="_Toc16639"/>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sz w:val="24"/>
          <w:szCs w:val="28"/>
          <w:lang w:val="en-US" w:eastAsia="zh-CN"/>
        </w:rPr>
        <w:t>；</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w:t>
      </w:r>
      <w:r>
        <w:rPr>
          <w:rFonts w:hint="eastAsia" w:ascii="宋体" w:hAnsi="宋体" w:cs="宋体"/>
          <w:color w:val="auto"/>
          <w:sz w:val="24"/>
          <w:szCs w:val="28"/>
          <w:lang w:val="en-US" w:eastAsia="zh-CN"/>
        </w:rPr>
        <w:t>3、</w:t>
      </w:r>
      <w:r>
        <w:rPr>
          <w:rFonts w:hint="eastAsia" w:ascii="宋体" w:hAnsi="宋体" w:eastAsia="宋体" w:cs="宋体"/>
          <w:color w:val="auto"/>
          <w:sz w:val="24"/>
          <w:szCs w:val="28"/>
          <w:lang w:val="en-US" w:eastAsia="zh-CN"/>
        </w:rPr>
        <w:t>具有履行合同所必需的设备和专业技术能力（提供书面声明函）</w:t>
      </w:r>
      <w:r>
        <w:rPr>
          <w:rFonts w:hint="eastAsia" w:ascii="宋体" w:hAnsi="宋体" w:cs="宋体"/>
          <w:color w:val="auto"/>
          <w:sz w:val="24"/>
          <w:szCs w:val="28"/>
          <w:lang w:val="en-US" w:eastAsia="zh-CN"/>
        </w:rPr>
        <w:t>；</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w:t>
      </w:r>
      <w:r>
        <w:rPr>
          <w:rFonts w:hint="eastAsia" w:ascii="宋体" w:hAnsi="宋体" w:cs="宋体"/>
          <w:color w:val="auto"/>
          <w:sz w:val="24"/>
          <w:szCs w:val="28"/>
          <w:lang w:val="en-US" w:eastAsia="zh-CN"/>
        </w:rPr>
        <w:t>、</w:t>
      </w:r>
      <w:r>
        <w:rPr>
          <w:rFonts w:hint="eastAsia" w:ascii="宋体" w:hAnsi="宋体" w:eastAsia="宋体" w:cs="宋体"/>
          <w:color w:val="auto"/>
          <w:sz w:val="24"/>
          <w:szCs w:val="28"/>
          <w:lang w:val="en-US" w:eastAsia="zh-CN"/>
        </w:rPr>
        <w:t>参加本采购活动前三年内，在经营活动中没有重大违法记录（提供书面声明函）</w:t>
      </w:r>
      <w:r>
        <w:rPr>
          <w:rFonts w:hint="eastAsia" w:ascii="宋体" w:hAnsi="宋体" w:cs="宋体"/>
          <w:color w:val="auto"/>
          <w:sz w:val="24"/>
          <w:szCs w:val="28"/>
          <w:lang w:val="en-US" w:eastAsia="zh-CN"/>
        </w:rPr>
        <w:t>；</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5、</w:t>
      </w:r>
      <w:r>
        <w:rPr>
          <w:rFonts w:hint="eastAsia" w:ascii="宋体" w:hAnsi="宋体" w:eastAsia="宋体" w:cs="宋体"/>
          <w:color w:val="auto"/>
          <w:sz w:val="24"/>
          <w:szCs w:val="28"/>
          <w:lang w:val="en-US" w:eastAsia="zh-CN"/>
        </w:rPr>
        <w:t>符合法律、行政法规规定的其他条件</w:t>
      </w:r>
      <w:r>
        <w:rPr>
          <w:rFonts w:hint="eastAsia" w:ascii="宋体" w:hAnsi="宋体" w:cs="宋体"/>
          <w:color w:val="auto"/>
          <w:sz w:val="24"/>
          <w:szCs w:val="28"/>
          <w:lang w:val="en-US" w:eastAsia="zh-CN"/>
        </w:rPr>
        <w:t>；</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8"/>
          <w:lang w:val="en-US" w:eastAsia="zh-CN"/>
        </w:rPr>
        <w:t>；</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7、投标人须具有医疗器械经营许可证，是在中华人民共和国境内注册的制造厂商或制造厂商授权的单位或具备相关设备维修能力的单位（提供证明文件）；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8</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9562"/>
      <w:bookmarkStart w:id="19" w:name="_Toc30643"/>
      <w:bookmarkStart w:id="20" w:name="_Toc23395"/>
      <w:bookmarkStart w:id="21" w:name="_Toc7823"/>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w:t>
      </w:r>
      <w:r>
        <w:rPr>
          <w:rFonts w:hint="eastAsia" w:ascii="宋体" w:hAnsi="宋体" w:eastAsia="宋体" w:cs="宋体"/>
          <w:color w:val="FF0000"/>
          <w:sz w:val="24"/>
          <w:szCs w:val="24"/>
          <w:highlight w:val="none"/>
          <w:shd w:val="clear" w:color="auto" w:fill="FFFFFF"/>
        </w:rPr>
        <w:t>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w:t>
      </w:r>
      <w:r>
        <w:rPr>
          <w:rFonts w:hint="eastAsia" w:ascii="宋体" w:hAnsi="宋体" w:cs="宋体"/>
          <w:color w:val="FF0000"/>
          <w:sz w:val="24"/>
          <w:szCs w:val="24"/>
          <w:highlight w:val="none"/>
          <w:shd w:val="clear" w:color="auto" w:fill="FFFFFF"/>
          <w:lang w:val="en-US" w:eastAsia="zh-CN"/>
        </w:rPr>
        <w:t>9</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6</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eastAsia="宋体" w:cs="宋体"/>
          <w:color w:val="FF0000"/>
          <w:sz w:val="24"/>
          <w:szCs w:val="24"/>
          <w:highlight w:val="none"/>
          <w:shd w:val="clear" w:color="auto" w:fill="FFFFFF"/>
          <w:lang w:val="en-US" w:eastAsia="zh-CN"/>
        </w:rPr>
        <w:t>0</w:t>
      </w:r>
      <w:r>
        <w:rPr>
          <w:rFonts w:hint="eastAsia" w:ascii="宋体" w:hAnsi="宋体" w:cs="宋体"/>
          <w:color w:val="FF0000"/>
          <w:sz w:val="24"/>
          <w:szCs w:val="24"/>
          <w:highlight w:val="none"/>
          <w:shd w:val="clear" w:color="auto" w:fill="FFFFFF"/>
          <w:lang w:val="en-US" w:eastAsia="zh-CN"/>
        </w:rPr>
        <w:t>9</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7</w:t>
      </w:r>
      <w:r>
        <w:rPr>
          <w:rFonts w:hint="eastAsia" w:ascii="宋体" w:hAnsi="宋体" w:eastAsia="宋体" w:cs="宋体"/>
          <w:color w:val="FF0000"/>
          <w:sz w:val="24"/>
          <w:szCs w:val="24"/>
          <w:highlight w:val="none"/>
          <w:shd w:val="clear" w:color="auto" w:fill="FFFFFF"/>
        </w:rPr>
        <w:t>日，</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上</w:t>
      </w:r>
      <w:r>
        <w:rPr>
          <w:rFonts w:hint="eastAsia" w:ascii="宋体" w:hAnsi="宋体" w:eastAsia="宋体" w:cs="宋体"/>
          <w:color w:val="000000" w:themeColor="text1"/>
          <w:sz w:val="24"/>
          <w:szCs w:val="24"/>
          <w:shd w:val="clear" w:color="auto" w:fill="FFFFFF"/>
          <w14:textFill>
            <w14:solidFill>
              <w14:schemeClr w14:val="tx1"/>
            </w14:solidFill>
          </w14:textFill>
        </w:rPr>
        <w:t>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4"/>
          <w:szCs w:val="24"/>
          <w:highlight w:val="none"/>
          <w:shd w:val="clear" w:color="auto" w:fill="FFFFFF"/>
          <w:lang w:val="en-US" w:eastAsia="zh-CN" w:bidi="ar-SA"/>
          <w14:textFill>
            <w14:solidFill>
              <w14:schemeClr w14:val="tx1"/>
            </w14:solidFill>
          </w14:textFill>
        </w:rPr>
        <w:t>1150105437</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项目XX</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公司</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10738"/>
      <w:bookmarkStart w:id="25" w:name="_Toc25869"/>
      <w:bookmarkStart w:id="26" w:name="_Toc15111"/>
      <w:bookmarkStart w:id="27" w:name="_Toc27480"/>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9</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8</w:t>
      </w:r>
      <w:r>
        <w:rPr>
          <w:rFonts w:hint="eastAsia" w:ascii="宋体" w:hAnsi="宋体" w:eastAsia="宋体" w:cs="宋体"/>
          <w:color w:val="FF0000"/>
          <w:sz w:val="24"/>
          <w:szCs w:val="24"/>
          <w:highlight w:val="none"/>
          <w:shd w:val="clear" w:color="auto" w:fill="FFFFFF"/>
        </w:rPr>
        <w:t>日</w:t>
      </w:r>
      <w:r>
        <w:rPr>
          <w:rFonts w:hint="eastAsia" w:ascii="宋体" w:hAnsi="宋体" w:cs="宋体"/>
          <w:color w:val="FF0000"/>
          <w:sz w:val="24"/>
          <w:szCs w:val="24"/>
          <w:highlight w:val="none"/>
          <w:shd w:val="clear" w:color="auto" w:fill="FFFFFF"/>
          <w:lang w:val="en-US" w:eastAsia="zh-CN"/>
        </w:rPr>
        <w:t>下午3时</w:t>
      </w:r>
      <w:bookmarkStart w:id="88" w:name="_GoBack"/>
      <w:bookmarkEnd w:id="88"/>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cs="宋体"/>
          <w:color w:val="000000" w:themeColor="text1"/>
          <w:sz w:val="24"/>
          <w:szCs w:val="24"/>
          <w:shd w:val="clear" w:color="auto" w:fill="auto"/>
          <w:lang w:val="en-US" w:eastAsia="zh-CN"/>
          <w14:textFill>
            <w14:solidFill>
              <w14:schemeClr w14:val="tx1"/>
            </w14:solidFill>
          </w14:textFill>
        </w:rPr>
        <w:t>驻马店市中心医院门诊楼七楼小会议室</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6523"/>
      <w:bookmarkStart w:id="29" w:name="_Toc30918"/>
      <w:bookmarkStart w:id="30" w:name="_Toc29784"/>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16291"/>
      <w:bookmarkStart w:id="34" w:name="_Toc27370"/>
      <w:bookmarkStart w:id="35" w:name="_Toc31928"/>
      <w:bookmarkStart w:id="36" w:name="_Toc3604"/>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王女士</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联系电话：0396-2858369    </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18639627370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监督电话：0396-2726678</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FF0000"/>
          <w:kern w:val="0"/>
          <w:sz w:val="24"/>
          <w:szCs w:val="24"/>
          <w:shd w:val="clear" w:color="auto" w:fill="FFFFFF"/>
          <w:lang w:val="en-US" w:eastAsia="zh-CN" w:bidi="ar-SA"/>
        </w:rPr>
      </w:pPr>
      <w:r>
        <w:rPr>
          <w:rFonts w:hint="eastAsia" w:ascii="宋体" w:hAnsi="宋体" w:eastAsia="宋体" w:cs="宋体"/>
          <w:color w:val="FF0000"/>
          <w:kern w:val="0"/>
          <w:sz w:val="24"/>
          <w:szCs w:val="24"/>
          <w:shd w:val="clear" w:color="auto" w:fill="FFFFFF"/>
          <w:lang w:val="en-US" w:eastAsia="zh-CN" w:bidi="ar-SA"/>
        </w:rPr>
        <w:t>驻马店市中心医院采购科</w:t>
      </w:r>
    </w:p>
    <w:p>
      <w:pPr>
        <w:keepNext w:val="0"/>
        <w:keepLines w:val="0"/>
        <w:pageBreakBefore w:val="0"/>
        <w:kinsoku/>
        <w:overflowPunct/>
        <w:topLinePunct w:val="0"/>
        <w:bidi w:val="0"/>
        <w:spacing w:line="336" w:lineRule="auto"/>
        <w:jc w:val="right"/>
        <w:textAlignment w:val="auto"/>
        <w:rPr>
          <w:rFonts w:hint="eastAsia"/>
          <w:color w:val="FF0000"/>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cs="宋体"/>
          <w:color w:val="FF0000"/>
          <w:kern w:val="0"/>
          <w:sz w:val="24"/>
          <w:szCs w:val="24"/>
          <w:highlight w:val="none"/>
          <w:shd w:val="clear" w:color="auto" w:fill="FFFFFF"/>
          <w:lang w:val="en-US" w:eastAsia="zh-CN" w:bidi="ar-SA"/>
        </w:rPr>
        <w:t>9</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5</w:t>
      </w:r>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p>
    <w:p>
      <w:pPr>
        <w:keepNext w:val="0"/>
        <w:keepLines w:val="0"/>
        <w:pageBreakBefore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eastAsia="宋体" w:cs="宋体"/>
          <w:b w:val="0"/>
          <w:bCs w:val="0"/>
          <w:color w:val="auto"/>
          <w:kern w:val="0"/>
          <w:sz w:val="24"/>
          <w:szCs w:val="24"/>
          <w:highlight w:val="none"/>
          <w:u w:val="none"/>
          <w:shd w:val="clear" w:color="auto" w:fill="FFFFFF"/>
          <w:lang w:val="en-US" w:eastAsia="zh-CN" w:bidi="ar-SA"/>
        </w:rPr>
        <w:t>锐珂DR球管</w:t>
      </w:r>
      <w:r>
        <w:rPr>
          <w:rFonts w:hint="eastAsia" w:ascii="宋体" w:hAnsi="宋体" w:cs="宋体"/>
          <w:b w:val="0"/>
          <w:bCs w:val="0"/>
          <w:color w:val="auto"/>
          <w:kern w:val="0"/>
          <w:sz w:val="24"/>
          <w:szCs w:val="24"/>
          <w:highlight w:val="none"/>
          <w:u w:val="none"/>
          <w:shd w:val="clear" w:color="auto" w:fill="FFFFFF"/>
          <w:lang w:val="en-US" w:eastAsia="zh-CN" w:bidi="ar-SA"/>
        </w:rPr>
        <w:t>紧急</w:t>
      </w:r>
      <w:r>
        <w:rPr>
          <w:rFonts w:hint="eastAsia" w:ascii="宋体" w:hAnsi="宋体" w:eastAsia="宋体" w:cs="宋体"/>
          <w:b w:val="0"/>
          <w:bCs w:val="0"/>
          <w:color w:val="auto"/>
          <w:kern w:val="0"/>
          <w:sz w:val="24"/>
          <w:szCs w:val="24"/>
          <w:highlight w:val="none"/>
          <w:u w:val="none"/>
          <w:shd w:val="clear" w:color="auto" w:fill="FFFFFF"/>
          <w:lang w:val="en-US" w:eastAsia="zh-CN" w:bidi="ar-SA"/>
        </w:rPr>
        <w:t>采购项目</w:t>
      </w:r>
      <w:r>
        <w:rPr>
          <w:rFonts w:hint="eastAsia" w:ascii="宋体" w:hAnsi="宋体" w:eastAsia="宋体" w:cs="宋体"/>
          <w:b/>
          <w:bCs/>
          <w:color w:val="auto"/>
          <w:kern w:val="0"/>
          <w:sz w:val="24"/>
          <w:szCs w:val="24"/>
          <w:highlight w:val="none"/>
          <w:u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lang w:val="en-US" w:eastAsia="zh-CN" w:bidi="ar-SA"/>
        </w:rPr>
        <w:t xml:space="preserve">对锐珂DR维修进行球管更换  </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18" w:type="dxa"/>
            <w:tcBorders>
              <w:top w:val="single" w:color="auto" w:sz="4" w:space="0"/>
              <w:left w:val="nil"/>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标的名称</w:t>
            </w:r>
          </w:p>
        </w:tc>
        <w:tc>
          <w:tcPr>
            <w:tcW w:w="1736" w:type="dxa"/>
            <w:tcBorders>
              <w:top w:val="single" w:color="auto" w:sz="4" w:space="0"/>
              <w:left w:val="nil"/>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73" w:type="dxa"/>
            <w:tcBorders>
              <w:top w:val="single" w:color="auto" w:sz="4" w:space="0"/>
              <w:left w:val="nil"/>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资金预算</w:t>
            </w:r>
          </w:p>
        </w:tc>
        <w:tc>
          <w:tcPr>
            <w:tcW w:w="1554" w:type="dxa"/>
            <w:tcBorders>
              <w:top w:val="single" w:color="auto" w:sz="4" w:space="0"/>
              <w:left w:val="nil"/>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top"/>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锐珂DR球管</w:t>
            </w:r>
          </w:p>
        </w:tc>
        <w:tc>
          <w:tcPr>
            <w:tcW w:w="1736" w:type="dxa"/>
            <w:tcBorders>
              <w:top w:val="single" w:color="auto" w:sz="4" w:space="0"/>
              <w:left w:val="nil"/>
              <w:bottom w:val="single" w:color="auto" w:sz="4" w:space="0"/>
              <w:right w:val="single" w:color="auto" w:sz="4" w:space="0"/>
            </w:tcBorders>
            <w:vAlign w:val="top"/>
          </w:tcPr>
          <w:p>
            <w:pPr>
              <w:pStyle w:val="12"/>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73" w:type="dxa"/>
            <w:tcBorders>
              <w:top w:val="single" w:color="auto" w:sz="4" w:space="0"/>
              <w:left w:val="nil"/>
              <w:bottom w:val="single" w:color="auto" w:sz="4" w:space="0"/>
              <w:right w:val="single" w:color="auto" w:sz="4" w:space="0"/>
            </w:tcBorders>
            <w:vAlign w:val="top"/>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13万元</w:t>
            </w:r>
          </w:p>
        </w:tc>
        <w:tc>
          <w:tcPr>
            <w:tcW w:w="1554" w:type="dxa"/>
            <w:tcBorders>
              <w:top w:val="single" w:color="auto" w:sz="4" w:space="0"/>
              <w:left w:val="nil"/>
              <w:bottom w:val="single" w:color="auto" w:sz="4" w:space="0"/>
              <w:right w:val="single" w:color="auto" w:sz="4" w:space="0"/>
            </w:tcBorders>
            <w:vAlign w:val="top"/>
          </w:tcPr>
          <w:p>
            <w:pPr>
              <w:pStyle w:val="12"/>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2"/>
              <w:keepNext w:val="0"/>
              <w:keepLines w:val="0"/>
              <w:pageBreakBefore w:val="0"/>
              <w:kinsoku/>
              <w:wordWrap/>
              <w:overflowPunct/>
              <w:topLinePunct w:val="0"/>
              <w:autoSpaceDE/>
              <w:autoSpaceDN/>
              <w:bidi w:val="0"/>
              <w:adjustRightInd/>
              <w:spacing w:beforeAutospacing="0" w:afterAutospacing="0"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t>合计</w:t>
            </w:r>
          </w:p>
        </w:tc>
        <w:tc>
          <w:tcPr>
            <w:tcW w:w="2718" w:type="dxa"/>
            <w:tcBorders>
              <w:top w:val="single" w:color="auto" w:sz="4" w:space="0"/>
              <w:left w:val="nil"/>
              <w:bottom w:val="single" w:color="auto" w:sz="4" w:space="0"/>
              <w:right w:val="single" w:color="auto" w:sz="4" w:space="0"/>
            </w:tcBorders>
          </w:tcPr>
          <w:p>
            <w:pPr>
              <w:pStyle w:val="12"/>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sz w:val="24"/>
                <w:szCs w:val="24"/>
              </w:rPr>
            </w:pPr>
          </w:p>
        </w:tc>
        <w:tc>
          <w:tcPr>
            <w:tcW w:w="1736" w:type="dxa"/>
            <w:tcBorders>
              <w:top w:val="single" w:color="auto" w:sz="4" w:space="0"/>
              <w:left w:val="nil"/>
              <w:bottom w:val="single" w:color="auto" w:sz="4" w:space="0"/>
              <w:right w:val="single" w:color="auto" w:sz="4" w:space="0"/>
            </w:tcBorders>
          </w:tcPr>
          <w:p>
            <w:pPr>
              <w:pStyle w:val="12"/>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sz w:val="24"/>
                <w:szCs w:val="24"/>
              </w:rPr>
            </w:pPr>
          </w:p>
        </w:tc>
        <w:tc>
          <w:tcPr>
            <w:tcW w:w="1473" w:type="dxa"/>
            <w:tcBorders>
              <w:top w:val="single" w:color="auto" w:sz="4" w:space="0"/>
              <w:left w:val="nil"/>
              <w:bottom w:val="single" w:color="auto" w:sz="4" w:space="0"/>
              <w:right w:val="single" w:color="auto" w:sz="4" w:space="0"/>
            </w:tcBorders>
          </w:tcPr>
          <w:p>
            <w:pPr>
              <w:pStyle w:val="12"/>
              <w:keepNext w:val="0"/>
              <w:keepLines w:val="0"/>
              <w:pageBreakBefore w:val="0"/>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13万元</w:t>
            </w:r>
          </w:p>
        </w:tc>
        <w:tc>
          <w:tcPr>
            <w:tcW w:w="1554" w:type="dxa"/>
            <w:tcBorders>
              <w:top w:val="single" w:color="auto" w:sz="4" w:space="0"/>
              <w:left w:val="nil"/>
              <w:bottom w:val="single" w:color="auto" w:sz="4" w:space="0"/>
              <w:right w:val="single" w:color="auto" w:sz="4" w:space="0"/>
            </w:tcBorders>
          </w:tcPr>
          <w:p>
            <w:pPr>
              <w:pStyle w:val="12"/>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sz w:val="24"/>
                <w:szCs w:val="24"/>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四</w:t>
      </w:r>
      <w:r>
        <w:rPr>
          <w:rFonts w:hint="eastAsia" w:ascii="宋体" w:hAnsi="宋体" w:eastAsia="宋体" w:cs="宋体"/>
          <w:b/>
          <w:bCs/>
          <w:kern w:val="2"/>
          <w:sz w:val="24"/>
          <w:szCs w:val="24"/>
          <w:highlight w:val="none"/>
          <w:lang w:val="en-US" w:eastAsia="zh-CN" w:bidi="ar-SA"/>
        </w:rPr>
        <w:t>、详细</w:t>
      </w:r>
      <w:r>
        <w:rPr>
          <w:rFonts w:hint="eastAsia" w:ascii="宋体" w:hAnsi="宋体" w:eastAsia="宋体" w:cs="宋体"/>
          <w:b/>
          <w:bCs/>
          <w:color w:val="auto"/>
          <w:kern w:val="0"/>
          <w:sz w:val="24"/>
          <w:szCs w:val="24"/>
          <w:highlight w:val="none"/>
          <w:shd w:val="clear" w:color="auto" w:fill="FFFFFF"/>
          <w:lang w:val="en-US" w:eastAsia="zh-CN" w:bidi="ar-SA"/>
        </w:rPr>
        <w:t>技术参数及产品资料等：</w:t>
      </w:r>
    </w:p>
    <w:bookmarkEnd w:id="6"/>
    <w:bookmarkEnd w:id="7"/>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1．原装进口全新球管，球管型号RAD-60，匹配锐珂DR（DR型号：DRX-Evolution）</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2．双焦点， 焦点规格：小焦点≤0.6毫米，大焦点≤1.2毫米</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3．小焦点功率≥40千瓦，大焦点功率≥100千瓦</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4.阳极热容量≥400kHu，阳极散热率≥100khu/min，高速旋转阳极，阳极转速≥8500转/分钟</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5．符合原机型产品注册证，为全新进口RAD-60，须提供球管海关进口报关单。</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 按要求达到原机质量要求，符合国家法规规定和检测合格。</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7．安装球管后要完成球管规定的校准调试，需提供安装工程师原厂培训认证证书。</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8．备件的供应渠道必须符合国家相关法律法规，不会给设备和操作人员带来危害。</w:t>
      </w:r>
    </w:p>
    <w:p>
      <w:pPr>
        <w:pStyle w:val="2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五、售后服务条件及交货日期（或工期）</w:t>
      </w:r>
      <w:r>
        <w:rPr>
          <w:rFonts w:hint="eastAsia" w:ascii="宋体" w:hAnsi="宋体" w:eastAsia="宋体" w:cs="宋体"/>
          <w:b/>
          <w:bCs/>
          <w:color w:val="auto"/>
          <w:sz w:val="24"/>
          <w:szCs w:val="24"/>
          <w:highlight w:val="none"/>
        </w:rPr>
        <w:t>：</w:t>
      </w:r>
    </w:p>
    <w:p>
      <w:pPr>
        <w:pStyle w:val="88"/>
        <w:keepNext w:val="0"/>
        <w:keepLines w:val="0"/>
        <w:pageBreakBefore w:val="0"/>
        <w:kinsoku/>
        <w:wordWrap/>
        <w:overflowPunct/>
        <w:topLinePunct w:val="0"/>
        <w:autoSpaceDE/>
        <w:autoSpaceDN/>
        <w:bidi w:val="0"/>
        <w:adjustRightInd/>
        <w:spacing w:beforeAutospacing="0" w:afterAutospacing="0" w:line="360" w:lineRule="auto"/>
        <w:ind w:right="84" w:rightChars="40"/>
        <w:textAlignment w:val="auto"/>
        <w:rPr>
          <w:rFonts w:hint="eastAsia" w:ascii="宋体" w:hAnsi="宋体" w:eastAsia="宋体" w:cs="宋体"/>
          <w:sz w:val="24"/>
          <w:szCs w:val="24"/>
        </w:rPr>
      </w:pPr>
      <w:r>
        <w:rPr>
          <w:rFonts w:hint="eastAsia" w:ascii="宋体" w:hAnsi="宋体" w:eastAsia="宋体" w:cs="宋体"/>
          <w:sz w:val="24"/>
          <w:szCs w:val="24"/>
        </w:rPr>
        <w:t>1.交货地点：医院指定地点。</w:t>
      </w:r>
    </w:p>
    <w:p>
      <w:pPr>
        <w:pStyle w:val="88"/>
        <w:keepNext w:val="0"/>
        <w:keepLines w:val="0"/>
        <w:pageBreakBefore w:val="0"/>
        <w:kinsoku/>
        <w:wordWrap/>
        <w:overflowPunct/>
        <w:topLinePunct w:val="0"/>
        <w:autoSpaceDE/>
        <w:autoSpaceDN/>
        <w:bidi w:val="0"/>
        <w:adjustRightInd/>
        <w:spacing w:beforeAutospacing="0" w:afterAutospacing="0" w:line="360" w:lineRule="auto"/>
        <w:ind w:right="84" w:rightChars="40"/>
        <w:textAlignment w:val="auto"/>
        <w:rPr>
          <w:rFonts w:hint="eastAsia" w:ascii="宋体" w:hAnsi="宋体" w:eastAsia="宋体" w:cs="宋体"/>
          <w:sz w:val="24"/>
          <w:szCs w:val="24"/>
        </w:rPr>
      </w:pPr>
      <w:r>
        <w:rPr>
          <w:rFonts w:hint="eastAsia" w:ascii="宋体" w:hAnsi="宋体" w:eastAsia="宋体" w:cs="宋体"/>
          <w:sz w:val="24"/>
          <w:szCs w:val="24"/>
        </w:rPr>
        <w:t>2.付款条件：安装验收完成后付款90%，质保期结束后付款10%。</w:t>
      </w:r>
    </w:p>
    <w:p>
      <w:pPr>
        <w:pStyle w:val="88"/>
        <w:keepNext w:val="0"/>
        <w:keepLines w:val="0"/>
        <w:pageBreakBefore w:val="0"/>
        <w:kinsoku/>
        <w:wordWrap/>
        <w:overflowPunct/>
        <w:topLinePunct w:val="0"/>
        <w:autoSpaceDE/>
        <w:autoSpaceDN/>
        <w:bidi w:val="0"/>
        <w:adjustRightInd/>
        <w:spacing w:beforeAutospacing="0" w:afterAutospacing="0" w:line="360" w:lineRule="auto"/>
        <w:ind w:right="84" w:rightChars="40"/>
        <w:textAlignment w:val="auto"/>
        <w:rPr>
          <w:rFonts w:hint="eastAsia" w:ascii="宋体" w:hAnsi="宋体" w:eastAsia="宋体" w:cs="宋体"/>
          <w:sz w:val="24"/>
          <w:szCs w:val="24"/>
        </w:rPr>
      </w:pPr>
      <w:r>
        <w:rPr>
          <w:rFonts w:hint="eastAsia" w:ascii="宋体" w:hAnsi="宋体" w:eastAsia="宋体" w:cs="宋体"/>
          <w:sz w:val="24"/>
          <w:szCs w:val="24"/>
        </w:rPr>
        <w:t>3.包装和运输：中标方承担包装和运输费用。</w:t>
      </w:r>
    </w:p>
    <w:p>
      <w:pPr>
        <w:pStyle w:val="88"/>
        <w:keepNext w:val="0"/>
        <w:keepLines w:val="0"/>
        <w:pageBreakBefore w:val="0"/>
        <w:kinsoku/>
        <w:wordWrap/>
        <w:overflowPunct/>
        <w:topLinePunct w:val="0"/>
        <w:autoSpaceDE/>
        <w:autoSpaceDN/>
        <w:bidi w:val="0"/>
        <w:adjustRightInd/>
        <w:spacing w:beforeAutospacing="0" w:afterAutospacing="0" w:line="360" w:lineRule="auto"/>
        <w:ind w:right="84" w:rightChars="40"/>
        <w:textAlignment w:val="auto"/>
        <w:rPr>
          <w:rFonts w:hint="eastAsia" w:ascii="宋体" w:hAnsi="宋体" w:eastAsia="宋体" w:cs="宋体"/>
          <w:sz w:val="24"/>
          <w:szCs w:val="24"/>
        </w:rPr>
      </w:pPr>
      <w:r>
        <w:rPr>
          <w:rFonts w:hint="eastAsia" w:ascii="宋体" w:hAnsi="宋体" w:eastAsia="宋体" w:cs="宋体"/>
          <w:sz w:val="24"/>
          <w:szCs w:val="24"/>
        </w:rPr>
        <w:t>4.质保一年或10万次曝光（以先达到为止）。</w:t>
      </w:r>
    </w:p>
    <w:p>
      <w:pPr>
        <w:pStyle w:val="88"/>
        <w:keepNext w:val="0"/>
        <w:keepLines w:val="0"/>
        <w:pageBreakBefore w:val="0"/>
        <w:kinsoku/>
        <w:wordWrap/>
        <w:overflowPunct/>
        <w:topLinePunct w:val="0"/>
        <w:autoSpaceDE/>
        <w:autoSpaceDN/>
        <w:bidi w:val="0"/>
        <w:adjustRightInd/>
        <w:spacing w:beforeAutospacing="0" w:afterAutospacing="0" w:line="360" w:lineRule="auto"/>
        <w:ind w:right="84" w:rightChars="40"/>
        <w:textAlignment w:val="auto"/>
        <w:rPr>
          <w:rFonts w:hint="eastAsia" w:ascii="宋体" w:hAnsi="宋体" w:eastAsia="宋体" w:cs="宋体"/>
          <w:sz w:val="24"/>
          <w:szCs w:val="24"/>
        </w:rPr>
      </w:pPr>
      <w:r>
        <w:rPr>
          <w:rFonts w:hint="eastAsia" w:ascii="宋体" w:hAnsi="宋体" w:eastAsia="宋体" w:cs="宋体"/>
          <w:sz w:val="24"/>
          <w:szCs w:val="24"/>
        </w:rPr>
        <w:t>5.保险：中标方承担。</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FF0000"/>
                <w:kern w:val="0"/>
                <w:sz w:val="24"/>
                <w:szCs w:val="24"/>
                <w:highlight w:val="none"/>
                <w:lang w:val="en-US" w:eastAsia="zh-CN"/>
              </w:rPr>
            </w:pPr>
            <w:r>
              <w:rPr>
                <w:rFonts w:hint="default" w:ascii="宋体" w:hAnsi="宋体" w:eastAsia="宋体" w:cs="宋体"/>
                <w:color w:val="FF0000"/>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color w:val="FF0000"/>
                <w:kern w:val="0"/>
                <w:sz w:val="24"/>
                <w:szCs w:val="24"/>
                <w:highlight w:val="none"/>
                <w:lang w:val="en-US" w:eastAsia="zh-CN"/>
              </w:rPr>
            </w:pPr>
            <w:r>
              <w:rPr>
                <w:rFonts w:hint="default" w:ascii="宋体" w:hAnsi="宋体" w:eastAsia="宋体" w:cs="宋体"/>
                <w:color w:val="FF0000"/>
                <w:kern w:val="0"/>
                <w:sz w:val="24"/>
                <w:szCs w:val="24"/>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color w:val="FF0000"/>
                <w:kern w:val="0"/>
                <w:sz w:val="24"/>
                <w:szCs w:val="24"/>
                <w:highlight w:val="none"/>
                <w:lang w:val="en-US" w:eastAsia="zh-CN"/>
              </w:rPr>
            </w:pPr>
            <w:r>
              <w:rPr>
                <w:rFonts w:hint="eastAsia" w:ascii="宋体" w:hAnsi="宋体" w:eastAsia="宋体" w:cs="宋体"/>
                <w:sz w:val="24"/>
                <w:szCs w:val="24"/>
              </w:rPr>
              <w:t>质保一年或10万次曝光（以先达到为止）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安装验收完成后付款90%，质保期结束后付款10%。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中标人须提供后期服务保障和技术支持。</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、授权评标委员会确定一名中标人并推荐一名中标候选人。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14"/>
                <w:sz w:val="24"/>
                <w:szCs w:val="24"/>
                <w:highlight w:val="none"/>
              </w:rPr>
              <w:t>供应商应根据</w:t>
            </w:r>
            <w:r>
              <w:rPr>
                <w:rFonts w:hint="eastAsia" w:ascii="宋体" w:hAnsi="宋体" w:eastAsia="宋体" w:cs="宋体"/>
                <w:color w:val="auto"/>
                <w:spacing w:val="14"/>
                <w:sz w:val="24"/>
                <w:szCs w:val="24"/>
                <w:highlight w:val="none"/>
                <w:lang w:eastAsia="zh-CN"/>
              </w:rPr>
              <w:t>采购</w:t>
            </w:r>
            <w:r>
              <w:rPr>
                <w:rFonts w:hint="eastAsia" w:ascii="宋体" w:hAnsi="宋体" w:eastAsia="宋体" w:cs="宋体"/>
                <w:color w:val="auto"/>
                <w:spacing w:val="14"/>
                <w:sz w:val="24"/>
                <w:szCs w:val="24"/>
                <w:highlight w:val="none"/>
              </w:rPr>
              <w:t>文件的要求提供技术响应表、商务响应表等内容以对</w:t>
            </w:r>
            <w:r>
              <w:rPr>
                <w:rFonts w:hint="eastAsia" w:ascii="宋体" w:hAnsi="宋体" w:eastAsia="宋体" w:cs="宋体"/>
                <w:color w:val="auto"/>
                <w:spacing w:val="14"/>
                <w:sz w:val="24"/>
                <w:szCs w:val="24"/>
                <w:highlight w:val="none"/>
                <w:lang w:eastAsia="zh-CN"/>
              </w:rPr>
              <w:t>采购</w:t>
            </w:r>
            <w:r>
              <w:rPr>
                <w:rFonts w:hint="eastAsia" w:ascii="宋体" w:hAnsi="宋体" w:eastAsia="宋体" w:cs="宋体"/>
                <w:color w:val="auto"/>
                <w:spacing w:val="14"/>
                <w:sz w:val="24"/>
                <w:szCs w:val="24"/>
                <w:highlight w:val="none"/>
              </w:rPr>
              <w:t>文件作出响应。</w:t>
            </w:r>
          </w:p>
        </w:tc>
      </w:tr>
    </w:tbl>
    <w:p>
      <w:pPr>
        <w:rPr>
          <w:rFonts w:hint="eastAsia"/>
          <w:b/>
          <w:bCs/>
          <w:color w:val="auto"/>
          <w:sz w:val="32"/>
          <w:szCs w:val="32"/>
          <w:highlight w:val="none"/>
        </w:rPr>
      </w:pPr>
      <w:bookmarkStart w:id="37"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37"/>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驻马店市中心医院锐珂DR球管采购项目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13</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 投标人须具有医疗器械经营许可证，是在中华人民共和国境内注册的制造厂商或制造厂商授权的单位或具备相关设备维修能力的单位（提供证明文件）；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1"/>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38"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8"/>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本项目由采购人授权评标委员会确定一名中标人并推荐一名中标候选人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39"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39"/>
    <w:p>
      <w:pPr>
        <w:rPr>
          <w:rFonts w:hint="eastAsia" w:ascii="黑体" w:hAnsi="宋体" w:eastAsia="黑体" w:cs="宋体"/>
          <w:b/>
          <w:bCs/>
          <w:color w:val="auto"/>
          <w:kern w:val="0"/>
          <w:sz w:val="32"/>
          <w:szCs w:val="32"/>
          <w:highlight w:val="none"/>
        </w:rPr>
      </w:pPr>
      <w:bookmarkStart w:id="40" w:name="_Toc9022"/>
      <w:bookmarkStart w:id="41" w:name="_Toc4700"/>
      <w:bookmarkStart w:id="42"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0"/>
      <w:bookmarkEnd w:id="41"/>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5"/>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1468" w:type="dxa"/>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775" w:type="dxa"/>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1468" w:type="dxa"/>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775" w:type="dxa"/>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146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775" w:type="dxa"/>
            <w:vAlign w:val="top"/>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p>
        </w:tc>
        <w:tc>
          <w:tcPr>
            <w:tcW w:w="1468" w:type="dxa"/>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775" w:type="dxa"/>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4"/>
                <w:szCs w:val="24"/>
                <w:highlight w:val="none"/>
              </w:rPr>
            </w:pPr>
          </w:p>
        </w:tc>
        <w:tc>
          <w:tcPr>
            <w:tcW w:w="1468" w:type="dxa"/>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775" w:type="dxa"/>
            <w:vAlign w:val="center"/>
          </w:tcPr>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3" w:name="_Toc1947"/>
      <w:bookmarkStart w:id="44" w:name="_Toc1482"/>
      <w:bookmarkStart w:id="45" w:name="_Toc256519703"/>
      <w:bookmarkStart w:id="46" w:name="_Toc326786897"/>
    </w:p>
    <w:p>
      <w:pPr>
        <w:jc w:val="center"/>
        <w:rPr>
          <w:rFonts w:hint="eastAsia" w:ascii="宋体" w:hAnsi="宋体" w:eastAsia="宋体" w:cs="宋体"/>
          <w:b/>
          <w:bCs/>
          <w:color w:val="auto"/>
          <w:kern w:val="44"/>
          <w:sz w:val="28"/>
          <w:szCs w:val="28"/>
          <w:highlight w:val="none"/>
          <w:lang w:val="en-US" w:eastAsia="zh-CN" w:bidi="ar-SA"/>
        </w:rPr>
      </w:pPr>
      <w:bookmarkStart w:id="47" w:name="_Toc28988"/>
      <w:r>
        <w:rPr>
          <w:rFonts w:hint="eastAsia" w:ascii="宋体" w:hAnsi="宋体" w:eastAsia="宋体" w:cs="宋体"/>
          <w:b/>
          <w:bCs/>
          <w:color w:val="auto"/>
          <w:kern w:val="44"/>
          <w:sz w:val="28"/>
          <w:szCs w:val="28"/>
          <w:highlight w:val="none"/>
          <w:lang w:val="en-US" w:eastAsia="zh-CN" w:bidi="ar-SA"/>
        </w:rPr>
        <w:t>第五章  采购合同</w:t>
      </w:r>
      <w:bookmarkEnd w:id="47"/>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48" w:name="_Toc2638"/>
      <w:r>
        <w:rPr>
          <w:rFonts w:hint="eastAsia" w:ascii="宋体" w:hAnsi="宋体" w:eastAsia="宋体" w:cs="宋体"/>
          <w:b/>
          <w:bCs/>
          <w:color w:val="auto"/>
          <w:kern w:val="44"/>
          <w:sz w:val="32"/>
          <w:szCs w:val="32"/>
          <w:highlight w:val="none"/>
          <w:lang w:val="en-US" w:eastAsia="zh-CN" w:bidi="ar-SA"/>
        </w:rPr>
        <w:t>第六章  投标文件格式</w:t>
      </w:r>
      <w:bookmarkEnd w:id="43"/>
      <w:bookmarkEnd w:id="44"/>
      <w:bookmarkEnd w:id="48"/>
    </w:p>
    <w:p>
      <w:pPr>
        <w:spacing w:line="440" w:lineRule="exact"/>
        <w:rPr>
          <w:color w:val="auto"/>
          <w:sz w:val="24"/>
          <w:highlight w:val="none"/>
        </w:rPr>
      </w:pPr>
    </w:p>
    <w:p>
      <w:pPr>
        <w:jc w:val="center"/>
        <w:rPr>
          <w:b/>
          <w:bCs/>
          <w:color w:val="auto"/>
          <w:sz w:val="32"/>
          <w:szCs w:val="32"/>
          <w:highlight w:val="none"/>
        </w:rPr>
      </w:pPr>
      <w:bookmarkStart w:id="49" w:name="_Toc13604"/>
      <w:r>
        <w:rPr>
          <w:rFonts w:hint="eastAsia"/>
          <w:b/>
          <w:bCs/>
          <w:color w:val="auto"/>
          <w:sz w:val="32"/>
          <w:szCs w:val="32"/>
          <w:highlight w:val="none"/>
        </w:rPr>
        <w:t>目    录</w:t>
      </w:r>
      <w:bookmarkEnd w:id="49"/>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0" w:name="_Toc11308"/>
      <w:r>
        <w:rPr>
          <w:rFonts w:hint="eastAsia"/>
          <w:color w:val="auto"/>
          <w:sz w:val="24"/>
          <w:highlight w:val="none"/>
        </w:rPr>
        <w:t>附件1投标文件封面（格式）</w:t>
      </w:r>
      <w:bookmarkEnd w:id="50"/>
    </w:p>
    <w:p>
      <w:pPr>
        <w:snapToGrid w:val="0"/>
        <w:spacing w:line="360" w:lineRule="auto"/>
        <w:ind w:firstLine="480" w:firstLineChars="200"/>
        <w:rPr>
          <w:color w:val="auto"/>
          <w:sz w:val="24"/>
          <w:highlight w:val="none"/>
        </w:rPr>
      </w:pPr>
      <w:bookmarkStart w:id="51" w:name="_Toc25345"/>
      <w:r>
        <w:rPr>
          <w:rFonts w:hint="eastAsia"/>
          <w:color w:val="auto"/>
          <w:sz w:val="24"/>
          <w:highlight w:val="none"/>
        </w:rPr>
        <w:t>附件2 投标书（格式）</w:t>
      </w:r>
      <w:bookmarkEnd w:id="51"/>
    </w:p>
    <w:p>
      <w:pPr>
        <w:snapToGrid w:val="0"/>
        <w:spacing w:line="360" w:lineRule="auto"/>
        <w:ind w:firstLine="480" w:firstLineChars="200"/>
        <w:rPr>
          <w:color w:val="auto"/>
          <w:sz w:val="24"/>
          <w:highlight w:val="none"/>
        </w:rPr>
      </w:pPr>
      <w:bookmarkStart w:id="52" w:name="_Toc10217"/>
      <w:r>
        <w:rPr>
          <w:rFonts w:hint="eastAsia"/>
          <w:color w:val="auto"/>
          <w:sz w:val="24"/>
          <w:highlight w:val="none"/>
        </w:rPr>
        <w:t>附件3 开标一览表（格式）</w:t>
      </w:r>
      <w:bookmarkEnd w:id="52"/>
    </w:p>
    <w:p>
      <w:pPr>
        <w:snapToGrid w:val="0"/>
        <w:spacing w:line="360" w:lineRule="auto"/>
        <w:ind w:firstLine="480" w:firstLineChars="200"/>
        <w:rPr>
          <w:color w:val="auto"/>
          <w:sz w:val="24"/>
          <w:highlight w:val="none"/>
        </w:rPr>
      </w:pPr>
      <w:bookmarkStart w:id="53" w:name="_Toc9579"/>
      <w:r>
        <w:rPr>
          <w:rFonts w:hint="eastAsia"/>
          <w:color w:val="auto"/>
          <w:sz w:val="24"/>
          <w:highlight w:val="none"/>
        </w:rPr>
        <w:t>附件4 报价明细表（格式）</w:t>
      </w:r>
      <w:bookmarkEnd w:id="53"/>
    </w:p>
    <w:p>
      <w:pPr>
        <w:snapToGrid w:val="0"/>
        <w:spacing w:line="360" w:lineRule="auto"/>
        <w:ind w:firstLine="480" w:firstLineChars="200"/>
        <w:rPr>
          <w:rFonts w:hint="default" w:eastAsia="宋体"/>
          <w:color w:val="auto"/>
          <w:sz w:val="24"/>
          <w:highlight w:val="none"/>
          <w:lang w:val="en-US" w:eastAsia="zh-CN"/>
        </w:rPr>
      </w:pPr>
      <w:bookmarkStart w:id="54" w:name="_Toc28392"/>
      <w:r>
        <w:rPr>
          <w:rFonts w:hint="eastAsia"/>
          <w:color w:val="auto"/>
          <w:sz w:val="24"/>
          <w:highlight w:val="none"/>
        </w:rPr>
        <w:t>附件5</w:t>
      </w:r>
      <w:bookmarkEnd w:id="54"/>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5" w:name="_Toc6234"/>
      <w:r>
        <w:rPr>
          <w:rFonts w:hint="eastAsia"/>
          <w:color w:val="auto"/>
          <w:sz w:val="24"/>
          <w:highlight w:val="none"/>
        </w:rPr>
        <w:t xml:space="preserve">附件6 </w:t>
      </w:r>
      <w:bookmarkEnd w:id="55"/>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6"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6"/>
    </w:p>
    <w:p>
      <w:pPr>
        <w:snapToGrid w:val="0"/>
        <w:spacing w:line="360" w:lineRule="auto"/>
        <w:ind w:firstLine="480" w:firstLineChars="200"/>
        <w:rPr>
          <w:color w:val="auto"/>
          <w:sz w:val="24"/>
          <w:highlight w:val="none"/>
        </w:rPr>
      </w:pPr>
      <w:bookmarkStart w:id="57"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7"/>
    </w:p>
    <w:p>
      <w:pPr>
        <w:snapToGrid w:val="0"/>
        <w:spacing w:line="360" w:lineRule="auto"/>
        <w:ind w:firstLine="480" w:firstLineChars="200"/>
        <w:rPr>
          <w:color w:val="auto"/>
          <w:sz w:val="24"/>
          <w:highlight w:val="none"/>
        </w:rPr>
      </w:pPr>
      <w:bookmarkStart w:id="58" w:name="_Toc31857"/>
      <w:r>
        <w:rPr>
          <w:rFonts w:hint="eastAsia"/>
          <w:color w:val="auto"/>
          <w:sz w:val="24"/>
          <w:highlight w:val="none"/>
        </w:rPr>
        <w:t>附件9 证明文件</w:t>
      </w:r>
      <w:bookmarkEnd w:id="58"/>
    </w:p>
    <w:p>
      <w:pPr>
        <w:snapToGrid w:val="0"/>
        <w:spacing w:line="360" w:lineRule="auto"/>
        <w:ind w:firstLine="480" w:firstLineChars="200"/>
        <w:rPr>
          <w:rFonts w:hint="eastAsia"/>
          <w:color w:val="auto"/>
          <w:sz w:val="24"/>
          <w:highlight w:val="none"/>
        </w:rPr>
      </w:pPr>
      <w:bookmarkStart w:id="59" w:name="_Toc23116"/>
      <w:r>
        <w:rPr>
          <w:rFonts w:hint="eastAsia"/>
          <w:color w:val="auto"/>
          <w:sz w:val="24"/>
          <w:highlight w:val="none"/>
        </w:rPr>
        <w:t>附件10 供应商承诺书（格式）</w:t>
      </w:r>
      <w:bookmarkEnd w:id="59"/>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0" w:name="_Toc24743"/>
      <w:bookmarkStart w:id="61" w:name="_Toc31798"/>
      <w:r>
        <w:rPr>
          <w:rFonts w:hint="eastAsia"/>
          <w:color w:val="auto"/>
          <w:highlight w:val="none"/>
        </w:rPr>
        <w:t>附件1               投标文件封面（格式）</w:t>
      </w:r>
      <w:bookmarkEnd w:id="60"/>
      <w:bookmarkEnd w:id="61"/>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default" w:ascii="宋体" w:hAnsi="宋体" w:eastAsia="宋体" w:cs="宋体"/>
          <w:b/>
          <w:color w:val="auto"/>
          <w:spacing w:val="90"/>
          <w:sz w:val="36"/>
          <w:szCs w:val="36"/>
          <w:highlight w:val="none"/>
          <w:lang w:val="en-US" w:eastAsia="zh-CN"/>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color w:val="auto"/>
          <w:highlight w:val="none"/>
        </w:rPr>
      </w:pPr>
      <w:r>
        <w:rPr>
          <w:rFonts w:hint="eastAsia" w:ascii="宋体" w:hAnsi="宋体" w:cs="宋体"/>
          <w:b/>
          <w:color w:val="auto"/>
          <w:kern w:val="0"/>
          <w:sz w:val="24"/>
          <w:highlight w:val="none"/>
        </w:rPr>
        <w:br w:type="page"/>
      </w:r>
    </w:p>
    <w:p>
      <w:pPr>
        <w:pStyle w:val="2"/>
        <w:rPr>
          <w:color w:val="auto"/>
          <w:highlight w:val="none"/>
        </w:rPr>
      </w:pPr>
      <w:bookmarkStart w:id="62" w:name="_Toc14560"/>
      <w:bookmarkStart w:id="63" w:name="_Toc8818"/>
      <w:r>
        <w:rPr>
          <w:rFonts w:hint="eastAsia"/>
          <w:color w:val="auto"/>
          <w:highlight w:val="none"/>
        </w:rPr>
        <w:t>附件2               投  标  书（格式）</w:t>
      </w:r>
      <w:bookmarkEnd w:id="62"/>
      <w:bookmarkEnd w:id="63"/>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4" w:name="_Toc7838"/>
      <w:r>
        <w:rPr>
          <w:rFonts w:hint="eastAsia" w:ascii="宋体" w:hAnsi="宋体" w:eastAsia="宋体" w:cs="宋体"/>
          <w:color w:val="auto"/>
          <w:highlight w:val="none"/>
        </w:rPr>
        <w:t>附件3               开标一览表</w:t>
      </w:r>
      <w:bookmarkEnd w:id="64"/>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5" w:name="_Toc20877"/>
      <w:bookmarkStart w:id="66" w:name="_Toc11620"/>
      <w:r>
        <w:rPr>
          <w:rFonts w:hint="eastAsia" w:ascii="宋体" w:hAnsi="宋体"/>
          <w:color w:val="auto"/>
          <w:szCs w:val="21"/>
          <w:highlight w:val="none"/>
        </w:rPr>
        <w:t>投标人（全称并加盖公章）：</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7" w:name="_Toc625"/>
      <w:bookmarkStart w:id="68" w:name="_Toc12222"/>
      <w:r>
        <w:rPr>
          <w:rFonts w:hint="eastAsia" w:ascii="宋体" w:hAnsi="宋体"/>
          <w:color w:val="auto"/>
          <w:szCs w:val="21"/>
          <w:highlight w:val="none"/>
        </w:rPr>
        <w:t>法定代表人或其委托代理人（签字）：</w:t>
      </w:r>
      <w:bookmarkEnd w:id="67"/>
      <w:bookmarkEnd w:id="68"/>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9" w:name="_Toc1330"/>
      <w:bookmarkStart w:id="70" w:name="_Toc9950"/>
      <w:r>
        <w:rPr>
          <w:rFonts w:hint="eastAsia" w:ascii="宋体" w:hAnsi="宋体"/>
          <w:color w:val="auto"/>
          <w:szCs w:val="21"/>
          <w:highlight w:val="none"/>
        </w:rPr>
        <w:t>年  月  日</w:t>
      </w:r>
      <w:bookmarkEnd w:id="69"/>
      <w:bookmarkEnd w:id="70"/>
    </w:p>
    <w:p>
      <w:pPr>
        <w:rPr>
          <w:color w:val="auto"/>
          <w:highlight w:val="none"/>
        </w:rPr>
      </w:pPr>
      <w:r>
        <w:rPr>
          <w:color w:val="auto"/>
          <w:highlight w:val="none"/>
        </w:rPr>
        <w:br w:type="page"/>
      </w:r>
    </w:p>
    <w:bookmarkEnd w:id="45"/>
    <w:bookmarkEnd w:id="46"/>
    <w:p>
      <w:pPr>
        <w:pStyle w:val="2"/>
        <w:spacing w:before="20" w:after="20"/>
        <w:rPr>
          <w:rFonts w:hint="eastAsia" w:ascii="宋体" w:hAnsi="宋体" w:eastAsia="宋体" w:cs="宋体"/>
          <w:color w:val="auto"/>
          <w:highlight w:val="none"/>
        </w:rPr>
      </w:pPr>
      <w:bookmarkStart w:id="71" w:name="_Toc24984"/>
      <w:bookmarkStart w:id="72" w:name="_Toc22004"/>
      <w:r>
        <w:rPr>
          <w:rFonts w:hint="eastAsia" w:ascii="宋体" w:hAnsi="宋体" w:eastAsia="宋体" w:cs="宋体"/>
          <w:color w:val="auto"/>
          <w:highlight w:val="none"/>
        </w:rPr>
        <w:t>附件4               报价明细表</w:t>
      </w:r>
      <w:bookmarkEnd w:id="71"/>
      <w:bookmarkEnd w:id="72"/>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3" w:name="_Toc226"/>
      <w:bookmarkStart w:id="74" w:name="_Toc15804"/>
      <w:r>
        <w:rPr>
          <w:rFonts w:hint="eastAsia" w:ascii="宋体" w:hAnsi="宋体" w:eastAsia="宋体" w:cs="宋体"/>
          <w:color w:val="auto"/>
          <w:highlight w:val="none"/>
        </w:rPr>
        <w:t>附件5               技术响应表（格式）</w:t>
      </w:r>
      <w:bookmarkEnd w:id="73"/>
      <w:bookmarkEnd w:id="74"/>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5" w:name="_Toc29960"/>
      <w:bookmarkStart w:id="76" w:name="_Toc20420"/>
      <w:r>
        <w:rPr>
          <w:rFonts w:hint="eastAsia" w:ascii="Arial" w:hAnsi="Arial" w:eastAsia="新宋体"/>
          <w:b/>
          <w:color w:val="auto"/>
          <w:sz w:val="28"/>
          <w:highlight w:val="none"/>
        </w:rPr>
        <w:t xml:space="preserve">附件6              </w:t>
      </w:r>
      <w:bookmarkEnd w:id="75"/>
      <w:bookmarkEnd w:id="76"/>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rPr>
          <w:highlight w:val="none"/>
        </w:rPr>
      </w:pPr>
    </w:p>
    <w:p>
      <w:pPr>
        <w:widowControl/>
        <w:wordWrap w:val="0"/>
        <w:spacing w:line="460" w:lineRule="exact"/>
        <w:jc w:val="left"/>
        <w:outlineLvl w:val="0"/>
        <w:rPr>
          <w:rFonts w:ascii="Arial" w:hAnsi="Arial" w:eastAsia="新宋体"/>
          <w:b/>
          <w:color w:val="auto"/>
          <w:sz w:val="28"/>
          <w:highlight w:val="none"/>
        </w:rPr>
      </w:pPr>
      <w:bookmarkStart w:id="77" w:name="_Toc31526"/>
      <w:bookmarkStart w:id="78" w:name="_Toc28621"/>
      <w:r>
        <w:rPr>
          <w:rFonts w:hint="eastAsia" w:ascii="Arial" w:hAnsi="Arial" w:eastAsia="新宋体"/>
          <w:b/>
          <w:color w:val="auto"/>
          <w:sz w:val="28"/>
          <w:highlight w:val="none"/>
        </w:rPr>
        <w:t>附件7               法定代表人身份证明（格式）</w:t>
      </w:r>
      <w:bookmarkEnd w:id="77"/>
      <w:bookmarkEnd w:id="7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9" w:name="_Toc30519"/>
      <w:bookmarkStart w:id="80" w:name="_Toc13976"/>
      <w:r>
        <w:rPr>
          <w:rFonts w:hint="eastAsia" w:ascii="Arial" w:hAnsi="Arial" w:eastAsia="新宋体"/>
          <w:b/>
          <w:color w:val="auto"/>
          <w:sz w:val="28"/>
          <w:highlight w:val="none"/>
        </w:rPr>
        <w:t>附件8               法定代表人授权书（格式）</w:t>
      </w:r>
      <w:bookmarkEnd w:id="79"/>
      <w:bookmarkEnd w:id="8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1" w:name="_Toc18105"/>
      <w:bookmarkStart w:id="82" w:name="_Toc24693"/>
      <w:r>
        <w:rPr>
          <w:rFonts w:hint="eastAsia" w:ascii="Arial" w:hAnsi="Arial" w:eastAsia="新宋体"/>
          <w:b/>
          <w:color w:val="auto"/>
          <w:sz w:val="28"/>
          <w:highlight w:val="none"/>
        </w:rPr>
        <w:t>附件9               证明文件</w:t>
      </w:r>
      <w:bookmarkEnd w:id="81"/>
      <w:bookmarkEnd w:id="82"/>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3"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4" w:name="_Toc13726"/>
      <w:bookmarkStart w:id="85" w:name="_Toc12888"/>
      <w:r>
        <w:rPr>
          <w:rFonts w:hint="eastAsia" w:ascii="宋体" w:hAnsi="宋体" w:cs="Lucida Sans Unicode"/>
          <w:b/>
          <w:color w:val="auto"/>
          <w:kern w:val="0"/>
          <w:sz w:val="28"/>
          <w:szCs w:val="28"/>
          <w:highlight w:val="none"/>
        </w:rPr>
        <w:t xml:space="preserve">附件10        </w:t>
      </w:r>
      <w:bookmarkEnd w:id="8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4"/>
      <w:bookmarkEnd w:id="85"/>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2"/>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6" w:name="_Toc25094"/>
      <w:bookmarkStart w:id="87" w:name="_Toc23394"/>
      <w:r>
        <w:rPr>
          <w:rFonts w:hint="eastAsia" w:ascii="宋体" w:hAnsi="宋体" w:cs="Lucida Sans Unicode"/>
          <w:b/>
          <w:color w:val="auto"/>
          <w:kern w:val="0"/>
          <w:sz w:val="24"/>
          <w:highlight w:val="none"/>
        </w:rPr>
        <w:t>投标人认为有必要的其他资料</w:t>
      </w:r>
      <w:bookmarkEnd w:id="86"/>
      <w:bookmarkEnd w:id="8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eastAsia="zh-CN"/>
      </w:rPr>
    </w:pPr>
    <w:r>
      <w:rPr>
        <w:rFonts w:hint="eastAsia"/>
        <w:lang w:val="en-US" w:eastAsia="zh-CN"/>
      </w:rPr>
      <w:t>驻马店市中心医院锐珂DR球管采购项目采购文件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eastAsia="zh-CN"/>
      </w:rPr>
    </w:pPr>
    <w:r>
      <w:rPr>
        <w:rFonts w:hint="eastAsia" w:ascii="宋体" w:hAnsi="宋体" w:cs="宋体"/>
        <w:color w:val="auto"/>
        <w:szCs w:val="21"/>
        <w:highlight w:val="none"/>
        <w:shd w:val="clear" w:color="auto" w:fill="FFFFFF"/>
        <w:lang w:eastAsia="zh-CN"/>
      </w:rPr>
      <w:t>驻马店市中心医院锐珂DR球管采购项目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2D25290"/>
    <w:rsid w:val="097938F9"/>
    <w:rsid w:val="0FF9347D"/>
    <w:rsid w:val="100D65BF"/>
    <w:rsid w:val="13852055"/>
    <w:rsid w:val="146A4213"/>
    <w:rsid w:val="1A856091"/>
    <w:rsid w:val="1C597898"/>
    <w:rsid w:val="1FD17C3A"/>
    <w:rsid w:val="23F57CC4"/>
    <w:rsid w:val="253A2EBB"/>
    <w:rsid w:val="2E6E78AB"/>
    <w:rsid w:val="2FBE56D6"/>
    <w:rsid w:val="302F7A2C"/>
    <w:rsid w:val="31587F2B"/>
    <w:rsid w:val="350D171A"/>
    <w:rsid w:val="39CD5FFB"/>
    <w:rsid w:val="3D226758"/>
    <w:rsid w:val="48D10692"/>
    <w:rsid w:val="4C185248"/>
    <w:rsid w:val="5A295181"/>
    <w:rsid w:val="5A715C9D"/>
    <w:rsid w:val="5C5D0112"/>
    <w:rsid w:val="5DD67A13"/>
    <w:rsid w:val="5E742597"/>
    <w:rsid w:val="5F0D70EB"/>
    <w:rsid w:val="61BD7FAE"/>
    <w:rsid w:val="62097280"/>
    <w:rsid w:val="62A3070C"/>
    <w:rsid w:val="64164898"/>
    <w:rsid w:val="65447343"/>
    <w:rsid w:val="707912DA"/>
    <w:rsid w:val="725720E8"/>
    <w:rsid w:val="76076E1C"/>
    <w:rsid w:val="77520D58"/>
    <w:rsid w:val="7812577F"/>
    <w:rsid w:val="788D06FE"/>
    <w:rsid w:val="7CC3060B"/>
    <w:rsid w:val="7D2346C8"/>
    <w:rsid w:val="7E492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next w:val="11"/>
    <w:qFormat/>
    <w:uiPriority w:val="0"/>
    <w:pPr>
      <w:widowControl/>
      <w:spacing w:beforeAutospacing="1" w:afterAutospacing="1"/>
      <w:jc w:val="left"/>
    </w:pPr>
    <w:rPr>
      <w:rFonts w:ascii="宋体" w:hAnsi="宋体" w:cs="宋体"/>
      <w:kern w:val="0"/>
      <w:sz w:val="24"/>
    </w:rPr>
  </w:style>
  <w:style w:type="paragraph" w:styleId="11">
    <w:name w:val="Body Text First Indent 2"/>
    <w:basedOn w:val="12"/>
    <w:next w:val="10"/>
    <w:qFormat/>
    <w:uiPriority w:val="0"/>
    <w:pPr>
      <w:ind w:firstLine="420" w:firstLineChars="200"/>
    </w:pPr>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styleId="13">
    <w:name w:val="envelope return"/>
    <w:basedOn w:val="1"/>
    <w:unhideWhenUsed/>
    <w:qFormat/>
    <w:uiPriority w:val="99"/>
    <w:pPr>
      <w:snapToGrid w:val="0"/>
    </w:pPr>
    <w:rPr>
      <w:rFonts w:ascii="Arial" w:hAnsi="Arial"/>
    </w:rPr>
  </w:style>
  <w:style w:type="paragraph" w:styleId="14">
    <w:name w:val="Document Map"/>
    <w:basedOn w:val="1"/>
    <w:link w:val="76"/>
    <w:qFormat/>
    <w:uiPriority w:val="0"/>
    <w:rPr>
      <w:rFonts w:ascii="宋体" w:hAnsi="Calibri"/>
      <w:sz w:val="18"/>
      <w:szCs w:val="18"/>
    </w:r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toc 1"/>
    <w:basedOn w:val="15"/>
    <w:next w:val="1"/>
    <w:qFormat/>
    <w:uiPriority w:val="0"/>
  </w:style>
  <w:style w:type="paragraph" w:styleId="26">
    <w:name w:val="List"/>
    <w:basedOn w:val="1"/>
    <w:qFormat/>
    <w:uiPriority w:val="0"/>
    <w:pPr>
      <w:ind w:left="200" w:hanging="200" w:hangingChars="200"/>
    </w:pPr>
  </w:style>
  <w:style w:type="paragraph" w:styleId="27">
    <w:name w:val="Body Text 2"/>
    <w:basedOn w:val="1"/>
    <w:next w:val="4"/>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1"/>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0">
    <w:name w:val="大标题"/>
    <w:basedOn w:val="1"/>
    <w:next w:val="11"/>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4"/>
    <w:qFormat/>
    <w:uiPriority w:val="0"/>
  </w:style>
  <w:style w:type="character" w:customStyle="1" w:styleId="75">
    <w:name w:val="apple-converted-space"/>
    <w:basedOn w:val="35"/>
    <w:qFormat/>
    <w:uiPriority w:val="0"/>
  </w:style>
  <w:style w:type="character" w:customStyle="1" w:styleId="76">
    <w:name w:val="文档结构图 Char"/>
    <w:link w:val="14"/>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5"/>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0"/>
      <w:szCs w:val="20"/>
      <w:u w:val="none"/>
    </w:rPr>
  </w:style>
  <w:style w:type="character" w:customStyle="1" w:styleId="93">
    <w:name w:val="font11"/>
    <w:basedOn w:val="35"/>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14975</Words>
  <Characters>15744</Characters>
  <Lines>50</Lines>
  <Paragraphs>68</Paragraphs>
  <TotalTime>5</TotalTime>
  <ScaleCrop>false</ScaleCrop>
  <LinksUpToDate>false</LinksUpToDate>
  <CharactersWithSpaces>16777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2023-09-05T08:41:19Z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