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驻马店市中心医院安防综合管理平台建设项目（二次）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widowControl/>
        <w:shd w:val="clear" w:color="auto" w:fill="auto"/>
        <w:spacing w:line="360" w:lineRule="auto"/>
        <w:ind w:firstLine="2249" w:firstLineChars="700"/>
        <w:rPr>
          <w:rFonts w:hint="eastAsia" w:ascii="宋体" w:hAnsi="宋体" w:eastAsia="宋体" w:cs="宋体"/>
          <w:b/>
          <w:bCs/>
          <w:spacing w:val="-1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widowControl/>
        <w:shd w:val="clear" w:color="auto" w:fill="auto"/>
        <w:spacing w:line="360" w:lineRule="auto"/>
        <w:ind w:firstLine="2249" w:firstLineChars="700"/>
        <w:rPr>
          <w:rFonts w:hint="eastAsia" w:ascii="宋体" w:hAnsi="宋体" w:eastAsia="宋体" w:cs="宋体"/>
          <w:b/>
          <w:bCs/>
          <w:spacing w:val="-10"/>
          <w:sz w:val="34"/>
          <w:szCs w:val="34"/>
        </w:rPr>
      </w:pPr>
      <w:r>
        <w:rPr>
          <w:rFonts w:hint="eastAsia" w:ascii="宋体" w:hAnsi="宋体" w:eastAsia="宋体" w:cs="宋体"/>
          <w:b/>
          <w:bCs/>
          <w:spacing w:val="-10"/>
          <w:sz w:val="34"/>
          <w:szCs w:val="34"/>
        </w:rPr>
        <w:t xml:space="preserve">采购代理机构：中信诚项目管理有限公司 </w:t>
      </w: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9</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驻马店市中心医院安防综合管理平台建设项目（二次）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安防综合管理平台建设项目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驻马店市中心医院安防综合管理平台建设项目（二次）</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37.2万元，自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4040"/>
      <w:bookmarkStart w:id="5" w:name="_Toc21071"/>
      <w:bookmarkStart w:id="6" w:name="_Toc27913"/>
      <w:bookmarkStart w:id="7" w:name="_Toc19521"/>
      <w:bookmarkStart w:id="8" w:name="_Toc26079"/>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eastAsia="zh-CN"/>
        </w:rPr>
        <w:t>自签订合同日期为准</w:t>
      </w:r>
      <w:r>
        <w:rPr>
          <w:rFonts w:hint="eastAsia" w:ascii="宋体" w:hAnsi="宋体" w:cs="宋体"/>
          <w:bCs/>
          <w:color w:val="auto"/>
          <w:sz w:val="24"/>
          <w:szCs w:val="24"/>
          <w:highlight w:val="none"/>
          <w:shd w:val="clear" w:color="auto" w:fill="FFFFFF"/>
          <w:lang w:val="en-US" w:eastAsia="zh-CN"/>
        </w:rPr>
        <w:t>15</w:t>
      </w:r>
      <w:r>
        <w:rPr>
          <w:rFonts w:hint="eastAsia" w:ascii="宋体" w:hAnsi="宋体" w:cs="宋体"/>
          <w:bCs/>
          <w:color w:val="auto"/>
          <w:sz w:val="24"/>
          <w:szCs w:val="24"/>
          <w:highlight w:val="none"/>
          <w:shd w:val="clear" w:color="auto" w:fill="FFFFFF"/>
          <w:lang w:eastAsia="zh-CN"/>
        </w:rPr>
        <w:t>天后交工，进行组织验收</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8607"/>
      <w:bookmarkStart w:id="10" w:name="_Toc27704"/>
      <w:bookmarkStart w:id="11" w:name="_Toc16639"/>
      <w:bookmarkStart w:id="12" w:name="_Toc23626"/>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供应商应提供2021年度或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971"/>
      <w:bookmarkStart w:id="14" w:name="_Toc9562"/>
      <w:bookmarkStart w:id="15" w:name="_Toc23395"/>
      <w:bookmarkStart w:id="16" w:name="_Toc7823"/>
      <w:bookmarkStart w:id="17" w:name="_Toc3064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000000" w:themeColor="text1"/>
          <w:sz w:val="24"/>
          <w:szCs w:val="24"/>
          <w:shd w:val="clear" w:color="auto" w:fill="FFFFFF"/>
          <w14:textFill>
            <w14:solidFill>
              <w14:schemeClr w14:val="tx1"/>
            </w14:solidFill>
          </w14:textFill>
        </w:rPr>
        <w:t>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报名费用</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2.凡报名成功的供应商无故不来参与投标的列入我院黑名单，一年内不得参与我院任何采购活动。中标供应商缴纳相应服务费。</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7480"/>
      <w:bookmarkStart w:id="19" w:name="_Toc10738"/>
      <w:bookmarkStart w:id="20" w:name="_Toc25869"/>
      <w:bookmarkStart w:id="21" w:name="_Toc15111"/>
      <w:bookmarkStart w:id="22"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30918"/>
      <w:bookmarkStart w:id="24" w:name="_Toc6523"/>
      <w:bookmarkStart w:id="25" w:name="_Toc20287"/>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7370"/>
      <w:bookmarkStart w:id="30" w:name="_Toc3604"/>
      <w:bookmarkStart w:id="31" w:name="_Toc16291"/>
      <w:bookmarkStart w:id="32" w:name="_Toc24274"/>
      <w:bookmarkStart w:id="33" w:name="_Toc31928"/>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shd w:val="clear" w:color="000000" w:fill="FFFFFF"/>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eastAsia="zh-CN"/>
        </w:rPr>
      </w:pPr>
      <w:bookmarkStart w:id="34" w:name="_Toc25063"/>
      <w:bookmarkStart w:id="35" w:name="_Toc29890"/>
      <w:bookmarkStart w:id="36" w:name="_Toc23793"/>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采购代理机构：</w:t>
      </w:r>
      <w:r>
        <w:rPr>
          <w:rFonts w:hint="eastAsia" w:ascii="宋体" w:hAnsi="宋体" w:eastAsia="宋体" w:cs="宋体"/>
          <w:color w:val="auto"/>
          <w:sz w:val="24"/>
          <w:szCs w:val="24"/>
          <w:u w:val="none"/>
          <w:lang w:eastAsia="zh-CN"/>
        </w:rPr>
        <w:t>中信诚项目管理有限公司</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址：驻马店市置地华庭B座</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联系人</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杨女士</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联系方式：0396-3676106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联系人2：李女士</w:t>
      </w:r>
    </w:p>
    <w:p>
      <w:pPr>
        <w:keepNext w:val="0"/>
        <w:keepLines w:val="0"/>
        <w:pageBreakBefore w:val="0"/>
        <w:widowControl/>
        <w:shd w:val="clear" w:color="000000"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13949581680</w:t>
      </w:r>
      <w:r>
        <w:rPr>
          <w:rFonts w:hint="eastAsia" w:ascii="宋体" w:hAnsi="宋体" w:eastAsia="宋体" w:cs="宋体"/>
          <w:color w:val="auto"/>
          <w:sz w:val="24"/>
          <w:szCs w:val="24"/>
          <w:u w:val="none"/>
        </w:rPr>
        <w:t xml:space="preserve">    　</w:t>
      </w:r>
    </w:p>
    <w:p>
      <w:pPr>
        <w:keepNext w:val="0"/>
        <w:keepLines w:val="0"/>
        <w:pageBreakBefore w:val="0"/>
        <w:widowControl/>
        <w:shd w:val="clear" w:color="000000" w:fill="FFFFFF"/>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2.采购人：驻马店市中心医院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址：驻马店市驿城区中华路西段747号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3.监督部门：驻马店市中心医院纪检监察室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9</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驻马店市中心医院安防综合管理平台建设项目（二次）。</w:t>
      </w:r>
    </w:p>
    <w:p>
      <w:pPr>
        <w:pageBreakBefore w:val="0"/>
        <w:widowControl/>
        <w:kinsoku/>
        <w:wordWrap/>
        <w:overflowPunct/>
        <w:topLinePunct w:val="0"/>
        <w:bidi w:val="0"/>
        <w:snapToGrid w:val="0"/>
        <w:spacing w:before="0" w:beforeAutospacing="0" w:after="0" w:afterAutospacing="0" w:line="500" w:lineRule="exact"/>
        <w:ind w:left="0" w:leftChars="0" w:firstLine="422"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项目用途说明：</w:t>
      </w:r>
      <w:r>
        <w:rPr>
          <w:rFonts w:hint="eastAsia" w:ascii="宋体" w:hAnsi="宋体" w:eastAsia="宋体" w:cs="宋体"/>
          <w:color w:val="auto"/>
          <w:kern w:val="0"/>
          <w:sz w:val="21"/>
          <w:szCs w:val="21"/>
          <w:shd w:val="clear" w:color="auto" w:fill="FFFFFF"/>
          <w:lang w:val="en-US" w:eastAsia="zh-CN" w:bidi="ar-SA"/>
        </w:rPr>
        <w:t xml:space="preserve">加强医院技防系统建设明确要求，按照国家标准和行业标准，建立完善入侵报警、视频监控系统、出入口控制系统和电子巡查系统等，并实现互联互通。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二</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813"/>
        <w:gridCol w:w="1180"/>
        <w:gridCol w:w="2140"/>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序号</w:t>
            </w:r>
          </w:p>
        </w:tc>
        <w:tc>
          <w:tcPr>
            <w:tcW w:w="2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项目名称</w:t>
            </w:r>
          </w:p>
        </w:tc>
        <w:tc>
          <w:tcPr>
            <w:tcW w:w="1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数量或规模</w:t>
            </w:r>
          </w:p>
        </w:tc>
        <w:tc>
          <w:tcPr>
            <w:tcW w:w="2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资金预算（元）</w:t>
            </w:r>
          </w:p>
        </w:tc>
        <w:tc>
          <w:tcPr>
            <w:tcW w:w="19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76" w:type="dxa"/>
            <w:tcBorders>
              <w:top w:val="single" w:color="auto" w:sz="4" w:space="0"/>
              <w:left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安防综合管理平台建设</w:t>
            </w:r>
          </w:p>
        </w:tc>
        <w:tc>
          <w:tcPr>
            <w:tcW w:w="1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372000</w:t>
            </w:r>
          </w:p>
        </w:tc>
        <w:tc>
          <w:tcPr>
            <w:tcW w:w="19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2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1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p>
        </w:tc>
        <w:tc>
          <w:tcPr>
            <w:tcW w:w="2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372000</w:t>
            </w:r>
          </w:p>
        </w:tc>
        <w:tc>
          <w:tcPr>
            <w:tcW w:w="19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自筹资金</w:t>
            </w:r>
          </w:p>
        </w:tc>
      </w:tr>
    </w:tbl>
    <w:p>
      <w:pPr>
        <w:pageBreakBefore w:val="0"/>
        <w:widowControl/>
        <w:kinsoku/>
        <w:wordWrap/>
        <w:overflowPunct/>
        <w:topLinePunct w:val="0"/>
        <w:bidi w:val="0"/>
        <w:snapToGrid w:val="0"/>
        <w:spacing w:before="0" w:beforeAutospacing="0" w:after="0" w:afterAutospacing="0" w:line="500" w:lineRule="exact"/>
        <w:ind w:left="0" w:leftChars="0" w:firstLine="422" w:firstLineChars="200"/>
        <w:jc w:val="left"/>
        <w:textAlignment w:val="auto"/>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材料清单</w:t>
      </w:r>
    </w:p>
    <w:tbl>
      <w:tblPr>
        <w:tblStyle w:val="33"/>
        <w:tblW w:w="9267" w:type="dxa"/>
        <w:jc w:val="center"/>
        <w:tblLayout w:type="fixed"/>
        <w:tblCellMar>
          <w:top w:w="0" w:type="dxa"/>
          <w:left w:w="108" w:type="dxa"/>
          <w:bottom w:w="0" w:type="dxa"/>
          <w:right w:w="108" w:type="dxa"/>
        </w:tblCellMar>
      </w:tblPr>
      <w:tblGrid>
        <w:gridCol w:w="698"/>
        <w:gridCol w:w="2620"/>
        <w:gridCol w:w="676"/>
        <w:gridCol w:w="976"/>
        <w:gridCol w:w="2028"/>
        <w:gridCol w:w="2269"/>
      </w:tblGrid>
      <w:tr>
        <w:tblPrEx>
          <w:tblCellMar>
            <w:top w:w="0" w:type="dxa"/>
            <w:left w:w="108" w:type="dxa"/>
            <w:bottom w:w="0" w:type="dxa"/>
            <w:right w:w="108" w:type="dxa"/>
          </w:tblCellMar>
        </w:tblPrEx>
        <w:trPr>
          <w:trHeight w:val="90" w:hRule="atLeast"/>
          <w:jc w:val="center"/>
        </w:trPr>
        <w:tc>
          <w:tcPr>
            <w:tcW w:w="69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序号</w:t>
            </w:r>
          </w:p>
        </w:tc>
        <w:tc>
          <w:tcPr>
            <w:tcW w:w="26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主材（设备名称/施工）</w:t>
            </w:r>
          </w:p>
        </w:tc>
        <w:tc>
          <w:tcPr>
            <w:tcW w:w="6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单位</w:t>
            </w:r>
          </w:p>
        </w:tc>
        <w:tc>
          <w:tcPr>
            <w:tcW w:w="9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数量</w:t>
            </w:r>
          </w:p>
        </w:tc>
        <w:tc>
          <w:tcPr>
            <w:tcW w:w="202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单价</w:t>
            </w:r>
          </w:p>
        </w:tc>
        <w:tc>
          <w:tcPr>
            <w:tcW w:w="226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合计（元）</w:t>
            </w:r>
          </w:p>
        </w:tc>
      </w:tr>
      <w:tr>
        <w:tblPrEx>
          <w:tblCellMar>
            <w:top w:w="0" w:type="dxa"/>
            <w:left w:w="108" w:type="dxa"/>
            <w:bottom w:w="0" w:type="dxa"/>
            <w:right w:w="108" w:type="dxa"/>
          </w:tblCellMar>
        </w:tblPrEx>
        <w:trPr>
          <w:trHeight w:val="90" w:hRule="atLeast"/>
          <w:jc w:val="center"/>
        </w:trPr>
        <w:tc>
          <w:tcPr>
            <w:tcW w:w="9267" w:type="dxa"/>
            <w:gridSpan w:val="6"/>
            <w:tcBorders>
              <w:top w:val="single" w:color="auto" w:sz="4" w:space="0"/>
              <w:left w:val="single" w:color="auto" w:sz="4" w:space="0"/>
              <w:bottom w:val="single" w:color="auto" w:sz="4" w:space="0"/>
              <w:right w:val="single" w:color="auto" w:sz="4" w:space="0"/>
            </w:tcBorders>
            <w:shd w:val="clear" w:color="000000" w:fill="8DB4E2"/>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1、入侵报警系统</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防入侵摄像机</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23</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¥1,950.00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44850</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小计</w:t>
            </w:r>
          </w:p>
        </w:tc>
        <w:tc>
          <w:tcPr>
            <w:tcW w:w="6300" w:type="dxa"/>
            <w:gridSpan w:val="4"/>
            <w:tcBorders>
              <w:top w:val="single" w:color="auto" w:sz="4" w:space="0"/>
              <w:left w:val="nil"/>
              <w:bottom w:val="single" w:color="auto" w:sz="4" w:space="0"/>
              <w:right w:val="single" w:color="auto" w:sz="4" w:space="0"/>
            </w:tcBorders>
            <w:shd w:val="clear" w:color="000000" w:fill="FFFFFF"/>
            <w:noWrap/>
            <w:vAlign w:val="bottom"/>
          </w:tcPr>
          <w:p>
            <w:pPr>
              <w:widowControl/>
              <w:spacing w:line="240" w:lineRule="auto"/>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44850</w:t>
            </w:r>
          </w:p>
        </w:tc>
      </w:tr>
      <w:tr>
        <w:tblPrEx>
          <w:tblCellMar>
            <w:top w:w="0" w:type="dxa"/>
            <w:left w:w="108" w:type="dxa"/>
            <w:bottom w:w="0" w:type="dxa"/>
            <w:right w:w="108" w:type="dxa"/>
          </w:tblCellMar>
        </w:tblPrEx>
        <w:trPr>
          <w:trHeight w:val="90" w:hRule="atLeast"/>
          <w:jc w:val="center"/>
        </w:trPr>
        <w:tc>
          <w:tcPr>
            <w:tcW w:w="9267" w:type="dxa"/>
            <w:gridSpan w:val="6"/>
            <w:tcBorders>
              <w:top w:val="single" w:color="auto" w:sz="4" w:space="0"/>
              <w:left w:val="single" w:color="auto" w:sz="4" w:space="0"/>
              <w:bottom w:val="single" w:color="auto" w:sz="4" w:space="0"/>
              <w:right w:val="single" w:color="auto" w:sz="4" w:space="0"/>
            </w:tcBorders>
            <w:shd w:val="clear" w:color="000000" w:fill="8DB4E2"/>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3、综合管理平台及配套（端口费）</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基础包</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套</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¥8,000.00 </w:t>
            </w:r>
          </w:p>
        </w:tc>
        <w:tc>
          <w:tcPr>
            <w:tcW w:w="226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79000</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视频监控</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路</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1300</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¥50.00 </w:t>
            </w:r>
          </w:p>
        </w:tc>
        <w:tc>
          <w:tcPr>
            <w:tcW w:w="226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微软雅黑" w:hAnsi="微软雅黑" w:eastAsia="微软雅黑" w:cs="宋体"/>
                <w:color w:val="000000"/>
                <w:kern w:val="0"/>
                <w:sz w:val="20"/>
                <w:szCs w:val="20"/>
              </w:rPr>
            </w:pP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巡更</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点</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100</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　</w:t>
            </w:r>
          </w:p>
        </w:tc>
        <w:tc>
          <w:tcPr>
            <w:tcW w:w="226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微软雅黑" w:hAnsi="微软雅黑" w:eastAsia="微软雅黑" w:cs="宋体"/>
                <w:color w:val="000000"/>
                <w:kern w:val="0"/>
                <w:sz w:val="20"/>
                <w:szCs w:val="20"/>
              </w:rPr>
            </w:pP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入侵报警</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50</w:t>
            </w:r>
          </w:p>
        </w:tc>
        <w:tc>
          <w:tcPr>
            <w:tcW w:w="226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微软雅黑" w:hAnsi="微软雅黑" w:eastAsia="微软雅黑" w:cs="宋体"/>
                <w:color w:val="000000"/>
                <w:kern w:val="0"/>
                <w:sz w:val="20"/>
                <w:szCs w:val="20"/>
              </w:rPr>
            </w:pP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平台管理服务器</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49000</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49000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流媒体转发服务器</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38000</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38000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施工辅材</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套</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¥1590.00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1590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小计</w:t>
            </w:r>
          </w:p>
        </w:tc>
        <w:tc>
          <w:tcPr>
            <w:tcW w:w="6300" w:type="dxa"/>
            <w:gridSpan w:val="4"/>
            <w:tcBorders>
              <w:top w:val="single" w:color="auto" w:sz="4" w:space="0"/>
              <w:left w:val="nil"/>
              <w:bottom w:val="single" w:color="auto" w:sz="4" w:space="0"/>
              <w:right w:val="single" w:color="auto" w:sz="4" w:space="0"/>
            </w:tcBorders>
            <w:shd w:val="clear" w:color="000000" w:fill="FFFFFF"/>
            <w:noWrap/>
            <w:vAlign w:val="bottom"/>
          </w:tcPr>
          <w:p>
            <w:pPr>
              <w:widowControl/>
              <w:spacing w:line="240" w:lineRule="auto"/>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xml:space="preserve">167590 </w:t>
            </w:r>
          </w:p>
        </w:tc>
      </w:tr>
      <w:tr>
        <w:tblPrEx>
          <w:tblCellMar>
            <w:top w:w="0" w:type="dxa"/>
            <w:left w:w="108" w:type="dxa"/>
            <w:bottom w:w="0" w:type="dxa"/>
            <w:right w:w="108" w:type="dxa"/>
          </w:tblCellMar>
        </w:tblPrEx>
        <w:trPr>
          <w:trHeight w:val="90" w:hRule="atLeast"/>
          <w:jc w:val="center"/>
        </w:trPr>
        <w:tc>
          <w:tcPr>
            <w:tcW w:w="9267" w:type="dxa"/>
            <w:gridSpan w:val="6"/>
            <w:tcBorders>
              <w:top w:val="single" w:color="auto" w:sz="4" w:space="0"/>
              <w:left w:val="single" w:color="auto" w:sz="4" w:space="0"/>
              <w:bottom w:val="single" w:color="auto" w:sz="4" w:space="0"/>
              <w:right w:val="single" w:color="auto" w:sz="4" w:space="0"/>
            </w:tcBorders>
            <w:shd w:val="clear" w:color="000000" w:fill="8DB4E2"/>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4、LCD拼接显示屏</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55寸拼接屏</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¥9,000.00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108000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一体化支架</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套</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¥2,100.00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25200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高清解码器</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25500</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25500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262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HDMI线缆</w:t>
            </w:r>
          </w:p>
        </w:tc>
        <w:tc>
          <w:tcPr>
            <w:tcW w:w="6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97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028"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¥860.00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8600 </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小计</w:t>
            </w:r>
          </w:p>
        </w:tc>
        <w:tc>
          <w:tcPr>
            <w:tcW w:w="6300" w:type="dxa"/>
            <w:gridSpan w:val="4"/>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　</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159560</w:t>
            </w:r>
          </w:p>
        </w:tc>
      </w:tr>
      <w:tr>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合计</w:t>
            </w:r>
          </w:p>
        </w:tc>
        <w:tc>
          <w:tcPr>
            <w:tcW w:w="6300" w:type="dxa"/>
            <w:gridSpan w:val="4"/>
            <w:tcBorders>
              <w:top w:val="single" w:color="auto" w:sz="4" w:space="0"/>
              <w:left w:val="nil"/>
              <w:bottom w:val="single" w:color="auto" w:sz="4" w:space="0"/>
              <w:right w:val="single" w:color="auto" w:sz="4" w:space="0"/>
            </w:tcBorders>
            <w:shd w:val="clear" w:color="000000" w:fill="FFFFFF"/>
            <w:vAlign w:val="bottom"/>
          </w:tcPr>
          <w:p>
            <w:pPr>
              <w:widowControl/>
              <w:spacing w:line="240" w:lineRule="auto"/>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1：本院现有设备品牌为海康，要求完全兼容现有设备。2：此预算包含材料、工时、运输、税费及安装调试等全部费用。</w:t>
            </w:r>
          </w:p>
        </w:tc>
        <w:tc>
          <w:tcPr>
            <w:tcW w:w="22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372000</w:t>
            </w:r>
          </w:p>
        </w:tc>
      </w:tr>
    </w:tbl>
    <w:p>
      <w:pPr>
        <w:spacing w:line="460" w:lineRule="exact"/>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三、</w:t>
      </w:r>
      <w:r>
        <w:rPr>
          <w:rFonts w:hint="eastAsia" w:ascii="宋体" w:hAnsi="宋体" w:eastAsia="宋体" w:cs="宋体"/>
          <w:b/>
          <w:bCs/>
          <w:color w:val="auto"/>
          <w:kern w:val="2"/>
          <w:sz w:val="21"/>
          <w:szCs w:val="21"/>
          <w:lang w:val="en-US" w:eastAsia="zh-CN" w:bidi="ar-SA"/>
        </w:rPr>
        <w:t>供应商资格要求：</w:t>
      </w:r>
    </w:p>
    <w:p>
      <w:pPr>
        <w:numPr>
          <w:ilvl w:val="0"/>
          <w:numId w:val="0"/>
        </w:numPr>
        <w:spacing w:line="460" w:lineRule="exact"/>
        <w:ind w:firstLine="420" w:firstLineChars="200"/>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同竞争性磋商公告资格要求。</w:t>
      </w:r>
    </w:p>
    <w:p>
      <w:pPr>
        <w:numPr>
          <w:ilvl w:val="0"/>
          <w:numId w:val="0"/>
        </w:numPr>
        <w:spacing w:line="460" w:lineRule="exact"/>
        <w:rPr>
          <w:rFonts w:hint="default"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、详细技术要求、参数及产品资料等：</w:t>
      </w:r>
      <w:r>
        <w:rPr>
          <w:rFonts w:hint="eastAsia" w:ascii="宋体" w:hAnsi="宋体" w:cs="宋体"/>
          <w:b/>
          <w:bCs/>
          <w:kern w:val="2"/>
          <w:sz w:val="21"/>
          <w:szCs w:val="21"/>
          <w:lang w:val="en-US" w:eastAsia="zh-CN" w:bidi="ar-SA"/>
        </w:rPr>
        <w:t xml:space="preserve">   </w:t>
      </w:r>
    </w:p>
    <w:bookmarkEnd w:id="35"/>
    <w:bookmarkEnd w:id="36"/>
    <w:tbl>
      <w:tblPr>
        <w:tblStyle w:val="33"/>
        <w:tblW w:w="9413" w:type="dxa"/>
        <w:tblInd w:w="-6" w:type="dxa"/>
        <w:tblLayout w:type="autofit"/>
        <w:tblCellMar>
          <w:top w:w="0" w:type="dxa"/>
          <w:left w:w="108" w:type="dxa"/>
          <w:bottom w:w="0" w:type="dxa"/>
          <w:right w:w="108" w:type="dxa"/>
        </w:tblCellMar>
      </w:tblPr>
      <w:tblGrid>
        <w:gridCol w:w="656"/>
        <w:gridCol w:w="1570"/>
        <w:gridCol w:w="6520"/>
        <w:gridCol w:w="667"/>
      </w:tblGrid>
      <w:tr>
        <w:tblPrEx>
          <w:tblCellMar>
            <w:top w:w="0" w:type="dxa"/>
            <w:left w:w="108" w:type="dxa"/>
            <w:bottom w:w="0" w:type="dxa"/>
            <w:right w:w="108" w:type="dxa"/>
          </w:tblCellMar>
        </w:tblPrEx>
        <w:trPr>
          <w:trHeight w:val="664" w:hRule="atLeast"/>
        </w:trPr>
        <w:tc>
          <w:tcPr>
            <w:tcW w:w="6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序号</w:t>
            </w:r>
          </w:p>
        </w:tc>
        <w:tc>
          <w:tcPr>
            <w:tcW w:w="157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主材（设备名称/施工）</w:t>
            </w:r>
          </w:p>
        </w:tc>
        <w:tc>
          <w:tcPr>
            <w:tcW w:w="652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技术参数</w:t>
            </w:r>
          </w:p>
        </w:tc>
        <w:tc>
          <w:tcPr>
            <w:tcW w:w="6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单位</w:t>
            </w:r>
          </w:p>
        </w:tc>
      </w:tr>
      <w:tr>
        <w:tblPrEx>
          <w:tblCellMar>
            <w:top w:w="0" w:type="dxa"/>
            <w:left w:w="108" w:type="dxa"/>
            <w:bottom w:w="0" w:type="dxa"/>
            <w:right w:w="108" w:type="dxa"/>
          </w:tblCellMar>
        </w:tblPrEx>
        <w:trPr>
          <w:trHeight w:val="335" w:hRule="atLeast"/>
        </w:trPr>
        <w:tc>
          <w:tcPr>
            <w:tcW w:w="9413" w:type="dxa"/>
            <w:gridSpan w:val="4"/>
            <w:tcBorders>
              <w:top w:val="single" w:color="auto" w:sz="4" w:space="0"/>
              <w:left w:val="single" w:color="auto" w:sz="4" w:space="0"/>
              <w:bottom w:val="single" w:color="auto" w:sz="4" w:space="0"/>
              <w:right w:val="single" w:color="auto" w:sz="4" w:space="0"/>
            </w:tcBorders>
            <w:shd w:val="clear" w:color="000000" w:fill="8DB4E2"/>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1、入侵报警系统</w:t>
            </w:r>
          </w:p>
        </w:tc>
      </w:tr>
      <w:tr>
        <w:tblPrEx>
          <w:tblCellMar>
            <w:top w:w="0" w:type="dxa"/>
            <w:left w:w="108" w:type="dxa"/>
            <w:bottom w:w="0" w:type="dxa"/>
            <w:right w:w="108" w:type="dxa"/>
          </w:tblCellMar>
        </w:tblPrEx>
        <w:trPr>
          <w:trHeight w:val="3492"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防入侵摄像机</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16"/>
                <w:szCs w:val="16"/>
              </w:rPr>
              <w:t>采用深度学习硬件及算法，具备越界侦测，区域入侵侦测，进入区域侦测和离开区域侦测，具备联动声音报警</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最高分辨率可达≥2688 × 1520 @25 fps，在该分辨率下可输出实时图像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具备背光补偿，强光抑制，3D数字降噪，120 dB宽动态</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具备ROI感兴趣区域增强编码，具备Smart265/264编码，可根据场景情况自适应调整码率分配，有效节省存储成本，具备萤石平台</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1个内置麦克风，1个内置扬声器，具备双向语音对讲</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具备≥256 GB MicroSD/MicroSDHC/MicroSDXC卡本地存储</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具备1路报警输入，1路报警输出（报警输出最大具备AC24 V/DC24 V，1 A），1路音频输入，1路音频输出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FWDA4-LS型号具备：DC12 V，100 mA电源输出，可用于拾音器供电</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具备白光/红外双补光，红外最远可达50 m，白光最远可达30 m</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符合IP66防尘防水设计，可靠性高</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r>
      <w:tr>
        <w:tblPrEx>
          <w:tblCellMar>
            <w:top w:w="0" w:type="dxa"/>
            <w:left w:w="108" w:type="dxa"/>
            <w:bottom w:w="0" w:type="dxa"/>
            <w:right w:w="108" w:type="dxa"/>
          </w:tblCellMar>
        </w:tblPrEx>
        <w:trPr>
          <w:trHeight w:val="335"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材料</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线材，线管，胶布，接头，管卡，扎带等</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点</w:t>
            </w:r>
          </w:p>
        </w:tc>
      </w:tr>
      <w:tr>
        <w:tblPrEx>
          <w:tblCellMar>
            <w:top w:w="0" w:type="dxa"/>
            <w:left w:w="108" w:type="dxa"/>
            <w:bottom w:w="0" w:type="dxa"/>
            <w:right w:w="108" w:type="dxa"/>
          </w:tblCellMar>
        </w:tblPrEx>
        <w:trPr>
          <w:trHeight w:val="335" w:hRule="atLeast"/>
        </w:trPr>
        <w:tc>
          <w:tcPr>
            <w:tcW w:w="9413" w:type="dxa"/>
            <w:gridSpan w:val="4"/>
            <w:tcBorders>
              <w:top w:val="single" w:color="auto" w:sz="4" w:space="0"/>
              <w:left w:val="single" w:color="auto" w:sz="4" w:space="0"/>
              <w:bottom w:val="single" w:color="auto" w:sz="4" w:space="0"/>
              <w:right w:val="single" w:color="auto" w:sz="4" w:space="0"/>
            </w:tcBorders>
            <w:shd w:val="clear" w:color="000000" w:fill="8DB4E2"/>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3、综合管理平台及配套（端口费）</w:t>
            </w:r>
          </w:p>
        </w:tc>
      </w:tr>
      <w:tr>
        <w:tblPrEx>
          <w:tblCellMar>
            <w:top w:w="0" w:type="dxa"/>
            <w:left w:w="108" w:type="dxa"/>
            <w:bottom w:w="0" w:type="dxa"/>
            <w:right w:w="108" w:type="dxa"/>
          </w:tblCellMar>
        </w:tblPrEx>
        <w:trPr>
          <w:trHeight w:val="4450"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基础包</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系统基础包，提供业务应用依赖的基础资源信息及基础服务能力，包括系统基础信息管理、地图应用服务、事件联动应用服务。</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系统基础信息管理：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一、组织资源管理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1、具备组织基础信息的增删改查、导入、导出等功能；</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二、区域资源管理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1、具备区域基础信息的增删改查、导入、导出等功能；</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三、人员信息管理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1、具备人员信息的增删改查、导入、导出，包括人脸、指纹采集；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2、具备人员基础信息自定义扩展；</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四、卡片信息管理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1、具备卡片基本信息的增删改查、导入、导出；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2、具备人员开卡、退卡、挂失、解挂、换卡及卡扇区加密；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五、车辆信息管理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1、具备车辆基本信息的增删改查、导入、导出；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六、设备信息管理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1、提供设备统一接入管理，包括：视频设备、出入口设备、门禁设备、梯控设备、可视对讲设备、食堂消费设备、寻车诱导设备、卡口设备、车载设备、报警设备等。</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七、系统用户管理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1、具备账户基本信息和角色信息的增删改查；</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2、具备配置不同角色权限，包括菜单权限、组织权限、区域权限、资源权限、功能控制权限；</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3、具备用户组权限分配；</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4、具备用户安全管理，可绑定用户mac地址及IP，可自行修改用户密码或者管理员重置密码；</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5、具备从Windows域同步用户信息，用于域账户进行平台登录；</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八、核心参数配置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1、具备首页菜单自定义展示设置；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2、具备所有设备统一校时；</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3、提供账户安全设置，具备账户密码有效期设置。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图上监控：</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图上监控应用以地图可视化模式为各类设备资源提供可视化展示及控制操作，在地图上可展示各类资源点的地理位置，通过接收资源点报警事件，实现报警信息可视化展示。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1、具备地图配置能力，包含在线（高德）、离线GIS地图（高德、自定义）</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资源上图配置能力，实现资源的地图可视化展示及控制操作，资源类型包含监控点、报警输出、报警输入、门禁点、出入口、停车场、传感器、手持视频终端、园区卡口资源、防区、报警输入、报警输出、报警主机IO输出、消防设备；</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3、具备事件可视化监控能力，实时展示报警事件，具备历史报警事件查询；</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4、具备针对移动GPS设备的轨迹回放能力，如单兵设备；</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事件联动：</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一、事件联动管理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1、具备事件联动规则配置管理，包括规则增删改查；</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2、具备事件规则计划模板，包括全天候模式、工作日模式、周末模式及自定义模式；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4、提供7种高级联动规则模版配置，具备配置满足在指定时间段存在多个触发事件类型而联动多个并发动作的场景。</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二、事件检索管理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1、具备报警事件自定义时间存储，最长具备≥36个月存储；</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2、具备多种维度检索报警事件，包括：区域、位置、事件源、事件等级、时间、状态等维度；</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3、具备事件详情查看，包括抓图、录像等；</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4、具备对报警事件进行标记、处理以及导出。</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套</w:t>
            </w:r>
          </w:p>
        </w:tc>
      </w:tr>
      <w:tr>
        <w:tblPrEx>
          <w:tblCellMar>
            <w:top w:w="0" w:type="dxa"/>
            <w:left w:w="108" w:type="dxa"/>
            <w:bottom w:w="0" w:type="dxa"/>
            <w:right w:w="108" w:type="dxa"/>
          </w:tblCellMar>
        </w:tblPrEx>
        <w:trPr>
          <w:trHeight w:val="1437"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视频监控</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视频监控应用提供视频管理服务，实现视频预览、录像回放、视频上墙、视频事件监控服务能力，并且在网络带宽不足、有流量限制的网络环境下可以通过以图片替代视频的模式提供监控服务。</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一、视频预览</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1、具备视频实时预览能力，实现预览窗口布局切换、预览画面自适应及全屏切换；</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2、具备云台控制、实时抓图、紧急录像、即时回放、主子码流切换、声音开启\关闭、辅屏预览（1个辅屏）、对讲、广播、报警输出控制的能力；</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3、具备智能规则展示的能力（如：针对热成像设备温度信息实时展示）；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4、具备资源视图管理能力，以视图形式管理监控点、视频预览轮巡等自定义资源组，其中视图类型包含公有视图和私有视图；</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5、具备全景视频监控预览能力，具备球型鹰眼、全景摄像机的全景模式；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二、录像回放</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1、具备录像计划管理能力，具备实时录像计划、录像回传计划；</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2、具备录像回放能力，具备多画面同步回放和异步回放切换、超高倍速回放、分段回放、录像下载、录像剪辑、录像标签、录像锁定、录像抓图；</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三、图片监控</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1、具备视频预览与图片实时监控模式切换能力，实现图片监控模式；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2、具备图片查询回放能力，实现按监控点、时间段展示抓拍图片；</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3、具备图片自动播放能力，具备图片自动播放速度可设置；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4、具备图片下载能力；</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四、视频上墙</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1、具备电视墙场景管理能力，实现场景窗口配置、场景切换计划配置以及轮巡计划的管理；</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2、具备上墙控制能力，实现场景一键上墙、场景切换、电视墙切换、监控点上下墙、轮巡控制操作；</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五、视频事件</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1、具备视频事件布撤防能力，可按计划模版进行布防，事件类型包括移动侦测、视频丢失、视频遮挡、报警输入、报警输出；</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路</w:t>
            </w:r>
          </w:p>
        </w:tc>
      </w:tr>
      <w:tr>
        <w:tblPrEx>
          <w:tblCellMar>
            <w:top w:w="0" w:type="dxa"/>
            <w:left w:w="108" w:type="dxa"/>
            <w:bottom w:w="0" w:type="dxa"/>
            <w:right w:w="108" w:type="dxa"/>
          </w:tblCellMar>
        </w:tblPrEx>
        <w:trPr>
          <w:trHeight w:val="993"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入侵报警</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入侵报警应用基于前端防区探测器进行园区范围内的入侵行为或意外事件的迅速感知和处理，实现针对园区内部的高效安全防范。</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1、具备报警子系统管理能力，包含布防、撤防、消警控制操作；</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2、具备防区管理能力，包含旁路、旁路恢复操作；</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3、具备实时入侵报警能力；</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4、具备历史入侵报警事件查询及导出能力</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r>
      <w:tr>
        <w:tblPrEx>
          <w:tblCellMar>
            <w:top w:w="0" w:type="dxa"/>
            <w:left w:w="108" w:type="dxa"/>
            <w:bottom w:w="0" w:type="dxa"/>
            <w:right w:w="108" w:type="dxa"/>
          </w:tblCellMar>
        </w:tblPrEx>
        <w:trPr>
          <w:trHeight w:val="1816"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平台管理服务器</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2U双路标准机架式服务器</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CPU：2颗intel至强系列处理器，核数≥10核，主频≥2.4GHz</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内存：128G DDR4，16根内存插槽，最大具备扩展至2TB内存</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硬盘：2块600G 10K 2.5寸 SAS硬盘</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阵列卡：可选SAS_HBA卡，具备RAID 0/1/10 ;可选RAID 卡，具备0/1/5/6/10/50/60，可选具备断电保护</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PCIE扩展：最大可具备6个PCIE扩展插槽</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网口：2个千兆电口</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其他接口：1个RJ45管理接口，后置2个USB 3.0接口，前置2个USB2.0接口，1个VGA接口</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电源：标配550W（1+1）高效铂金CRPS冗余电源</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r>
      <w:tr>
        <w:tblPrEx>
          <w:tblCellMar>
            <w:top w:w="0" w:type="dxa"/>
            <w:left w:w="108" w:type="dxa"/>
            <w:bottom w:w="0" w:type="dxa"/>
            <w:right w:w="108" w:type="dxa"/>
          </w:tblCellMar>
        </w:tblPrEx>
        <w:trPr>
          <w:trHeight w:val="1816"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流媒体转发服务器</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U双路标准机架式服务器</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CPU：1颗intel至强系列处理器，核数≥10核，主频≥2.2GHz</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内存：32G*2 DDR4，16根内存插槽，最大具备扩展至2TB内存</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硬盘：2块1.2T 10K 2.5寸 SAS硬盘</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阵列卡：可选SAS_HBA卡，具备RAID 0/1/10 ;可选RAID 卡，具备0/1/5/6/10/50/60，可选具备断电保护</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PCIE扩展：最大可具备6个PCIE扩展插槽</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网口：2个千兆电口</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其他接口：1个RJ45管理接口，后置2个USB 3.0接口，前置2个USB2.0接口，1个VGA接口</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电源：标配550W（1+1）高效铂金CRPS冗余电源</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r>
      <w:tr>
        <w:tblPrEx>
          <w:tblCellMar>
            <w:top w:w="0" w:type="dxa"/>
            <w:left w:w="108" w:type="dxa"/>
            <w:bottom w:w="0" w:type="dxa"/>
            <w:right w:w="108" w:type="dxa"/>
          </w:tblCellMar>
        </w:tblPrEx>
        <w:trPr>
          <w:trHeight w:val="335"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施工辅材</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接插件（水晶头、铜线鼻等）、扎带、紧固件、抱箍、标签、线管等</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套</w:t>
            </w:r>
          </w:p>
        </w:tc>
      </w:tr>
      <w:tr>
        <w:tblPrEx>
          <w:tblCellMar>
            <w:top w:w="0" w:type="dxa"/>
            <w:left w:w="108" w:type="dxa"/>
            <w:bottom w:w="0" w:type="dxa"/>
            <w:right w:w="108" w:type="dxa"/>
          </w:tblCellMar>
        </w:tblPrEx>
        <w:trPr>
          <w:trHeight w:val="335" w:hRule="atLeast"/>
        </w:trPr>
        <w:tc>
          <w:tcPr>
            <w:tcW w:w="9413" w:type="dxa"/>
            <w:gridSpan w:val="4"/>
            <w:tcBorders>
              <w:top w:val="single" w:color="auto" w:sz="4" w:space="0"/>
              <w:left w:val="single" w:color="auto" w:sz="4" w:space="0"/>
              <w:bottom w:val="single" w:color="auto" w:sz="4" w:space="0"/>
              <w:right w:val="single" w:color="auto" w:sz="4" w:space="0"/>
            </w:tcBorders>
            <w:shd w:val="clear" w:color="000000" w:fill="8DB4E2"/>
            <w:vAlign w:val="center"/>
          </w:tcPr>
          <w:p>
            <w:pPr>
              <w:widowControl/>
              <w:spacing w:line="240" w:lineRule="auto"/>
              <w:jc w:val="left"/>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4、LCD拼接显示屏</w:t>
            </w:r>
          </w:p>
        </w:tc>
      </w:tr>
      <w:tr>
        <w:tblPrEx>
          <w:tblCellMar>
            <w:top w:w="0" w:type="dxa"/>
            <w:left w:w="108" w:type="dxa"/>
            <w:bottom w:w="0" w:type="dxa"/>
            <w:right w:w="108" w:type="dxa"/>
          </w:tblCellMar>
        </w:tblPrEx>
        <w:trPr>
          <w:trHeight w:val="499"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55寸拼接屏</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LCD液晶显示单元</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尺寸：55英寸</w:t>
            </w:r>
          </w:p>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物理拼接缝；1.8毫米</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r>
      <w:tr>
        <w:tblPrEx>
          <w:tblCellMar>
            <w:top w:w="0" w:type="dxa"/>
            <w:left w:w="108" w:type="dxa"/>
            <w:bottom w:w="0" w:type="dxa"/>
            <w:right w:w="108" w:type="dxa"/>
          </w:tblCellMar>
        </w:tblPrEx>
        <w:trPr>
          <w:trHeight w:val="664"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一体化支架</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支架均采用SPCC优质冷轧钢板保障质量的源头（材质证明）；表面采用静电喷塑工艺，喷塑固化温度180-210度，涂层厚度80-100微米，对高防腐要求产品还可选择阴极电泳底漆工艺，防腐耐锈。</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套</w:t>
            </w:r>
          </w:p>
        </w:tc>
      </w:tr>
      <w:tr>
        <w:tblPrEx>
          <w:tblCellMar>
            <w:top w:w="0" w:type="dxa"/>
            <w:left w:w="108" w:type="dxa"/>
            <w:bottom w:w="0" w:type="dxa"/>
            <w:right w:w="108" w:type="dxa"/>
          </w:tblCellMar>
        </w:tblPrEx>
        <w:trPr>
          <w:trHeight w:val="2969"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高清解码器</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高清视音频解码器，采用Linux操作系统，运行稳定可靠</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输入接口：具备一路VGA和一路DVI接入</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输出接口：具备16路HDMI和6路BNC输出，HDMI（可以转DVI-D）（奇数口）输出分辨率最高具备≥4K（3840*2160@30HZ）</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编码格式：具备H.265、H.264、MPEG4、MJPEG等主流的编码格式；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封装格式：具备PS、RTP、TS、ES等主流的封装格式；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音频解码：具备G.722、G.711A、G.726、G.711U、MPEG2-L2、AAC音频格式的解码；</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解码能力：具备16路1200W，或24路800W，或36路500W，或60路300W，或96路1080P及以下分辨率同时实时解码；</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画面分割：具备1、2、4、6、8、9、10、12、16、25、36画面分割显示。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网络接口：≥2光口，≥2电口</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音频接口：具备≥12路音频输出，1路对讲输入，1路对讲输出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串行接口：一个标准232接口（RJ45）、一个标准485接口</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报警接口：8路报警输入，8路报警输出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产品尺寸：440mm(宽)×80mm(高)×311mm(深)</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r>
      <w:tr>
        <w:tblPrEx>
          <w:tblCellMar>
            <w:top w:w="0" w:type="dxa"/>
            <w:left w:w="108" w:type="dxa"/>
            <w:bottom w:w="0" w:type="dxa"/>
            <w:right w:w="108" w:type="dxa"/>
          </w:tblCellMar>
        </w:tblPrEx>
        <w:trPr>
          <w:trHeight w:val="1652"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1570"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HDMI线缆</w:t>
            </w:r>
          </w:p>
        </w:tc>
        <w:tc>
          <w:tcPr>
            <w:tcW w:w="6520" w:type="dxa"/>
            <w:tcBorders>
              <w:top w:val="nil"/>
              <w:left w:val="nil"/>
              <w:bottom w:val="single" w:color="auto" w:sz="4" w:space="0"/>
              <w:right w:val="single" w:color="auto" w:sz="4" w:space="0"/>
            </w:tcBorders>
            <w:shd w:val="clear" w:color="000000" w:fill="FFFFFF"/>
            <w:vAlign w:val="center"/>
          </w:tcPr>
          <w:p>
            <w:pPr>
              <w:widowControl/>
              <w:spacing w:line="240" w:lineRule="auto"/>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HDMI电缆,1080P,10m,黑色</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端子镀金，耐氧化，阻抗小，信号传输更稳定。</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即插即用，无需驱动程序。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环保加厚外被，耐磨不易破裂，经久耐用。</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产品经过多项专业测试，有品质保证。</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产品特性</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接口类型：HDMI</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视频版本：HDMI 1.3</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具备最大分辨率：≥1080P 60Hz</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线缆类型（音视频线）：铜缆</w:t>
            </w:r>
          </w:p>
        </w:tc>
        <w:tc>
          <w:tcPr>
            <w:tcW w:w="66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r>
      <w:tr>
        <w:tblPrEx>
          <w:tblCellMar>
            <w:top w:w="0" w:type="dxa"/>
            <w:left w:w="108" w:type="dxa"/>
            <w:bottom w:w="0" w:type="dxa"/>
            <w:right w:w="108" w:type="dxa"/>
          </w:tblCellMar>
        </w:tblPrEx>
        <w:trPr>
          <w:trHeight w:val="669"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注：</w:t>
            </w:r>
          </w:p>
        </w:tc>
        <w:tc>
          <w:tcPr>
            <w:tcW w:w="8757" w:type="dxa"/>
            <w:gridSpan w:val="3"/>
            <w:tcBorders>
              <w:top w:val="single" w:color="auto" w:sz="4" w:space="0"/>
              <w:left w:val="nil"/>
              <w:bottom w:val="single" w:color="auto" w:sz="4" w:space="0"/>
              <w:right w:val="single" w:color="auto" w:sz="4" w:space="0"/>
            </w:tcBorders>
            <w:shd w:val="clear" w:color="000000" w:fill="FFFFFF"/>
            <w:vAlign w:val="bottom"/>
          </w:tcPr>
          <w:p>
            <w:pPr>
              <w:widowControl/>
              <w:spacing w:line="240" w:lineRule="auto"/>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1：本院现有设备品牌为海康，要求完全兼容现有设备。2：此预算包含工时、运输、税点及安装调试。</w:t>
            </w:r>
          </w:p>
        </w:tc>
      </w:tr>
    </w:tbl>
    <w:p>
      <w:pPr>
        <w:numPr>
          <w:ilvl w:val="0"/>
          <w:numId w:val="0"/>
        </w:numPr>
        <w:spacing w:line="460" w:lineRule="exact"/>
        <w:rPr>
          <w:rFonts w:hint="eastAsia"/>
          <w:b/>
          <w:bCs/>
          <w:color w:val="auto"/>
          <w:sz w:val="21"/>
          <w:szCs w:val="21"/>
          <w:highlight w:val="none"/>
        </w:rPr>
      </w:pPr>
      <w:r>
        <w:rPr>
          <w:rFonts w:hint="eastAsia"/>
          <w:b/>
          <w:bCs/>
          <w:color w:val="auto"/>
          <w:sz w:val="21"/>
          <w:szCs w:val="21"/>
          <w:highlight w:val="none"/>
          <w:lang w:val="en-US" w:eastAsia="zh-CN"/>
        </w:rPr>
        <w:t>五、</w:t>
      </w:r>
      <w:r>
        <w:rPr>
          <w:rFonts w:hint="eastAsia"/>
          <w:b/>
          <w:bCs/>
          <w:color w:val="auto"/>
          <w:sz w:val="21"/>
          <w:szCs w:val="21"/>
          <w:highlight w:val="none"/>
        </w:rPr>
        <w:t>服务条件及交货日期（或工期）：</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1、质量保证及售后服务：自验收之后质保期为两年，质保期内出现问题应在；两小时内响应并解决问题。</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2、交货工期：自签订合同日期为准15天后交工，进行组织验收。</w:t>
      </w:r>
    </w:p>
    <w:p>
      <w:pPr>
        <w:pStyle w:val="2"/>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 xml:space="preserve">  3。后续如需开通本软件端口费用及医院其他系统或平台的端口费用，由中标方承担。</w:t>
      </w:r>
    </w:p>
    <w:p>
      <w:pPr>
        <w:rPr>
          <w:rFonts w:hint="default"/>
          <w:lang w:val="en-US" w:eastAsia="zh-CN"/>
        </w:rPr>
      </w:pPr>
      <w:r>
        <w:rPr>
          <w:rFonts w:hint="eastAsia" w:ascii="宋体" w:hAnsi="宋体" w:cs="宋体"/>
          <w:b w:val="0"/>
          <w:bCs w:val="0"/>
          <w:color w:val="auto"/>
          <w:kern w:val="0"/>
          <w:sz w:val="21"/>
          <w:szCs w:val="21"/>
          <w:shd w:val="clear" w:color="auto" w:fill="FFFFFF"/>
          <w:lang w:val="en-US" w:eastAsia="zh-CN" w:bidi="ar-SA"/>
        </w:rPr>
        <w:t xml:space="preserve">  4.安防软件系统终身免费升级，维护。</w:t>
      </w:r>
      <w:bookmarkStart w:id="91" w:name="_GoBack"/>
      <w:bookmarkEnd w:id="91"/>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460" w:lineRule="exact"/>
              <w:rPr>
                <w:rFonts w:hint="default"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自验收之后质保期为两年，质保期内出现问题应在；两小时内响应并解决问题。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val="0"/>
                <w:bCs w:val="0"/>
                <w:color w:val="auto"/>
                <w:kern w:val="0"/>
                <w:sz w:val="21"/>
                <w:szCs w:val="21"/>
                <w:shd w:val="clear" w:color="auto" w:fill="FFFFFF"/>
                <w:lang w:val="en-US" w:eastAsia="zh-CN" w:bidi="ar-SA"/>
              </w:rPr>
              <w:t>自签订合同日期为准15天后交工，进行组织验收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驻马店市中心医院安防综合管理平台建设项目（二次）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37.2万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37.2万</w:t>
      </w:r>
      <w:r>
        <w:rPr>
          <w:rFonts w:hint="eastAsia" w:ascii="宋体" w:hAnsi="宋体" w:cs="宋体"/>
          <w:b/>
          <w:bCs/>
          <w:color w:val="auto"/>
          <w:kern w:val="0"/>
          <w:szCs w:val="21"/>
          <w:highlight w:val="none"/>
        </w:rPr>
        <w:t>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供应商应提供2021年度或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-6分；基本详细度、合理性差、可行性差的1-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.售后服务体系（15分）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pStyle w:val="3"/>
        <w:rPr>
          <w:rFonts w:hint="eastAsia"/>
        </w:rPr>
      </w:pPr>
    </w:p>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326786897"/>
      <w:bookmarkStart w:id="47" w:name="_Toc256519703"/>
      <w:bookmarkStart w:id="48" w:name="_Toc1947"/>
      <w:bookmarkStart w:id="49" w:name="_Toc1482"/>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驻马店市中心医院安防综合管理平台建设项目（二次）</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驻马店市中心医院安防综合管理平台建设项目（二次）</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32C74"/>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AA2A59"/>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EB508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ACD0DCE"/>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420C28"/>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896E11"/>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491B6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A13B91"/>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26601"/>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CF26EE"/>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2D52E4"/>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D874C0"/>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EB4428"/>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AE4E82"/>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2A222E"/>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0A4796"/>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160B9"/>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D1236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8A1B0F"/>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customStyle="1" w:styleId="5">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9"/>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Body Text 2"/>
    <w:basedOn w:val="1"/>
    <w:next w:val="4"/>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0"/>
    <w:qFormat/>
    <w:uiPriority w:val="0"/>
    <w:pPr>
      <w:jc w:val="center"/>
    </w:pPr>
    <w:rPr>
      <w:rFonts w:ascii="Arial" w:hAnsi="Arial"/>
      <w:b/>
      <w:sz w:val="28"/>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4"/>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18879</Words>
  <Characters>20180</Characters>
  <Lines>50</Lines>
  <Paragraphs>68</Paragraphs>
  <TotalTime>4</TotalTime>
  <ScaleCrop>false</ScaleCrop>
  <LinksUpToDate>false</LinksUpToDate>
  <CharactersWithSpaces>21246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2023-09-05T00:38:04Z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