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rPr>
      </w:pPr>
      <w:r>
        <w:rPr>
          <w:rFonts w:hint="eastAsia" w:cs="宋体"/>
          <w:b/>
          <w:bCs/>
          <w:sz w:val="48"/>
          <w:szCs w:val="48"/>
          <w:lang w:val="en-US" w:eastAsia="zh-CN"/>
        </w:rPr>
        <w:t>驻马店市中心医院聘请法律顾问</w:t>
      </w:r>
    </w:p>
    <w:p>
      <w:pPr>
        <w:pStyle w:val="18"/>
        <w:bidi w:val="0"/>
        <w:jc w:val="center"/>
        <w:rPr>
          <w:rStyle w:val="42"/>
          <w:rFonts w:hint="eastAsia" w:ascii="宋体" w:hAnsi="宋体" w:eastAsia="宋体" w:cs="宋体"/>
          <w:b/>
          <w:bCs/>
          <w:color w:val="auto"/>
          <w:sz w:val="48"/>
          <w:szCs w:val="48"/>
        </w:rPr>
      </w:pPr>
    </w:p>
    <w:p>
      <w:pPr>
        <w:pStyle w:val="18"/>
        <w:bidi w:val="0"/>
        <w:jc w:val="center"/>
        <w:rPr>
          <w:rStyle w:val="42"/>
          <w:rFonts w:hint="eastAsia" w:ascii="宋体" w:hAnsi="宋体" w:eastAsia="宋体" w:cs="宋体"/>
          <w:b/>
          <w:bCs/>
          <w:color w:val="auto"/>
          <w:sz w:val="48"/>
          <w:szCs w:val="48"/>
        </w:rPr>
      </w:pPr>
    </w:p>
    <w:p>
      <w:pPr>
        <w:pStyle w:val="18"/>
        <w:bidi w:val="0"/>
        <w:jc w:val="center"/>
        <w:rPr>
          <w:rStyle w:val="42"/>
          <w:rFonts w:hint="eastAsia" w:ascii="宋体" w:hAnsi="宋体" w:eastAsia="宋体" w:cs="宋体"/>
          <w:b/>
          <w:bCs/>
          <w:color w:val="auto"/>
          <w:sz w:val="48"/>
          <w:szCs w:val="48"/>
        </w:rPr>
      </w:pPr>
    </w:p>
    <w:p>
      <w:pPr>
        <w:pStyle w:val="18"/>
        <w:bidi w:val="0"/>
        <w:jc w:val="center"/>
        <w:rPr>
          <w:rStyle w:val="42"/>
          <w:rFonts w:hint="eastAsia" w:ascii="宋体" w:hAnsi="宋体" w:eastAsia="宋体" w:cs="宋体"/>
          <w:b/>
          <w:bCs/>
          <w:color w:val="auto"/>
          <w:sz w:val="48"/>
          <w:szCs w:val="48"/>
        </w:rPr>
      </w:pPr>
    </w:p>
    <w:p>
      <w:pPr>
        <w:pStyle w:val="18"/>
        <w:bidi w:val="0"/>
        <w:jc w:val="center"/>
        <w:rPr>
          <w:rStyle w:val="42"/>
          <w:rFonts w:hint="eastAsia" w:ascii="宋体" w:hAnsi="宋体" w:eastAsia="宋体" w:cs="宋体"/>
          <w:b/>
          <w:bCs/>
          <w:color w:val="auto"/>
          <w:szCs w:val="44"/>
        </w:rPr>
      </w:pPr>
      <w:r>
        <w:rPr>
          <w:rStyle w:val="42"/>
          <w:rFonts w:hint="eastAsia" w:cs="宋体"/>
          <w:b/>
          <w:bCs/>
          <w:color w:val="auto"/>
          <w:sz w:val="72"/>
          <w:szCs w:val="72"/>
          <w:lang w:val="en-US" w:eastAsia="zh-CN"/>
        </w:rPr>
        <w:t>采购</w:t>
      </w:r>
      <w:r>
        <w:rPr>
          <w:rStyle w:val="42"/>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29"/>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08</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驻马店市中心医院聘请法律顾问项目</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驻马店市中心医院聘请法律顾问项目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驻马店市中心医院聘请法律顾问项目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w:t>
      </w:r>
      <w:r>
        <w:rPr>
          <w:rFonts w:hint="eastAsia" w:ascii="宋体" w:hAnsi="宋体" w:eastAsia="宋体" w:cs="宋体"/>
          <w:color w:val="000000" w:themeColor="text1"/>
          <w:szCs w:val="21"/>
          <w:highlight w:val="none"/>
          <w:shd w:val="clear" w:color="auto" w:fill="FFFFFF"/>
          <w14:textFill>
            <w14:solidFill>
              <w14:schemeClr w14:val="tx1"/>
            </w14:solidFill>
          </w14:textFill>
        </w:rPr>
        <w:t>预算金额：</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4</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cs="宋体"/>
          <w:color w:val="000000" w:themeColor="text1"/>
          <w:kern w:val="0"/>
          <w:szCs w:val="21"/>
          <w:highlight w:val="none"/>
          <w:u w:val="none"/>
          <w:lang w:val="en-US" w:eastAsia="zh-CN"/>
          <w14:textFill>
            <w14:solidFill>
              <w14:schemeClr w14:val="tx1"/>
            </w14:solidFill>
          </w14:textFill>
        </w:rPr>
        <w:t>万</w:t>
      </w:r>
      <w:r>
        <w:rPr>
          <w:rFonts w:hint="eastAsia" w:ascii="宋体" w:hAnsi="宋体" w:eastAsia="宋体" w:cs="宋体"/>
          <w:color w:val="000000" w:themeColor="text1"/>
          <w:szCs w:val="21"/>
          <w:highlight w:val="none"/>
          <w:shd w:val="clear" w:color="auto" w:fill="FFFFFF"/>
          <w14:textFill>
            <w14:solidFill>
              <w14:schemeClr w14:val="tx1"/>
            </w14:solidFill>
          </w14:textFill>
        </w:rPr>
        <w:t>元</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自筹资金；</w:t>
      </w:r>
    </w:p>
    <w:p>
      <w:pPr>
        <w:snapToGrid w:val="0"/>
        <w:spacing w:line="360" w:lineRule="auto"/>
        <w:ind w:firstLine="420" w:firstLineChars="200"/>
        <w:rPr>
          <w:rFonts w:hint="default"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4、</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服务</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地点：采购人指定地点；</w:t>
      </w:r>
    </w:p>
    <w:p>
      <w:pPr>
        <w:widowControl/>
        <w:tabs>
          <w:tab w:val="left" w:pos="840"/>
        </w:tabs>
        <w:snapToGrid w:val="0"/>
        <w:spacing w:line="360" w:lineRule="auto"/>
        <w:ind w:firstLine="420" w:firstLineChars="200"/>
        <w:jc w:val="left"/>
        <w:rPr>
          <w:rFonts w:eastAsia="宋体"/>
          <w:color w:val="000000" w:themeColor="text1"/>
          <w:highlight w:val="none"/>
          <w14:textFill>
            <w14:solidFill>
              <w14:schemeClr w14:val="tx1"/>
            </w14:solidFill>
          </w14:textFill>
        </w:rPr>
      </w:pPr>
      <w:bookmarkStart w:id="4" w:name="_Toc19521"/>
      <w:bookmarkStart w:id="5" w:name="_Toc26079"/>
      <w:bookmarkStart w:id="6" w:name="_Toc27913"/>
      <w:bookmarkStart w:id="7" w:name="_Toc21071"/>
      <w:bookmarkStart w:id="8" w:name="_Toc24040"/>
      <w:r>
        <w:rPr>
          <w:rFonts w:hint="eastAsia" w:ascii="宋体" w:hAnsi="宋体" w:eastAsia="宋体" w:cs="宋体"/>
          <w:color w:val="000000" w:themeColor="text1"/>
          <w:szCs w:val="21"/>
          <w:highlight w:val="none"/>
          <w:shd w:val="clear" w:color="auto" w:fill="FFFFFF"/>
          <w14:textFill>
            <w14:solidFill>
              <w14:schemeClr w14:val="tx1"/>
            </w14:solidFill>
          </w14:textFill>
        </w:rPr>
        <w:t>5、</w:t>
      </w:r>
      <w:bookmarkEnd w:id="4"/>
      <w:bookmarkEnd w:id="5"/>
      <w:bookmarkEnd w:id="6"/>
      <w:bookmarkEnd w:id="7"/>
      <w:bookmarkEnd w:id="8"/>
      <w:r>
        <w:rPr>
          <w:rFonts w:hint="eastAsia" w:ascii="宋体" w:hAnsi="宋体" w:cs="宋体"/>
          <w:bCs/>
          <w:color w:val="000000" w:themeColor="text1"/>
          <w:szCs w:val="21"/>
          <w:highlight w:val="none"/>
          <w:shd w:val="clear" w:color="auto" w:fill="FFFFFF"/>
          <w:lang w:val="en-US" w:eastAsia="zh-CN"/>
          <w14:textFill>
            <w14:solidFill>
              <w14:schemeClr w14:val="tx1"/>
            </w14:solidFill>
          </w14:textFill>
        </w:rPr>
        <w:t>服务</w:t>
      </w:r>
      <w:r>
        <w:rPr>
          <w:rFonts w:hint="eastAsia" w:ascii="宋体" w:hAnsi="宋体" w:eastAsia="宋体" w:cs="宋体"/>
          <w:bCs/>
          <w:color w:val="000000" w:themeColor="text1"/>
          <w:szCs w:val="21"/>
          <w:highlight w:val="none"/>
          <w:shd w:val="clear" w:color="auto" w:fill="FFFFFF"/>
          <w14:textFill>
            <w14:solidFill>
              <w14:schemeClr w14:val="tx1"/>
            </w14:solidFill>
          </w14:textFill>
        </w:rPr>
        <w:t>期限：</w:t>
      </w:r>
      <w:r>
        <w:rPr>
          <w:rFonts w:hint="eastAsia" w:ascii="宋体" w:hAnsi="宋体" w:cs="宋体"/>
          <w:bCs/>
          <w:color w:val="000000" w:themeColor="text1"/>
          <w:szCs w:val="21"/>
          <w:highlight w:val="none"/>
          <w:shd w:val="clear" w:color="auto" w:fill="FFFFFF"/>
          <w:lang w:val="en-US" w:eastAsia="zh-CN"/>
          <w14:textFill>
            <w14:solidFill>
              <w14:schemeClr w14:val="tx1"/>
            </w14:solidFill>
          </w14:textFill>
        </w:rPr>
        <w:t>一年</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pPr>
        <w:widowControl/>
        <w:tabs>
          <w:tab w:val="left" w:pos="840"/>
        </w:tabs>
        <w:snapToGrid w:val="0"/>
        <w:spacing w:line="360" w:lineRule="auto"/>
        <w:ind w:firstLine="420" w:firstLineChars="200"/>
        <w:jc w:val="left"/>
        <w:rPr>
          <w:rFonts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bCs/>
          <w:color w:val="000000" w:themeColor="text1"/>
          <w:szCs w:val="21"/>
          <w:highlight w:val="none"/>
          <w:shd w:val="clear" w:color="auto" w:fill="FFFFFF"/>
          <w14:textFill>
            <w14:solidFill>
              <w14:schemeClr w14:val="tx1"/>
            </w14:solidFill>
          </w14:textFill>
        </w:rPr>
        <w:t>6、</w:t>
      </w:r>
      <w:r>
        <w:rPr>
          <w:rFonts w:hint="eastAsia" w:ascii="宋体" w:hAnsi="宋体" w:cs="宋体"/>
          <w:bCs/>
          <w:color w:val="000000" w:themeColor="text1"/>
          <w:szCs w:val="21"/>
          <w:highlight w:val="none"/>
          <w:shd w:val="clear" w:color="auto" w:fill="FFFFFF"/>
          <w:lang w:val="en-US" w:eastAsia="zh-CN"/>
          <w14:textFill>
            <w14:solidFill>
              <w14:schemeClr w14:val="tx1"/>
            </w14:solidFill>
          </w14:textFill>
        </w:rPr>
        <w:t>服务</w:t>
      </w:r>
      <w:r>
        <w:rPr>
          <w:rFonts w:hint="eastAsia" w:ascii="宋体" w:hAnsi="宋体" w:eastAsia="宋体" w:cs="宋体"/>
          <w:color w:val="000000" w:themeColor="text1"/>
          <w:szCs w:val="21"/>
          <w:highlight w:val="none"/>
          <w:shd w:val="clear" w:color="auto" w:fill="FFFFFF"/>
          <w14:textFill>
            <w14:solidFill>
              <w14:schemeClr w14:val="tx1"/>
            </w14:solidFill>
          </w14:textFill>
        </w:rPr>
        <w:t>要求：</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合格。</w:t>
      </w:r>
      <w:r>
        <w:rPr>
          <w:rFonts w:hint="eastAsia" w:ascii="宋体" w:hAnsi="宋体" w:cs="宋体"/>
          <w:color w:val="000000" w:themeColor="text1"/>
          <w:szCs w:val="21"/>
          <w:highlight w:val="none"/>
          <w:shd w:val="clear" w:color="auto" w:fill="FFFFFF"/>
          <w:lang w:eastAsia="zh-CN"/>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以采购人要求为准</w:t>
      </w:r>
      <w:r>
        <w:rPr>
          <w:rFonts w:hint="eastAsia" w:ascii="宋体" w:hAnsi="宋体" w:cs="宋体"/>
          <w:color w:val="000000" w:themeColor="text1"/>
          <w:szCs w:val="21"/>
          <w:highlight w:val="none"/>
          <w:shd w:val="clear" w:color="auto" w:fill="FFFFFF"/>
          <w:lang w:eastAsia="zh-CN"/>
          <w14:textFill>
            <w14:solidFill>
              <w14:schemeClr w14:val="tx1"/>
            </w14:solidFill>
          </w14:textFill>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9" w:name="_Toc27704"/>
      <w:bookmarkStart w:id="10" w:name="_Toc16639"/>
      <w:bookmarkStart w:id="11" w:name="_Toc18607"/>
      <w:bookmarkStart w:id="12" w:name="_Toc23626"/>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9"/>
      <w:bookmarkEnd w:id="10"/>
      <w:bookmarkEnd w:id="11"/>
      <w:bookmarkEnd w:id="12"/>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b w:val="0"/>
          <w:bCs w:val="0"/>
          <w:color w:val="auto"/>
          <w:kern w:val="2"/>
          <w:sz w:val="21"/>
          <w:szCs w:val="21"/>
          <w:shd w:val="clear" w:color="auto" w:fill="FFFFFF"/>
          <w:lang w:val="en-US" w:eastAsia="zh-CN" w:bidi="ar-SA"/>
        </w:rPr>
      </w:pPr>
      <w:bookmarkStart w:id="13" w:name="_Toc30971"/>
      <w:bookmarkStart w:id="14" w:name="_Toc23395"/>
      <w:bookmarkStart w:id="15" w:name="_Toc7823"/>
      <w:bookmarkStart w:id="16" w:name="_Toc9562"/>
      <w:bookmarkStart w:id="17" w:name="_Toc30643"/>
      <w:r>
        <w:rPr>
          <w:rFonts w:hint="eastAsia" w:ascii="宋体" w:hAnsi="宋体" w:eastAsia="宋体" w:cs="宋体"/>
          <w:b w:val="0"/>
          <w:bCs w:val="0"/>
          <w:color w:val="auto"/>
          <w:kern w:val="2"/>
          <w:sz w:val="21"/>
          <w:szCs w:val="21"/>
          <w:shd w:val="clear" w:color="auto" w:fill="FFFFFF"/>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2、</w:t>
      </w:r>
      <w:r>
        <w:rPr>
          <w:rFonts w:hint="eastAsia" w:ascii="宋体" w:hAnsi="宋体" w:eastAsia="宋体" w:cs="宋体"/>
          <w:b w:val="0"/>
          <w:bCs w:val="0"/>
          <w:color w:val="auto"/>
          <w:kern w:val="2"/>
          <w:sz w:val="21"/>
          <w:szCs w:val="21"/>
          <w:shd w:val="clear" w:color="auto" w:fill="FFFFFF"/>
          <w:lang w:val="en-US" w:eastAsia="zh-CN" w:bidi="ar-SA"/>
        </w:rPr>
        <w:t>投标人在中华人民共和国境内合法成立的律师事务所或法律服务所</w:t>
      </w:r>
      <w:r>
        <w:rPr>
          <w:rFonts w:hint="eastAsia" w:ascii="宋体" w:hAnsi="宋体" w:cs="宋体"/>
          <w:b w:val="0"/>
          <w:bCs w:val="0"/>
          <w:color w:val="auto"/>
          <w:kern w:val="2"/>
          <w:sz w:val="21"/>
          <w:szCs w:val="21"/>
          <w:shd w:val="clear" w:color="auto" w:fill="FFFFFF"/>
          <w:lang w:val="en-US" w:eastAsia="zh-CN" w:bidi="ar-SA"/>
        </w:rPr>
        <w:t>，提供执业许可证书（副本）</w:t>
      </w:r>
      <w:r>
        <w:rPr>
          <w:rFonts w:hint="eastAsia" w:ascii="宋体" w:hAnsi="宋体" w:eastAsia="宋体" w:cs="宋体"/>
          <w:b w:val="0"/>
          <w:bCs w:val="0"/>
          <w:color w:val="auto"/>
          <w:kern w:val="2"/>
          <w:sz w:val="21"/>
          <w:szCs w:val="21"/>
          <w:shd w:val="clear" w:color="auto" w:fill="FFFFFF"/>
          <w:lang w:val="en-US" w:eastAsia="zh-CN" w:bidi="ar-SA"/>
        </w:rPr>
        <w:t>；</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3</w:t>
      </w:r>
      <w:r>
        <w:rPr>
          <w:rFonts w:hint="eastAsia" w:ascii="宋体" w:hAnsi="宋体" w:eastAsia="宋体" w:cs="宋体"/>
          <w:b w:val="0"/>
          <w:bCs w:val="0"/>
          <w:color w:val="auto"/>
          <w:kern w:val="2"/>
          <w:sz w:val="21"/>
          <w:szCs w:val="21"/>
          <w:shd w:val="clear" w:color="auto" w:fill="FFFFFF"/>
          <w:lang w:val="en-US" w:eastAsia="zh-CN" w:bidi="ar-SA"/>
        </w:rPr>
        <w:t>、投标人必须具有医疗纠纷调解与处理诉讼、鉴定的能力且无执业违法违规记录，未受过行业处分，能及时参与本院的纠纷调解，时间上能保证本院工作安排。</w:t>
      </w:r>
      <w:r>
        <w:rPr>
          <w:rFonts w:hint="eastAsia" w:ascii="宋体" w:hAnsi="宋体" w:eastAsia="宋体" w:cs="宋体"/>
          <w:color w:val="000000" w:themeColor="text1"/>
          <w:kern w:val="2"/>
          <w:sz w:val="21"/>
          <w:szCs w:val="24"/>
          <w:lang w:val="en-US" w:eastAsia="zh-CN" w:bidi="ar-SA"/>
          <w14:textFill>
            <w14:solidFill>
              <w14:schemeClr w14:val="tx1"/>
            </w14:solidFill>
          </w14:textFill>
        </w:rPr>
        <w:t>（提供书面声明函）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4</w:t>
      </w:r>
      <w:r>
        <w:rPr>
          <w:rFonts w:hint="eastAsia" w:ascii="宋体" w:hAnsi="宋体" w:eastAsia="宋体" w:cs="宋体"/>
          <w:b w:val="0"/>
          <w:bCs w:val="0"/>
          <w:color w:val="auto"/>
          <w:kern w:val="2"/>
          <w:sz w:val="21"/>
          <w:szCs w:val="21"/>
          <w:shd w:val="clear" w:color="auto" w:fill="FFFFFF"/>
          <w:lang w:val="en-US" w:eastAsia="zh-CN" w:bidi="ar-SA"/>
        </w:rPr>
        <w:t>、良好的银行资信和职业信誉，没有处于被责令停业、面临重大诉讼以及财产被接管、冻结甚至破产等状态。</w:t>
      </w:r>
      <w:r>
        <w:rPr>
          <w:rFonts w:hint="eastAsia" w:ascii="宋体" w:hAnsi="宋体" w:eastAsia="宋体" w:cs="宋体"/>
          <w:color w:val="000000" w:themeColor="text1"/>
          <w:kern w:val="2"/>
          <w:sz w:val="21"/>
          <w:szCs w:val="24"/>
          <w:lang w:val="en-US" w:eastAsia="zh-CN" w:bidi="ar-SA"/>
          <w14:textFill>
            <w14:solidFill>
              <w14:schemeClr w14:val="tx1"/>
            </w14:solidFill>
          </w14:textFill>
        </w:rPr>
        <w:t>（提供书面声明函）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b w:val="0"/>
          <w:bCs w:val="0"/>
          <w:color w:val="auto"/>
          <w:kern w:val="2"/>
          <w:sz w:val="21"/>
          <w:szCs w:val="21"/>
          <w:shd w:val="clear" w:color="auto" w:fill="FFFFFF"/>
          <w:lang w:val="en-US" w:eastAsia="zh-CN" w:bidi="ar-SA"/>
        </w:rPr>
        <w:t>5</w:t>
      </w:r>
      <w:r>
        <w:rPr>
          <w:rFonts w:hint="eastAsia" w:ascii="宋体" w:hAnsi="宋体" w:eastAsia="宋体" w:cs="宋体"/>
          <w:b w:val="0"/>
          <w:bCs w:val="0"/>
          <w:color w:val="auto"/>
          <w:kern w:val="2"/>
          <w:sz w:val="21"/>
          <w:szCs w:val="21"/>
          <w:shd w:val="clear" w:color="auto" w:fill="FFFFFF"/>
          <w:lang w:val="en-US" w:eastAsia="zh-CN" w:bidi="ar-SA"/>
        </w:rPr>
        <w:t>、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sz w:val="21"/>
          <w:lang w:val="en-US" w:eastAsia="zh-CN"/>
          <w14:textFill>
            <w14:solidFill>
              <w14:schemeClr w14:val="tx1"/>
            </w14:solidFill>
          </w14:textFill>
        </w:rPr>
        <w:t>6、</w:t>
      </w:r>
      <w:r>
        <w:rPr>
          <w:rFonts w:hint="eastAsia" w:ascii="宋体" w:hAnsi="宋体" w:eastAsia="宋体" w:cs="宋体"/>
          <w:color w:val="000000" w:themeColor="text1"/>
          <w:kern w:val="2"/>
          <w:sz w:val="21"/>
          <w:szCs w:val="24"/>
          <w:lang w:val="en-US" w:eastAsia="zh-CN" w:bidi="ar-SA"/>
          <w14:textFill>
            <w14:solidFill>
              <w14:schemeClr w14:val="tx1"/>
            </w14:solidFill>
          </w14:textFill>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lang w:val="en-US" w:eastAsia="zh-CN" w:bidi="ar-SA"/>
          <w14:textFill>
            <w14:solidFill>
              <w14:schemeClr w14:val="tx1"/>
            </w14:solidFill>
          </w14:textFill>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lang w:val="en-US" w:eastAsia="zh-CN" w:bidi="ar-SA"/>
          <w14:textFill>
            <w14:solidFill>
              <w14:schemeClr w14:val="tx1"/>
            </w14:solidFill>
          </w14:textFill>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kern w:val="2"/>
          <w:sz w:val="21"/>
          <w:szCs w:val="24"/>
          <w:lang w:val="en-US" w:eastAsia="zh-CN" w:bidi="ar-SA"/>
        </w:rPr>
      </w:pPr>
      <w:r>
        <w:rPr>
          <w:rFonts w:hint="eastAsia" w:ascii="宋体" w:hAnsi="宋体" w:cs="宋体"/>
          <w:color w:val="000000" w:themeColor="text1"/>
          <w:lang w:val="en-US" w:eastAsia="zh-CN"/>
          <w14:textFill>
            <w14:solidFill>
              <w14:schemeClr w14:val="tx1"/>
            </w14:solidFill>
          </w14:textFill>
        </w:rPr>
        <w:t>9</w:t>
      </w:r>
      <w:r>
        <w:rPr>
          <w:rFonts w:hint="eastAsia" w:ascii="宋体" w:hAnsi="宋体" w:eastAsia="宋体" w:cs="宋体"/>
          <w:color w:val="000000" w:themeColor="text1"/>
          <w:lang w:val="en-US" w:eastAsia="zh-CN"/>
          <w14:textFill>
            <w14:solidFill>
              <w14:schemeClr w14:val="tx1"/>
            </w14:solidFill>
          </w14:textFill>
        </w:rPr>
        <w:t>、根据《关于在政府采购活动中查询及使用信用记录有关问题的通知》（财库【2016】125号）的规定，对列入失信被执行人、</w:t>
      </w:r>
      <w:r>
        <w:rPr>
          <w:rFonts w:hint="eastAsia"/>
          <w:color w:val="auto"/>
          <w:lang w:val="en-US" w:eastAsia="zh-CN"/>
        </w:rPr>
        <w:t>重大税收违法失信主体</w:t>
      </w:r>
      <w:r>
        <w:rPr>
          <w:rFonts w:hint="eastAsia" w:ascii="宋体" w:hAnsi="宋体" w:eastAsia="宋体" w:cs="宋体"/>
          <w:color w:val="000000" w:themeColor="text1"/>
          <w:lang w:val="en-US" w:eastAsia="zh-CN"/>
          <w14:textFill>
            <w14:solidFill>
              <w14:schemeClr w14:val="tx1"/>
            </w14:solidFill>
          </w14:textFill>
        </w:rPr>
        <w:t>、政府采购严重违法失信</w:t>
      </w:r>
      <w:r>
        <w:rPr>
          <w:rFonts w:hint="eastAsia" w:ascii="宋体" w:hAnsi="宋体" w:eastAsia="宋体" w:cs="宋体"/>
          <w:color w:val="auto"/>
          <w:lang w:val="en-US" w:eastAsia="zh-CN"/>
        </w:rPr>
        <w:t>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10</w:t>
      </w:r>
      <w:r>
        <w:rPr>
          <w:rFonts w:hint="eastAsia" w:ascii="宋体" w:hAnsi="宋体" w:eastAsia="宋体" w:cs="宋体"/>
          <w:color w:val="auto"/>
          <w:kern w:val="2"/>
          <w:sz w:val="21"/>
          <w:szCs w:val="24"/>
          <w:lang w:val="en-US" w:eastAsia="zh-CN" w:bidi="ar-SA"/>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ascii="宋体" w:hAnsi="宋体" w:eastAsia="宋体" w:cs="宋体"/>
          <w:color w:val="000000" w:themeColor="text1"/>
          <w:szCs w:val="21"/>
          <w:shd w:val="clear" w:color="auto" w:fill="FFFFFF"/>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时间：20</w:t>
      </w:r>
      <w:r>
        <w:rPr>
          <w:rFonts w:hint="eastAsia" w:ascii="宋体" w:hAnsi="宋体" w:cs="宋体"/>
          <w:color w:val="000000" w:themeColor="text1"/>
          <w:szCs w:val="21"/>
          <w:shd w:val="clear" w:color="auto" w:fill="FFFFFF"/>
          <w:lang w:val="en-US" w:eastAsia="zh-CN"/>
          <w14:textFill>
            <w14:solidFill>
              <w14:schemeClr w14:val="tx1"/>
            </w14:solidFill>
          </w14:textFill>
        </w:rPr>
        <w:t>23</w:t>
      </w:r>
      <w:r>
        <w:rPr>
          <w:rFonts w:hint="eastAsia" w:ascii="宋体" w:hAnsi="宋体" w:eastAsia="宋体" w:cs="宋体"/>
          <w:color w:val="000000" w:themeColor="text1"/>
          <w:szCs w:val="21"/>
          <w:shd w:val="clear" w:color="auto" w:fill="FFFFFF"/>
          <w14:textFill>
            <w14:solidFill>
              <w14:schemeClr w14:val="tx1"/>
            </w14:solidFill>
          </w14:textFill>
        </w:rPr>
        <w:t>年</w:t>
      </w:r>
      <w:r>
        <w:rPr>
          <w:rFonts w:hint="eastAsia" w:ascii="宋体" w:hAnsi="宋体" w:cs="宋体"/>
          <w:color w:val="000000" w:themeColor="text1"/>
          <w:szCs w:val="21"/>
          <w:shd w:val="clear" w:color="auto" w:fill="FFFFFF"/>
          <w:lang w:val="en-US" w:eastAsia="zh-CN"/>
          <w14:textFill>
            <w14:solidFill>
              <w14:schemeClr w14:val="tx1"/>
            </w14:solidFill>
          </w14:textFill>
        </w:rPr>
        <w:t>8</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24</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28</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2131538583@qq.com并标明XX公司XX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7480"/>
      <w:bookmarkStart w:id="19" w:name="_Toc10738"/>
      <w:bookmarkStart w:id="20" w:name="_Toc25869"/>
      <w:bookmarkStart w:id="21" w:name="_Toc15135"/>
      <w:bookmarkStart w:id="22" w:name="_Toc15111"/>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23" w:name="_Toc20287"/>
      <w:bookmarkStart w:id="24" w:name="_Toc30918"/>
      <w:bookmarkStart w:id="25" w:name="_Toc6523"/>
      <w:bookmarkStart w:id="26" w:name="_Toc29784"/>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795"/>
      <w:bookmarkStart w:id="28" w:name="_Toc35393626"/>
    </w:p>
    <w:bookmarkEnd w:id="27"/>
    <w:bookmarkEnd w:id="28"/>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9" w:name="_Toc3604"/>
      <w:bookmarkStart w:id="30" w:name="_Toc27370"/>
      <w:bookmarkStart w:id="31" w:name="_Toc31928"/>
      <w:bookmarkStart w:id="32" w:name="_Toc24274"/>
      <w:bookmarkStart w:id="33" w:name="_Toc16291"/>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报名联系人：李先生</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联系电话：18595618752</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w:t>
      </w:r>
      <w:r>
        <w:rPr>
          <w:rFonts w:hint="eastAsia" w:ascii="宋体" w:hAnsi="宋体" w:eastAsia="宋体" w:cs="宋体"/>
          <w:color w:val="auto"/>
          <w:kern w:val="0"/>
          <w:sz w:val="21"/>
          <w:szCs w:val="21"/>
          <w:highlight w:val="none"/>
          <w:shd w:val="clear" w:color="auto" w:fill="FFFFFF"/>
          <w:lang w:val="en-US" w:eastAsia="zh-CN" w:bidi="ar-SA"/>
        </w:rPr>
        <w:t>0396-2726678</w:t>
      </w:r>
    </w:p>
    <w:p>
      <w:pPr>
        <w:pStyle w:val="29"/>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7"/>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202</w:t>
      </w: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3</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年</w:t>
      </w: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8</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月</w:t>
      </w: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23</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日</w:t>
      </w:r>
    </w:p>
    <w:p>
      <w:pPr>
        <w:pStyle w:val="27"/>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widowControl/>
        <w:spacing w:line="360" w:lineRule="auto"/>
        <w:ind w:firstLine="643" w:firstLineChars="200"/>
        <w:jc w:val="center"/>
        <w:outlineLvl w:val="0"/>
        <w:rPr>
          <w:rFonts w:ascii="宋体" w:hAnsi="宋体"/>
          <w:b/>
          <w:color w:val="auto"/>
          <w:sz w:val="32"/>
          <w:szCs w:val="32"/>
          <w:highlight w:val="none"/>
        </w:rPr>
      </w:pPr>
      <w:bookmarkStart w:id="34" w:name="_Toc25063"/>
      <w:bookmarkStart w:id="35" w:name="_Toc29890"/>
      <w:bookmarkStart w:id="36" w:name="_Toc23793"/>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9989"/>
      <w:bookmarkStart w:id="38" w:name="_Toc31536"/>
      <w:bookmarkStart w:id="39" w:name="_Toc23610"/>
    </w:p>
    <w:bookmarkEnd w:id="35"/>
    <w:bookmarkEnd w:id="36"/>
    <w:bookmarkEnd w:id="37"/>
    <w:bookmarkEnd w:id="38"/>
    <w:bookmarkEnd w:id="39"/>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bookmarkStart w:id="40" w:name="_Toc14504"/>
      <w:r>
        <w:rPr>
          <w:rFonts w:hint="eastAsia" w:cs="宋体"/>
          <w:kern w:val="2"/>
          <w:sz w:val="21"/>
          <w:szCs w:val="24"/>
          <w:lang w:val="en-US" w:eastAsia="zh-CN" w:bidi="ar-SA"/>
        </w:rPr>
        <w:t>一、</w:t>
      </w:r>
      <w:r>
        <w:rPr>
          <w:rFonts w:hint="eastAsia" w:ascii="宋体" w:hAnsi="宋体" w:eastAsia="宋体" w:cs="宋体"/>
          <w:kern w:val="2"/>
          <w:sz w:val="21"/>
          <w:szCs w:val="24"/>
          <w:lang w:val="en-US" w:eastAsia="zh-CN" w:bidi="ar-SA"/>
        </w:rPr>
        <w:t>项目名称：驻马店市中心医院聘请法律顾问项目</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二、项目用途说明：为维护医院正常的运营秩序和合法权益，聘请具有较高知名度的律师事务所或法律服务所的法律顾问为我院提供法律服务，并承担法律诉讼代理等相关工作。</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三、配置规格、附件及零配件（包括专用工具）：</w:t>
      </w:r>
    </w:p>
    <w:tbl>
      <w:tblPr>
        <w:tblStyle w:val="3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718"/>
        <w:gridCol w:w="1736"/>
        <w:gridCol w:w="1473"/>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3"/>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2718"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项目名称</w:t>
            </w:r>
          </w:p>
        </w:tc>
        <w:tc>
          <w:tcPr>
            <w:tcW w:w="1736"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数量或规模</w:t>
            </w:r>
          </w:p>
        </w:tc>
        <w:tc>
          <w:tcPr>
            <w:tcW w:w="1473"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资金预算</w:t>
            </w:r>
          </w:p>
        </w:tc>
        <w:tc>
          <w:tcPr>
            <w:tcW w:w="1554"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3"/>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2718" w:type="dxa"/>
            <w:tcBorders>
              <w:top w:val="single" w:color="auto" w:sz="4" w:space="0"/>
              <w:left w:val="nil"/>
              <w:bottom w:val="single" w:color="auto" w:sz="4" w:space="0"/>
              <w:right w:val="single" w:color="auto" w:sz="4" w:space="0"/>
            </w:tcBorders>
            <w:vAlign w:val="center"/>
          </w:tcPr>
          <w:p>
            <w:pPr>
              <w:pStyle w:val="13"/>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驻马店市中心医院聘请法律顾问</w:t>
            </w:r>
          </w:p>
        </w:tc>
        <w:tc>
          <w:tcPr>
            <w:tcW w:w="1736" w:type="dxa"/>
            <w:tcBorders>
              <w:top w:val="single" w:color="auto" w:sz="4" w:space="0"/>
              <w:left w:val="nil"/>
              <w:bottom w:val="single" w:color="auto" w:sz="4" w:space="0"/>
              <w:right w:val="single" w:color="auto" w:sz="4" w:space="0"/>
            </w:tcBorders>
            <w:vAlign w:val="center"/>
          </w:tcPr>
          <w:p>
            <w:pPr>
              <w:pStyle w:val="13"/>
              <w:jc w:val="center"/>
              <w:rPr>
                <w:rFonts w:hint="eastAsia" w:asciiTheme="minorEastAsia" w:hAnsiTheme="minorEastAsia" w:eastAsiaTheme="minorEastAsia" w:cstheme="minorEastAsia"/>
                <w:sz w:val="21"/>
                <w:szCs w:val="21"/>
                <w:lang w:val="en-US" w:eastAsia="zh-CN"/>
              </w:rPr>
            </w:pPr>
            <w:r>
              <w:rPr>
                <w:rFonts w:hint="eastAsia" w:ascii="宋体" w:hAnsi="宋体"/>
                <w:sz w:val="24"/>
                <w:szCs w:val="24"/>
                <w:lang w:val="en-US" w:eastAsia="zh-CN"/>
              </w:rPr>
              <w:t>1家</w:t>
            </w:r>
          </w:p>
        </w:tc>
        <w:tc>
          <w:tcPr>
            <w:tcW w:w="1473" w:type="dxa"/>
            <w:tcBorders>
              <w:top w:val="single" w:color="auto" w:sz="4" w:space="0"/>
              <w:left w:val="nil"/>
              <w:bottom w:val="single" w:color="auto" w:sz="4" w:space="0"/>
              <w:right w:val="single" w:color="auto" w:sz="4" w:space="0"/>
            </w:tcBorders>
            <w:vAlign w:val="center"/>
          </w:tcPr>
          <w:p>
            <w:pPr>
              <w:pStyle w:val="13"/>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45万元</w:t>
            </w:r>
          </w:p>
        </w:tc>
        <w:tc>
          <w:tcPr>
            <w:tcW w:w="1554" w:type="dxa"/>
            <w:tcBorders>
              <w:top w:val="single" w:color="auto" w:sz="4" w:space="0"/>
              <w:left w:val="nil"/>
              <w:bottom w:val="single" w:color="auto" w:sz="4" w:space="0"/>
              <w:right w:val="single" w:color="auto" w:sz="4" w:space="0"/>
            </w:tcBorders>
            <w:vAlign w:val="center"/>
          </w:tcPr>
          <w:p>
            <w:pPr>
              <w:pStyle w:val="13"/>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3"/>
              <w:ind w:left="0" w:leftChars="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备注</w:t>
            </w:r>
          </w:p>
        </w:tc>
        <w:tc>
          <w:tcPr>
            <w:tcW w:w="7481" w:type="dxa"/>
            <w:gridSpan w:val="4"/>
            <w:tcBorders>
              <w:top w:val="single" w:color="auto" w:sz="4" w:space="0"/>
              <w:left w:val="nil"/>
              <w:bottom w:val="single" w:color="auto" w:sz="4" w:space="0"/>
              <w:right w:val="single" w:color="auto" w:sz="4" w:space="0"/>
            </w:tcBorders>
            <w:vAlign w:val="center"/>
          </w:tcPr>
          <w:p>
            <w:pPr>
              <w:pStyle w:val="13"/>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拟招标一家法律顾问，服务期限为1年。</w:t>
            </w:r>
          </w:p>
        </w:tc>
      </w:tr>
    </w:tbl>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b/>
          <w:bCs/>
          <w:kern w:val="2"/>
          <w:sz w:val="21"/>
          <w:szCs w:val="24"/>
          <w:lang w:val="en-US" w:eastAsia="zh-CN" w:bidi="ar-SA"/>
        </w:rPr>
      </w:pP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四、详细技术要求、参数及产品资料等：</w:t>
      </w:r>
    </w:p>
    <w:p>
      <w:pPr>
        <w:jc w:val="center"/>
        <w:rPr>
          <w:rFonts w:hint="eastAsia" w:asciiTheme="minorEastAsia" w:hAnsiTheme="minorEastAsia" w:eastAsiaTheme="minorEastAsia" w:cstheme="minorEastAsia"/>
          <w:color w:val="auto"/>
          <w:sz w:val="22"/>
          <w:szCs w:val="22"/>
          <w:lang w:val="en-US" w:eastAsia="zh-CN"/>
        </w:rPr>
      </w:pP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 1.投标人服务费由基本费用、额外费用、激励费用共同构成。基本费用为180000元/年，额外费用和激励费用见下文规定，法律顾问为办理案件支出的差旅费按《驻马店市市直机关差旅费管理办法》的标准由医院负担交通费、住宿费。</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2.医院在投标人服务期限内支付法律顾问基本费用180000元/年，2023年12月30日之前支付45％，2024年6月30日之前支付45％；剩余10％作为考核费用，依《法律顾问考核办法》进行支付。</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3.合同履行期间如有相关案件需要委托代理，其中20件案件属于基本费用所涵盖范围，该20件案件以外的案件费用或相关费用按额外费用及激励费用计费标准进行收费。</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4.上述第</w:t>
      </w:r>
      <w:r>
        <w:rPr>
          <w:rFonts w:hint="eastAsia" w:cs="宋体"/>
          <w:kern w:val="2"/>
          <w:sz w:val="21"/>
          <w:szCs w:val="24"/>
          <w:lang w:val="en-US" w:eastAsia="zh-CN" w:bidi="ar-SA"/>
        </w:rPr>
        <w:t>“3”项</w:t>
      </w:r>
      <w:r>
        <w:rPr>
          <w:rFonts w:hint="eastAsia" w:ascii="宋体" w:hAnsi="宋体" w:eastAsia="宋体" w:cs="宋体"/>
          <w:kern w:val="2"/>
          <w:sz w:val="21"/>
          <w:szCs w:val="24"/>
          <w:lang w:val="en-US" w:eastAsia="zh-CN" w:bidi="ar-SA"/>
        </w:rPr>
        <w:t>所称“其中20件案件”，特指经司法鉴定，具有司法鉴定意见书的法院、医调委的案件，结案后，按结案时间先后顺序核算前20件，合同签订后每半年核算一次。</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5.案件结案后，依下述情形产生额外费用：</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(1)医调委案件</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1）未经司法鉴定的，或不具有司法鉴定意见书的，不收费。</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2）经司法鉴定，且具有司法鉴定意见书的：每件以赔偿金额的3％，再下浮20％计算收费。</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(2)法院案件</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一审案件：（A）以撤诉裁定结案的，不收费。（B）以判决书结案的，标的额在10万元以下的，每件3000元收费；标的额在10万元以上的，10万元以内的部分按3000元计费，超出10万元的部分按超出部分的3％计费，上述两部分计费数额相加后计算收费。</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二审案件：（A）以判决书结案的，维持原判的，每件3000元收费。（B）以判决书结案的，依法改判或变更的，每件3000元收费。（C）裁定撤销原判决，发回原审人民法院重审的，每件3000元收费。（D）以撤诉裁定结案的，不收费。</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3）发回重审的案件：（A）以判决书结案的，维持原判的，每件3000元收费。（B）以判决书结案的，依法改判或变更的，每件3000元收费。（C）以撤诉裁定结案的，不收费。</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4）审判监督程序的案件，每件按标的额的4％计算收费。</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额外费用精确至个位（元），小数点后一位的数字四舍五入。上述规定未尽事宜，由医院认定。</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6.依下述情形产生激励费用：</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（1）上述第</w:t>
      </w:r>
      <w:r>
        <w:rPr>
          <w:rFonts w:hint="eastAsia" w:cs="宋体"/>
          <w:kern w:val="2"/>
          <w:sz w:val="21"/>
          <w:szCs w:val="24"/>
          <w:lang w:val="en-US" w:eastAsia="zh-CN" w:bidi="ar-SA"/>
        </w:rPr>
        <w:t>“5”项</w:t>
      </w:r>
      <w:r>
        <w:rPr>
          <w:rFonts w:hint="eastAsia" w:ascii="宋体" w:hAnsi="宋体" w:eastAsia="宋体" w:cs="宋体"/>
          <w:kern w:val="2"/>
          <w:sz w:val="21"/>
          <w:szCs w:val="24"/>
          <w:lang w:val="en-US" w:eastAsia="zh-CN" w:bidi="ar-SA"/>
        </w:rPr>
        <w:t>“(1)医调委案件”中“2）经司法鉴定，且具有司法鉴定意见书的”情形，司法鉴定意见书载明医院的诊疗行为与患者损害无因果关系，且医院未产生赔偿金额的，该案件产生500元激励费用。</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（2）上述第</w:t>
      </w:r>
      <w:r>
        <w:rPr>
          <w:rFonts w:hint="eastAsia" w:cs="宋体"/>
          <w:kern w:val="2"/>
          <w:sz w:val="21"/>
          <w:szCs w:val="24"/>
          <w:lang w:val="en-US" w:eastAsia="zh-CN" w:bidi="ar-SA"/>
        </w:rPr>
        <w:t>“5”项</w:t>
      </w:r>
      <w:r>
        <w:rPr>
          <w:rFonts w:hint="eastAsia" w:ascii="宋体" w:hAnsi="宋体" w:eastAsia="宋体" w:cs="宋体"/>
          <w:kern w:val="2"/>
          <w:sz w:val="21"/>
          <w:szCs w:val="24"/>
          <w:lang w:val="en-US" w:eastAsia="zh-CN" w:bidi="ar-SA"/>
        </w:rPr>
        <w:t>“(2)法院案件”中“1）一审案件”第（B）种情形，司法鉴定意见书载明医院的诊疗行为与患者损害无因果关系，且医院未产生赔偿金额的，该案件产生1000元激励费用。</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（3）上述第</w:t>
      </w:r>
      <w:r>
        <w:rPr>
          <w:rFonts w:hint="eastAsia" w:cs="宋体"/>
          <w:kern w:val="2"/>
          <w:sz w:val="21"/>
          <w:szCs w:val="24"/>
          <w:lang w:val="en-US" w:eastAsia="zh-CN" w:bidi="ar-SA"/>
        </w:rPr>
        <w:t>“5”项</w:t>
      </w:r>
      <w:r>
        <w:rPr>
          <w:rFonts w:hint="eastAsia" w:ascii="宋体" w:hAnsi="宋体" w:eastAsia="宋体" w:cs="宋体"/>
          <w:kern w:val="2"/>
          <w:sz w:val="21"/>
          <w:szCs w:val="24"/>
          <w:lang w:val="en-US" w:eastAsia="zh-CN" w:bidi="ar-SA"/>
        </w:rPr>
        <w:t>“(2)法院案件”中“2）二审案件”第（B）种情形，若依法改判或变更后的赔偿金额低于一审判决书所载金额的，按两者差额的5％进行激励。</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（4）上述第</w:t>
      </w:r>
      <w:r>
        <w:rPr>
          <w:rFonts w:hint="eastAsia" w:cs="宋体"/>
          <w:kern w:val="2"/>
          <w:sz w:val="21"/>
          <w:szCs w:val="24"/>
          <w:lang w:val="en-US" w:eastAsia="zh-CN" w:bidi="ar-SA"/>
        </w:rPr>
        <w:t>“5”项</w:t>
      </w:r>
      <w:bookmarkStart w:id="91" w:name="_GoBack"/>
      <w:bookmarkEnd w:id="91"/>
      <w:r>
        <w:rPr>
          <w:rFonts w:hint="eastAsia" w:ascii="宋体" w:hAnsi="宋体" w:eastAsia="宋体" w:cs="宋体"/>
          <w:kern w:val="2"/>
          <w:sz w:val="21"/>
          <w:szCs w:val="24"/>
          <w:lang w:val="en-US" w:eastAsia="zh-CN" w:bidi="ar-SA"/>
        </w:rPr>
        <w:t>“(2)法院案件”中“3）发回重审的案件”第（B）种情形，若依法改判或变更后的赔偿金额低于前一审判阶段的判决书所载金额的，按两者差额的5％进行激励。</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（5）投标人为医院服务期间，遵守医院工作制度，符合《驻马店市中心医院员工奖惩细则》中奖则的规定，由医院根据该细则进行奖励。</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 7.投标人须提供：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（1）律师事务所或法律服务所的执业许可证书（副本）;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w:t>
      </w:r>
      <w:r>
        <w:rPr>
          <w:rFonts w:hint="eastAsia" w:cs="宋体"/>
          <w:kern w:val="2"/>
          <w:sz w:val="21"/>
          <w:szCs w:val="24"/>
          <w:lang w:val="en-US" w:eastAsia="zh-CN" w:bidi="ar-SA"/>
        </w:rPr>
        <w:t>2</w:t>
      </w:r>
      <w:r>
        <w:rPr>
          <w:rFonts w:hint="eastAsia" w:ascii="宋体" w:hAnsi="宋体" w:eastAsia="宋体" w:cs="宋体"/>
          <w:kern w:val="2"/>
          <w:sz w:val="21"/>
          <w:szCs w:val="24"/>
          <w:lang w:val="en-US" w:eastAsia="zh-CN" w:bidi="ar-SA"/>
        </w:rPr>
        <w:t xml:space="preserve">）指派为法律顾问人员的相关证书;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w:t>
      </w:r>
      <w:r>
        <w:rPr>
          <w:rFonts w:hint="eastAsia" w:cs="宋体"/>
          <w:kern w:val="2"/>
          <w:sz w:val="21"/>
          <w:szCs w:val="24"/>
          <w:lang w:val="en-US" w:eastAsia="zh-CN" w:bidi="ar-SA"/>
        </w:rPr>
        <w:t>3</w:t>
      </w:r>
      <w:r>
        <w:rPr>
          <w:rFonts w:hint="eastAsia" w:ascii="宋体" w:hAnsi="宋体" w:eastAsia="宋体" w:cs="宋体"/>
          <w:kern w:val="2"/>
          <w:sz w:val="21"/>
          <w:szCs w:val="24"/>
          <w:lang w:val="en-US" w:eastAsia="zh-CN" w:bidi="ar-SA"/>
        </w:rPr>
        <w:t xml:space="preserve">）负责人资格证明及授权代表的授权委托书;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w:t>
      </w:r>
      <w:r>
        <w:rPr>
          <w:rFonts w:hint="eastAsia" w:cs="宋体"/>
          <w:kern w:val="2"/>
          <w:sz w:val="21"/>
          <w:szCs w:val="24"/>
          <w:lang w:val="en-US" w:eastAsia="zh-CN" w:bidi="ar-SA"/>
        </w:rPr>
        <w:t>4</w:t>
      </w:r>
      <w:r>
        <w:rPr>
          <w:rFonts w:hint="eastAsia" w:ascii="宋体" w:hAnsi="宋体" w:eastAsia="宋体" w:cs="宋体"/>
          <w:kern w:val="2"/>
          <w:sz w:val="21"/>
          <w:szCs w:val="24"/>
          <w:lang w:val="en-US" w:eastAsia="zh-CN" w:bidi="ar-SA"/>
        </w:rPr>
        <w:t>）授权代表身份证原件及复印件；</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b/>
          <w:bCs/>
          <w:kern w:val="2"/>
          <w:sz w:val="21"/>
          <w:szCs w:val="24"/>
          <w:lang w:val="en-US" w:eastAsia="zh-CN" w:bidi="ar-SA"/>
        </w:rPr>
      </w:pP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（五）售后服务条件及交货日期（或工期）：</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1.为医院日常法律问题提供咨询服务和建议；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为院务决策、知识产权、基本建设、商标专利侵权、公平竞争与垄断、劳动人事、医联体合作等行政、单位管理过程涉及的法律事务,以及医院的其他有关管理、经营方面的事务的合法性、可行性、风险预测及对策提供法律依据和法律意见或出具法律意见书；</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3.为医院的民事活动提供法律分析意见或进行法律论证、对医院草拟预备发布的文件,依法提出修改或补充建议，帮助医院完善专业管理制度；</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4.审查、修改医院重要规范性文件；</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5.审查或修改合同、对外合作等项目的法律文本及其他法律文书；</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6.以座谈、现场咨询、讲座等现场服务方式为医院职工提供法律培训及普法教育，每年不少于两次；</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7.应医院要求参加重大责任事故的调查分析，参与重大或有争议病案的讨论并就医疗行为的合法性提供专业法律意见；</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8.应医院邀请参加业务会议，提供法律意见；</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9.参与纠纷及重要合同谈判，处理医院所涉的行政纠纷、民事纠纷、经济纠纷、劳资纠纷、医疗纠纷或其他重大纠纷，提供诉讼、仲裁等代理服务；</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10.起草或翻译法律文件等其他非诉讼法律服务；</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11.跟踪国家及地方有关医疗行业的法律、法规、规章及相关政策的颁布、修订和实施情况，并向医院及时提供相关的法律信息、新规、典型案例及典型法律问题解析等，每季度至少一次；</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12.案件结案后，对案件的成因、处理方式、预期效果与实际效果等一案一分析，提出建议，并向医院提交书面法律分析报告；</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13.经司法鉴定的案件，司法鉴定前，法律顾问团队应进行讨论，并向医院提交书面讨论记录；</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14.案件结案后十五日内向医院提交装订成册的案卷电子版及复印件；</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15.年中及年终对本阶段的服务工作和服务内容进行总结，同时对服务期间发现的各种问题提出改善性的意见，并提交书面总结报告； </w:t>
      </w:r>
    </w:p>
    <w:p>
      <w:pPr>
        <w:keepNext w:val="0"/>
        <w:keepLines w:val="0"/>
        <w:pageBreakBefore w:val="0"/>
        <w:widowControl w:val="0"/>
        <w:kinsoku/>
        <w:overflowPunct/>
        <w:topLinePunct w:val="0"/>
        <w:autoSpaceDE w:val="0"/>
        <w:autoSpaceDN w:val="0"/>
        <w:bidi w:val="0"/>
        <w:adjustRightInd w:val="0"/>
        <w:snapToGrid w:val="0"/>
        <w:spacing w:line="440" w:lineRule="exact"/>
        <w:textAlignment w:val="auto"/>
        <w:rPr>
          <w:rFonts w:hint="eastAsia"/>
          <w:lang w:val="en-US" w:eastAsia="zh-CN"/>
        </w:rPr>
      </w:pPr>
      <w:r>
        <w:rPr>
          <w:rFonts w:hint="eastAsia" w:ascii="宋体" w:hAnsi="宋体" w:cs="宋体"/>
          <w:b w:val="0"/>
          <w:bCs w:val="0"/>
          <w:color w:val="auto"/>
          <w:kern w:val="2"/>
          <w:sz w:val="21"/>
          <w:szCs w:val="21"/>
          <w:shd w:val="clear" w:color="auto" w:fill="FFFFFF"/>
          <w:lang w:val="en-US" w:eastAsia="zh-CN" w:bidi="ar-SA"/>
        </w:rPr>
        <w:t>16</w:t>
      </w:r>
      <w:r>
        <w:rPr>
          <w:rFonts w:hint="eastAsia" w:ascii="宋体" w:hAnsi="宋体" w:eastAsia="宋体" w:cs="宋体"/>
          <w:b w:val="0"/>
          <w:bCs w:val="0"/>
          <w:color w:val="auto"/>
          <w:kern w:val="2"/>
          <w:sz w:val="21"/>
          <w:szCs w:val="21"/>
          <w:shd w:val="clear" w:color="auto" w:fill="FFFFFF"/>
          <w:lang w:val="en-US" w:eastAsia="zh-CN" w:bidi="ar-SA"/>
        </w:rPr>
        <w:t>、</w:t>
      </w:r>
      <w:r>
        <w:rPr>
          <w:rFonts w:hint="default" w:ascii="宋体" w:hAnsi="宋体" w:eastAsia="宋体" w:cs="宋体"/>
          <w:b w:val="0"/>
          <w:bCs w:val="0"/>
          <w:color w:val="auto"/>
          <w:kern w:val="2"/>
          <w:sz w:val="21"/>
          <w:szCs w:val="21"/>
          <w:shd w:val="clear" w:color="auto" w:fill="FFFFFF"/>
          <w:lang w:val="en-US" w:eastAsia="zh-CN" w:bidi="ar-SA"/>
        </w:rPr>
        <w:t>投标人为我院提供的法律顾问成员，应不少于3人。</w:t>
      </w:r>
      <w:r>
        <w:rPr>
          <w:rFonts w:hint="eastAsia" w:ascii="宋体" w:hAnsi="宋体" w:cs="宋体"/>
          <w:b w:val="0"/>
          <w:bCs w:val="0"/>
          <w:color w:val="auto"/>
          <w:kern w:val="2"/>
          <w:sz w:val="21"/>
          <w:szCs w:val="21"/>
          <w:shd w:val="clear" w:color="auto" w:fill="FFFFFF"/>
          <w:lang w:val="en-US" w:eastAsia="zh-CN" w:bidi="ar-SA"/>
        </w:rPr>
        <w:t>（提供人员的相关证书）</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w:t>
      </w:r>
      <w:r>
        <w:rPr>
          <w:rFonts w:hint="eastAsia" w:cs="宋体"/>
          <w:kern w:val="2"/>
          <w:sz w:val="21"/>
          <w:szCs w:val="24"/>
          <w:lang w:val="en-US" w:eastAsia="zh-CN" w:bidi="ar-SA"/>
        </w:rPr>
        <w:t>7</w:t>
      </w:r>
      <w:r>
        <w:rPr>
          <w:rFonts w:hint="eastAsia" w:ascii="宋体" w:hAnsi="宋体" w:eastAsia="宋体" w:cs="宋体"/>
          <w:kern w:val="2"/>
          <w:sz w:val="21"/>
          <w:szCs w:val="24"/>
          <w:lang w:val="en-US" w:eastAsia="zh-CN" w:bidi="ar-SA"/>
        </w:rPr>
        <w:t xml:space="preserve">.投标人派驻本项目的人员（1人以上），每天7小时驻场服务及节假日值班，坐班及值班实行每日签到签退制度； 当需要其他法律顾问协助工作的，工作日时间段出现纠纷后最迟不超过30分钟内到达现场参与调解谈判处置工作；节假日及其他时间段期间出现纠纷后最迟不超过30分钟内到达现场参与调解谈判处置工作；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w:t>
      </w:r>
      <w:r>
        <w:rPr>
          <w:rFonts w:hint="eastAsia" w:cs="宋体"/>
          <w:kern w:val="2"/>
          <w:sz w:val="21"/>
          <w:szCs w:val="24"/>
          <w:lang w:val="en-US" w:eastAsia="zh-CN" w:bidi="ar-SA"/>
        </w:rPr>
        <w:t>8</w:t>
      </w:r>
      <w:r>
        <w:rPr>
          <w:rFonts w:hint="eastAsia" w:ascii="宋体" w:hAnsi="宋体" w:eastAsia="宋体" w:cs="宋体"/>
          <w:kern w:val="2"/>
          <w:sz w:val="21"/>
          <w:szCs w:val="24"/>
          <w:lang w:val="en-US" w:eastAsia="zh-CN" w:bidi="ar-SA"/>
        </w:rPr>
        <w:t xml:space="preserve">.投标人派驻的法律顾问，应当遵守医院的规章制度及相关规定，包括但不限于《法律顾问工作流程》等；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w:t>
      </w:r>
      <w:r>
        <w:rPr>
          <w:rFonts w:hint="eastAsia" w:cs="宋体"/>
          <w:kern w:val="2"/>
          <w:sz w:val="21"/>
          <w:szCs w:val="24"/>
          <w:lang w:val="en-US" w:eastAsia="zh-CN" w:bidi="ar-SA"/>
        </w:rPr>
        <w:t>9</w:t>
      </w:r>
      <w:r>
        <w:rPr>
          <w:rFonts w:hint="eastAsia" w:ascii="宋体" w:hAnsi="宋体" w:eastAsia="宋体" w:cs="宋体"/>
          <w:kern w:val="2"/>
          <w:sz w:val="21"/>
          <w:szCs w:val="24"/>
          <w:lang w:val="en-US" w:eastAsia="zh-CN" w:bidi="ar-SA"/>
        </w:rPr>
        <w:t>.其它补充约定。</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center"/>
        <w:rPr>
          <w:b/>
          <w:bCs/>
          <w:color w:val="auto"/>
          <w:sz w:val="30"/>
          <w:szCs w:val="30"/>
          <w:highlight w:val="none"/>
        </w:rPr>
      </w:pPr>
      <w:r>
        <w:rPr>
          <w:rFonts w:hint="eastAsia"/>
          <w:b/>
          <w:bCs/>
          <w:color w:val="auto"/>
          <w:sz w:val="30"/>
          <w:szCs w:val="30"/>
          <w:highlight w:val="none"/>
        </w:rPr>
        <w:t>商务要求</w:t>
      </w:r>
    </w:p>
    <w:tbl>
      <w:tblPr>
        <w:tblStyle w:val="31"/>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w:t>
            </w:r>
            <w:r>
              <w:rPr>
                <w:rFonts w:hint="eastAsia" w:cs="宋体"/>
                <w:sz w:val="21"/>
                <w:szCs w:val="21"/>
                <w:lang w:val="en-US" w:eastAsia="zh-CN"/>
              </w:rPr>
              <w:t>三十</w:t>
            </w:r>
            <w:r>
              <w:rPr>
                <w:rFonts w:hint="eastAsia" w:ascii="宋体" w:hAnsi="宋体" w:eastAsia="宋体" w:cs="宋体"/>
                <w:sz w:val="21"/>
                <w:szCs w:val="21"/>
                <w:lang w:val="en-US" w:eastAsia="zh-CN"/>
              </w:rPr>
              <w:t>个</w:t>
            </w:r>
            <w:r>
              <w:rPr>
                <w:rFonts w:hint="eastAsia" w:cs="宋体"/>
                <w:sz w:val="21"/>
                <w:szCs w:val="21"/>
                <w:lang w:val="en-US" w:eastAsia="zh-CN"/>
              </w:rPr>
              <w:t>日历天</w:t>
            </w:r>
            <w:r>
              <w:rPr>
                <w:rFonts w:hint="eastAsia" w:ascii="宋体" w:hAnsi="宋体" w:eastAsia="宋体" w:cs="宋体"/>
                <w:sz w:val="21"/>
                <w:szCs w:val="21"/>
                <w:lang w:val="en-US" w:eastAsia="zh-CN"/>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验   收</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合格。</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p>
        </w:tc>
      </w:tr>
    </w:tbl>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1"/>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w:t>
            </w:r>
            <w:r>
              <w:rPr>
                <w:rFonts w:hint="eastAsia" w:cs="Times New Roman"/>
                <w:lang w:val="en-US" w:eastAsia="zh-CN"/>
              </w:rPr>
              <w:t>一</w:t>
            </w:r>
            <w:r>
              <w:rPr>
                <w:rFonts w:hint="eastAsia" w:ascii="Times New Roman" w:hAnsi="Times New Roman" w:eastAsia="宋体" w:cs="Times New Roman"/>
                <w:lang w:val="en-US" w:eastAsia="zh-CN"/>
              </w:rPr>
              <w:t>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3、供应商应根据采购文件的要求提供技术响应表、商务响应表等内容以对采购文件作出响应。</w:t>
            </w:r>
          </w:p>
        </w:tc>
      </w:tr>
    </w:tbl>
    <w:p>
      <w:pPr>
        <w:rPr>
          <w:color w:val="auto"/>
          <w:highlight w:val="none"/>
        </w:rPr>
      </w:pPr>
    </w:p>
    <w:p>
      <w:pPr>
        <w:jc w:val="center"/>
        <w:rPr>
          <w:rFonts w:hint="eastAsia"/>
          <w:b/>
          <w:bCs/>
          <w:color w:val="auto"/>
          <w:sz w:val="32"/>
          <w:szCs w:val="32"/>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1"/>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color w:val="auto"/>
                <w:highlight w:val="none"/>
                <w:lang w:val="en-US" w:eastAsia="zh-CN"/>
              </w:rPr>
              <w:t>驻马店市中心医院聘请法律顾问项目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本次采购预算：</w:t>
            </w:r>
            <w:r>
              <w:rPr>
                <w:rFonts w:hint="eastAsia" w:ascii="宋体" w:hAnsi="宋体" w:cs="宋体"/>
                <w:color w:val="auto"/>
                <w:kern w:val="0"/>
                <w:szCs w:val="21"/>
                <w:highlight w:val="none"/>
                <w:lang w:val="en-US" w:eastAsia="zh-CN"/>
              </w:rPr>
              <w:t>45万</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eastAsia="zh-CN"/>
              </w:rPr>
              <w:t>。基础费用</w:t>
            </w:r>
            <w:r>
              <w:rPr>
                <w:rFonts w:hint="eastAsia" w:ascii="宋体" w:hAnsi="宋体" w:cs="宋体"/>
                <w:color w:val="auto"/>
                <w:kern w:val="0"/>
                <w:szCs w:val="21"/>
                <w:highlight w:val="none"/>
              </w:rPr>
              <w:t>最高投标限价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18万/年。专项费用</w:t>
            </w:r>
            <w:r>
              <w:rPr>
                <w:rFonts w:hint="eastAsia" w:ascii="宋体" w:hAnsi="宋体" w:cs="宋体"/>
                <w:color w:val="auto"/>
                <w:kern w:val="0"/>
                <w:szCs w:val="21"/>
                <w:highlight w:val="none"/>
                <w:lang w:eastAsia="zh-CN"/>
              </w:rPr>
              <w:t>最高</w:t>
            </w:r>
            <w:r>
              <w:rPr>
                <w:rFonts w:hint="eastAsia" w:ascii="宋体" w:hAnsi="宋体" w:cs="宋体"/>
                <w:color w:val="auto"/>
                <w:kern w:val="0"/>
                <w:szCs w:val="21"/>
                <w:highlight w:val="none"/>
              </w:rPr>
              <w:t>投标限价</w:t>
            </w:r>
            <w:r>
              <w:rPr>
                <w:rFonts w:hint="eastAsia" w:ascii="宋体" w:hAnsi="宋体" w:cs="宋体"/>
                <w:color w:val="auto"/>
                <w:kern w:val="0"/>
                <w:szCs w:val="21"/>
                <w:highlight w:val="none"/>
                <w:lang w:eastAsia="zh-CN"/>
              </w:rPr>
              <w:t>：专项费用</w:t>
            </w:r>
            <w:r>
              <w:rPr>
                <w:rFonts w:hint="eastAsia" w:ascii="宋体" w:hAnsi="宋体" w:cs="宋体"/>
                <w:color w:val="auto"/>
                <w:kern w:val="0"/>
                <w:szCs w:val="21"/>
                <w:highlight w:val="none"/>
                <w:lang w:val="en-US" w:eastAsia="zh-CN"/>
              </w:rPr>
              <w:t>按100%结算。</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cs="宋体"/>
                <w:sz w:val="21"/>
                <w:szCs w:val="21"/>
                <w:lang w:val="en-US" w:eastAsia="zh-CN"/>
              </w:rPr>
              <w:t>三十</w:t>
            </w:r>
            <w:r>
              <w:rPr>
                <w:rFonts w:hint="eastAsia" w:ascii="宋体" w:hAnsi="宋体" w:eastAsia="宋体" w:cs="宋体"/>
                <w:sz w:val="21"/>
                <w:szCs w:val="21"/>
                <w:lang w:val="en-US" w:eastAsia="zh-CN"/>
              </w:rPr>
              <w:t>个</w:t>
            </w:r>
            <w:r>
              <w:rPr>
                <w:rFonts w:hint="eastAsia" w:cs="宋体"/>
                <w:sz w:val="21"/>
                <w:szCs w:val="21"/>
                <w:lang w:val="en-US" w:eastAsia="zh-CN"/>
              </w:rPr>
              <w:t>日历天</w:t>
            </w:r>
            <w:r>
              <w:rPr>
                <w:rFonts w:hint="eastAsia" w:ascii="宋体" w:hAnsi="宋体" w:eastAsia="宋体" w:cs="宋体"/>
                <w:sz w:val="21"/>
                <w:szCs w:val="21"/>
                <w:lang w:val="en-US" w:eastAsia="zh-CN"/>
              </w:rPr>
              <w:t>内</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“投标人”系指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“投标人代表”系指代表投标人参加本次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3.本次采购预算：</w:t>
      </w:r>
      <w:r>
        <w:rPr>
          <w:rFonts w:hint="eastAsia" w:ascii="宋体" w:hAnsi="宋体" w:cs="宋体"/>
          <w:b/>
          <w:bCs/>
          <w:color w:val="auto"/>
          <w:kern w:val="0"/>
          <w:szCs w:val="21"/>
          <w:highlight w:val="none"/>
          <w:lang w:val="en-US" w:eastAsia="zh-CN"/>
        </w:rPr>
        <w:t>45万</w:t>
      </w:r>
      <w:r>
        <w:rPr>
          <w:rFonts w:hint="eastAsia" w:ascii="宋体" w:hAnsi="宋体" w:cs="宋体"/>
          <w:b/>
          <w:bCs/>
          <w:color w:val="auto"/>
          <w:kern w:val="0"/>
          <w:szCs w:val="21"/>
          <w:highlight w:val="none"/>
        </w:rPr>
        <w:t>元</w:t>
      </w:r>
      <w:r>
        <w:rPr>
          <w:rFonts w:hint="eastAsia" w:ascii="宋体" w:hAnsi="宋体" w:cs="宋体"/>
          <w:b/>
          <w:bCs/>
          <w:color w:val="auto"/>
          <w:kern w:val="0"/>
          <w:szCs w:val="21"/>
          <w:highlight w:val="none"/>
          <w:lang w:eastAsia="zh-CN"/>
        </w:rPr>
        <w:t>。基础费用</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18万/年。专项费用</w:t>
      </w:r>
      <w:r>
        <w:rPr>
          <w:rFonts w:hint="eastAsia" w:ascii="宋体" w:hAnsi="宋体" w:cs="宋体"/>
          <w:b/>
          <w:bCs/>
          <w:color w:val="auto"/>
          <w:kern w:val="0"/>
          <w:szCs w:val="21"/>
          <w:highlight w:val="none"/>
          <w:lang w:eastAsia="zh-CN"/>
        </w:rPr>
        <w:t>最高</w:t>
      </w:r>
      <w:r>
        <w:rPr>
          <w:rFonts w:hint="eastAsia" w:ascii="宋体" w:hAnsi="宋体" w:cs="宋体"/>
          <w:b/>
          <w:bCs/>
          <w:color w:val="auto"/>
          <w:kern w:val="0"/>
          <w:szCs w:val="21"/>
          <w:highlight w:val="none"/>
        </w:rPr>
        <w:t>投标限价</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专项费用按100%结算。</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b w:val="0"/>
          <w:bCs w:val="0"/>
          <w:color w:val="auto"/>
          <w:kern w:val="2"/>
          <w:sz w:val="21"/>
          <w:szCs w:val="21"/>
          <w:shd w:val="clear" w:color="auto" w:fill="FFFFFF"/>
          <w:lang w:val="en-US" w:eastAsia="zh-CN" w:bidi="ar-SA"/>
        </w:rPr>
        <w:t>4.2</w:t>
      </w:r>
      <w:r>
        <w:rPr>
          <w:rFonts w:hint="eastAsia" w:ascii="宋体" w:hAnsi="宋体" w:eastAsia="宋体" w:cs="宋体"/>
          <w:b w:val="0"/>
          <w:bCs w:val="0"/>
          <w:color w:val="auto"/>
          <w:kern w:val="2"/>
          <w:sz w:val="21"/>
          <w:szCs w:val="21"/>
          <w:shd w:val="clear" w:color="auto" w:fill="FFFFFF"/>
          <w:lang w:val="en-US" w:eastAsia="zh-CN" w:bidi="ar-SA"/>
        </w:rPr>
        <w:t>投标人系在中华人民共和国境内合法成立的律师事务所或法律服务所</w:t>
      </w:r>
      <w:r>
        <w:rPr>
          <w:rFonts w:hint="eastAsia" w:ascii="宋体" w:hAnsi="宋体" w:cs="宋体"/>
          <w:b w:val="0"/>
          <w:bCs w:val="0"/>
          <w:color w:val="auto"/>
          <w:kern w:val="2"/>
          <w:sz w:val="21"/>
          <w:szCs w:val="21"/>
          <w:shd w:val="clear" w:color="auto" w:fill="FFFFFF"/>
          <w:lang w:val="en-US" w:eastAsia="zh-CN" w:bidi="ar-SA"/>
        </w:rPr>
        <w:t>，提供执业许可证书（副本）</w:t>
      </w:r>
      <w:r>
        <w:rPr>
          <w:rFonts w:hint="eastAsia" w:ascii="宋体" w:hAnsi="宋体" w:eastAsia="宋体" w:cs="宋体"/>
          <w:b w:val="0"/>
          <w:bCs w:val="0"/>
          <w:color w:val="auto"/>
          <w:kern w:val="2"/>
          <w:sz w:val="21"/>
          <w:szCs w:val="21"/>
          <w:shd w:val="clear" w:color="auto" w:fill="FFFFFF"/>
          <w:lang w:val="en-US" w:eastAsia="zh-CN" w:bidi="ar-SA"/>
        </w:rPr>
        <w:t>；</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4.3</w:t>
      </w:r>
      <w:r>
        <w:rPr>
          <w:rFonts w:hint="eastAsia" w:ascii="宋体" w:hAnsi="宋体" w:eastAsia="宋体" w:cs="宋体"/>
          <w:b w:val="0"/>
          <w:bCs w:val="0"/>
          <w:color w:val="auto"/>
          <w:kern w:val="2"/>
          <w:sz w:val="21"/>
          <w:szCs w:val="21"/>
          <w:shd w:val="clear" w:color="auto" w:fill="FFFFFF"/>
          <w:lang w:val="en-US" w:eastAsia="zh-CN" w:bidi="ar-SA"/>
        </w:rPr>
        <w:t>投标人必须具有医疗纠纷调解与处理诉讼、鉴定的能力且无执业违法违规记录，未受过行业处分，能及时参与本院的纠纷调解，时间上能保证本院工作安排。</w:t>
      </w:r>
      <w:r>
        <w:rPr>
          <w:rFonts w:hint="eastAsia" w:ascii="宋体" w:hAnsi="宋体" w:eastAsia="宋体" w:cs="宋体"/>
          <w:color w:val="000000" w:themeColor="text1"/>
          <w:kern w:val="2"/>
          <w:sz w:val="21"/>
          <w:szCs w:val="24"/>
          <w:lang w:val="en-US" w:eastAsia="zh-CN" w:bidi="ar-SA"/>
          <w14:textFill>
            <w14:solidFill>
              <w14:schemeClr w14:val="tx1"/>
            </w14:solidFill>
          </w14:textFill>
        </w:rPr>
        <w:t>（提供书面声明函）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4.4</w:t>
      </w:r>
      <w:r>
        <w:rPr>
          <w:rFonts w:hint="eastAsia" w:ascii="宋体" w:hAnsi="宋体" w:eastAsia="宋体" w:cs="宋体"/>
          <w:b w:val="0"/>
          <w:bCs w:val="0"/>
          <w:color w:val="auto"/>
          <w:kern w:val="2"/>
          <w:sz w:val="21"/>
          <w:szCs w:val="21"/>
          <w:shd w:val="clear" w:color="auto" w:fill="FFFFFF"/>
          <w:lang w:val="en-US" w:eastAsia="zh-CN" w:bidi="ar-SA"/>
        </w:rPr>
        <w:t>良好的银行资信和职业信誉，没有处于被责令停业、面临重大诉讼以及财产被接管、冻结甚至破产等状态。</w:t>
      </w:r>
      <w:r>
        <w:rPr>
          <w:rFonts w:hint="eastAsia" w:ascii="宋体" w:hAnsi="宋体" w:eastAsia="宋体" w:cs="宋体"/>
          <w:color w:val="000000" w:themeColor="text1"/>
          <w:kern w:val="2"/>
          <w:sz w:val="21"/>
          <w:szCs w:val="24"/>
          <w:lang w:val="en-US" w:eastAsia="zh-CN" w:bidi="ar-SA"/>
          <w14:textFill>
            <w14:solidFill>
              <w14:schemeClr w14:val="tx1"/>
            </w14:solidFill>
          </w14:textFill>
        </w:rPr>
        <w:t>（提供书面声明函）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4.5</w:t>
      </w:r>
      <w:r>
        <w:rPr>
          <w:rFonts w:hint="default" w:ascii="宋体" w:hAnsi="宋体" w:eastAsia="宋体" w:cs="宋体"/>
          <w:b w:val="0"/>
          <w:bCs w:val="0"/>
          <w:color w:val="auto"/>
          <w:kern w:val="2"/>
          <w:sz w:val="21"/>
          <w:szCs w:val="21"/>
          <w:shd w:val="clear" w:color="auto" w:fill="FFFFFF"/>
          <w:lang w:val="en-US" w:eastAsia="zh-CN" w:bidi="ar-SA"/>
        </w:rPr>
        <w:t>投标人为我院提供的法律顾问成员，应不少于3人。</w:t>
      </w:r>
      <w:r>
        <w:rPr>
          <w:rFonts w:hint="eastAsia" w:ascii="宋体" w:hAnsi="宋体" w:cs="宋体"/>
          <w:b w:val="0"/>
          <w:bCs w:val="0"/>
          <w:color w:val="auto"/>
          <w:kern w:val="2"/>
          <w:sz w:val="21"/>
          <w:szCs w:val="21"/>
          <w:shd w:val="clear" w:color="auto" w:fill="FFFFFF"/>
          <w:lang w:val="en-US" w:eastAsia="zh-CN" w:bidi="ar-SA"/>
        </w:rPr>
        <w:t>（提供人员的相关证书）</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w:t>
      </w:r>
      <w:r>
        <w:rPr>
          <w:rFonts w:hint="eastAsia" w:ascii="宋体" w:hAnsi="宋体" w:cs="宋体"/>
          <w:color w:val="auto"/>
          <w:kern w:val="2"/>
          <w:sz w:val="21"/>
          <w:szCs w:val="24"/>
          <w:lang w:val="en-US" w:eastAsia="zh-CN" w:bidi="ar-SA"/>
        </w:rPr>
        <w:t>6</w:t>
      </w:r>
      <w:r>
        <w:rPr>
          <w:rFonts w:hint="eastAsia" w:ascii="宋体" w:hAnsi="宋体" w:eastAsia="宋体" w:cs="宋体"/>
          <w:b w:val="0"/>
          <w:bCs w:val="0"/>
          <w:color w:val="auto"/>
          <w:kern w:val="2"/>
          <w:sz w:val="21"/>
          <w:szCs w:val="21"/>
          <w:shd w:val="clear" w:color="auto" w:fill="FFFFFF"/>
          <w:lang w:val="en-US" w:eastAsia="zh-CN" w:bidi="ar-SA"/>
        </w:rPr>
        <w:t>供应商应提供202</w:t>
      </w:r>
      <w:r>
        <w:rPr>
          <w:rFonts w:hint="eastAsia" w:ascii="宋体" w:hAnsi="宋体" w:cs="宋体"/>
          <w:b w:val="0"/>
          <w:bCs w:val="0"/>
          <w:color w:val="auto"/>
          <w:kern w:val="2"/>
          <w:sz w:val="21"/>
          <w:szCs w:val="21"/>
          <w:shd w:val="clear" w:color="auto" w:fill="FFFFFF"/>
          <w:lang w:val="en-US" w:eastAsia="zh-CN" w:bidi="ar-SA"/>
        </w:rPr>
        <w:t>2年</w:t>
      </w:r>
      <w:r>
        <w:rPr>
          <w:rFonts w:hint="eastAsia" w:ascii="宋体" w:hAnsi="宋体" w:eastAsia="宋体" w:cs="宋体"/>
          <w:b w:val="0"/>
          <w:bCs w:val="0"/>
          <w:color w:val="auto"/>
          <w:kern w:val="2"/>
          <w:sz w:val="21"/>
          <w:szCs w:val="21"/>
          <w:shd w:val="clear" w:color="auto" w:fill="FFFFFF"/>
          <w:lang w:val="en-US" w:eastAsia="zh-CN" w:bidi="ar-SA"/>
        </w:rPr>
        <w:t>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29"/>
        <w:keepNext w:val="0"/>
        <w:keepLines w:val="0"/>
        <w:pageBreakBefore w:val="0"/>
        <w:kinsoku/>
        <w:overflowPunct/>
        <w:topLinePunct w:val="0"/>
        <w:bidi w:val="0"/>
        <w:spacing w:line="440" w:lineRule="exact"/>
        <w:ind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sz w:val="21"/>
          <w:lang w:val="en-US" w:eastAsia="zh-CN"/>
        </w:rPr>
        <w:t>4.7</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4.8</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4.9</w:t>
      </w:r>
      <w:r>
        <w:rPr>
          <w:rFonts w:hint="eastAsia" w:ascii="宋体" w:hAnsi="宋体" w:eastAsia="宋体" w:cs="宋体"/>
          <w:color w:val="auto"/>
          <w:lang w:val="en-US" w:eastAsia="zh-CN"/>
        </w:rPr>
        <w:t>根据《关于在政府采购活动中查询及使用信用记录有关问题的通知》（财库【2016】125号）的规定，对列入失信被执行人、</w:t>
      </w:r>
      <w:r>
        <w:rPr>
          <w:rFonts w:hint="eastAsia"/>
          <w:color w:val="auto"/>
          <w:lang w:val="en-US" w:eastAsia="zh-CN"/>
        </w:rPr>
        <w:t>重大税收违法失信主体</w:t>
      </w:r>
      <w:r>
        <w:rPr>
          <w:rFonts w:hint="eastAsia" w:ascii="宋体" w:hAnsi="宋体" w:eastAsia="宋体" w:cs="宋体"/>
          <w:color w:val="auto"/>
          <w:lang w:val="en-US" w:eastAsia="zh-CN"/>
        </w:rPr>
        <w:t>、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0"/>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时间、质保期等不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1"/>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377"/>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8"/>
              <w:keepNext w:val="0"/>
              <w:keepLines w:val="0"/>
              <w:pageBreakBefore w:val="0"/>
              <w:kinsoku/>
              <w:wordWrap/>
              <w:overflowPunct/>
              <w:topLinePunct w:val="0"/>
              <w:bidi w:val="0"/>
              <w:snapToGrid w:val="0"/>
              <w:spacing w:line="320" w:lineRule="exact"/>
              <w:jc w:val="both"/>
              <w:textAlignment w:val="auto"/>
              <w:rPr>
                <w:rFonts w:hint="eastAsia"/>
              </w:rPr>
            </w:pPr>
            <w:r>
              <w:rPr>
                <w:rFonts w:hint="eastAsia"/>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8"/>
              <w:keepNext w:val="0"/>
              <w:keepLines w:val="0"/>
              <w:pageBreakBefore w:val="0"/>
              <w:kinsoku/>
              <w:wordWrap/>
              <w:overflowPunct/>
              <w:topLinePunct w:val="0"/>
              <w:bidi w:val="0"/>
              <w:snapToGrid w:val="0"/>
              <w:spacing w:line="320" w:lineRule="exact"/>
              <w:jc w:val="both"/>
              <w:textAlignment w:val="auto"/>
              <w:rPr>
                <w:rFonts w:hint="eastAsia"/>
              </w:rPr>
            </w:pPr>
            <w:r>
              <w:rPr>
                <w:rFonts w:hint="eastAsia"/>
              </w:rPr>
              <w:t>有效投标报价：投标报价</w:t>
            </w:r>
            <w:r>
              <w:rPr>
                <w:rFonts w:hint="eastAsia"/>
                <w:lang w:val="en-US" w:eastAsia="zh-CN"/>
              </w:rPr>
              <w:t>不高于</w:t>
            </w:r>
            <w:r>
              <w:rPr>
                <w:rFonts w:hint="eastAsia"/>
                <w:lang w:eastAsia="zh-CN"/>
              </w:rPr>
              <w:t>最高限价</w:t>
            </w:r>
            <w:r>
              <w:rPr>
                <w:rFonts w:hint="eastAsia"/>
              </w:rPr>
              <w:t>的为有效投标报价。</w:t>
            </w:r>
          </w:p>
          <w:p>
            <w:pPr>
              <w:pStyle w:val="48"/>
              <w:keepNext w:val="0"/>
              <w:keepLines w:val="0"/>
              <w:pageBreakBefore w:val="0"/>
              <w:kinsoku/>
              <w:wordWrap/>
              <w:overflowPunct/>
              <w:topLinePunct w:val="0"/>
              <w:bidi w:val="0"/>
              <w:snapToGrid w:val="0"/>
              <w:spacing w:line="320" w:lineRule="exact"/>
              <w:jc w:val="both"/>
              <w:textAlignment w:val="auto"/>
              <w:rPr>
                <w:rFonts w:hint="eastAsia"/>
              </w:rPr>
            </w:pPr>
            <w:r>
              <w:rPr>
                <w:rFonts w:hint="eastAsia"/>
              </w:rPr>
              <w:t>评标基准值的确定：满足</w:t>
            </w:r>
            <w:r>
              <w:rPr>
                <w:rFonts w:hint="eastAsia"/>
                <w:lang w:val="en-US" w:eastAsia="zh-CN"/>
              </w:rPr>
              <w:t>采购</w:t>
            </w:r>
            <w:r>
              <w:rPr>
                <w:rFonts w:hint="eastAsia"/>
              </w:rPr>
              <w:t>文件要求且投标价格最低的有效投标报价为评标基准价。</w:t>
            </w:r>
          </w:p>
          <w:p>
            <w:pPr>
              <w:pStyle w:val="48"/>
              <w:keepNext w:val="0"/>
              <w:keepLines w:val="0"/>
              <w:pageBreakBefore w:val="0"/>
              <w:kinsoku/>
              <w:wordWrap/>
              <w:overflowPunct/>
              <w:topLinePunct w:val="0"/>
              <w:bidi w:val="0"/>
              <w:snapToGrid w:val="0"/>
              <w:spacing w:line="320" w:lineRule="exact"/>
              <w:jc w:val="both"/>
              <w:textAlignment w:val="auto"/>
              <w:rPr>
                <w:rFonts w:hint="eastAsia"/>
              </w:rPr>
            </w:pPr>
            <w:r>
              <w:rPr>
                <w:rFonts w:hint="eastAsia"/>
                <w:lang w:eastAsia="zh-CN"/>
              </w:rPr>
              <w:t>基础费用</w:t>
            </w:r>
            <w:r>
              <w:rPr>
                <w:rFonts w:hint="eastAsia"/>
              </w:rPr>
              <w:t>投标报价得分=（评标基准价/有效投标报价）×</w:t>
            </w:r>
            <w:r>
              <w:rPr>
                <w:rFonts w:hint="eastAsia"/>
                <w:lang w:val="en-US" w:eastAsia="zh-CN"/>
              </w:rPr>
              <w:t>2</w:t>
            </w:r>
            <w:r>
              <w:rPr>
                <w:rFonts w:hint="eastAsia"/>
              </w:rPr>
              <w:t>0分</w:t>
            </w:r>
          </w:p>
          <w:p>
            <w:pPr>
              <w:pStyle w:val="48"/>
              <w:keepNext w:val="0"/>
              <w:keepLines w:val="0"/>
              <w:pageBreakBefore w:val="0"/>
              <w:kinsoku/>
              <w:wordWrap/>
              <w:overflowPunct/>
              <w:topLinePunct w:val="0"/>
              <w:bidi w:val="0"/>
              <w:snapToGrid w:val="0"/>
              <w:spacing w:line="320" w:lineRule="exact"/>
              <w:jc w:val="both"/>
              <w:textAlignment w:val="auto"/>
              <w:rPr>
                <w:rFonts w:hint="eastAsia"/>
              </w:rPr>
            </w:pPr>
            <w:r>
              <w:rPr>
                <w:rFonts w:hint="eastAsia"/>
              </w:rPr>
              <w:t>专项费用投标报价得分=（评标基准价/有效投标报价）×</w:t>
            </w:r>
            <w:r>
              <w:rPr>
                <w:rFonts w:hint="eastAsia"/>
                <w:lang w:val="en-US" w:eastAsia="zh-CN"/>
              </w:rPr>
              <w:t>1</w:t>
            </w:r>
            <w:r>
              <w:rPr>
                <w:rFonts w:hint="eastAsia"/>
              </w:rPr>
              <w:t>0分</w:t>
            </w:r>
          </w:p>
          <w:p>
            <w:pPr>
              <w:rPr>
                <w:rFonts w:hint="eastAsia"/>
                <w:lang w:val="en-US" w:eastAsia="zh-CN"/>
              </w:rPr>
            </w:pPr>
            <w:r>
              <w:rPr>
                <w:rFonts w:hint="eastAsia"/>
                <w:lang w:val="en-US" w:eastAsia="zh-CN"/>
              </w:rPr>
              <w:t>注：1、“基本费用投标报价”以“180000元/年”为基础进行报价，报价不得超过“180000元/年”。</w:t>
            </w:r>
          </w:p>
          <w:p>
            <w:pPr>
              <w:numPr>
                <w:ilvl w:val="0"/>
                <w:numId w:val="1"/>
              </w:numPr>
              <w:ind w:left="0" w:leftChars="0" w:firstLine="0" w:firstLineChars="0"/>
              <w:rPr>
                <w:rFonts w:hint="eastAsia"/>
                <w:lang w:val="en-US" w:eastAsia="zh-CN"/>
              </w:rPr>
            </w:pPr>
            <w:r>
              <w:rPr>
                <w:rFonts w:hint="eastAsia"/>
                <w:lang w:val="en-US" w:eastAsia="zh-CN"/>
              </w:rPr>
              <w:t>专项费用是指：年结算价扣除基本费用之后剩余的费用，根据案件数量和性质据实结算的部分。</w:t>
            </w:r>
          </w:p>
          <w:p>
            <w:pPr>
              <w:rPr>
                <w:rFonts w:hint="eastAsia"/>
                <w:lang w:val="en-US" w:eastAsia="zh-CN"/>
              </w:rPr>
            </w:pPr>
            <w:r>
              <w:rPr>
                <w:rFonts w:hint="eastAsia"/>
                <w:lang w:val="en-US" w:eastAsia="zh-CN"/>
              </w:rPr>
              <w:t>“专项费用投标报价”以优惠率进行报价，报价不得超过“100%”。</w:t>
            </w:r>
          </w:p>
          <w:p>
            <w:pPr>
              <w:rPr>
                <w:rFonts w:hint="eastAsia" w:eastAsia="宋体"/>
                <w:lang w:val="en-US" w:eastAsia="zh-CN"/>
              </w:rPr>
            </w:pPr>
            <w:r>
              <w:rPr>
                <w:rFonts w:hint="eastAsia"/>
                <w:lang w:val="en-US" w:eastAsia="zh-CN"/>
              </w:rPr>
              <w:t>例：报价为“95%”，根据委托代理的案件核算年度总金额为30万元，实际支付=30*0.95=28.5万元。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2377"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1.服务能力的响应程度(20分）</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完全满足招标文件“第二章 采购需求”</w:t>
            </w:r>
            <w:r>
              <w:rPr>
                <w:rFonts w:hint="eastAsia" w:ascii="宋体" w:hAnsi="宋体" w:eastAsia="宋体" w:cs="宋体"/>
                <w:b w:val="0"/>
                <w:bCs w:val="0"/>
                <w:color w:val="auto"/>
                <w:sz w:val="21"/>
                <w:szCs w:val="21"/>
                <w:highlight w:val="none"/>
                <w:lang w:val="en-US" w:eastAsia="zh-CN"/>
              </w:rPr>
              <w:t>中</w:t>
            </w:r>
            <w:r>
              <w:rPr>
                <w:rFonts w:hint="eastAsia" w:ascii="宋体" w:hAnsi="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rPr>
              <w:t>要求的得20分；</w:t>
            </w:r>
            <w:r>
              <w:rPr>
                <w:rFonts w:hint="eastAsia" w:ascii="宋体" w:hAnsi="宋体" w:cs="宋体"/>
                <w:b w:val="0"/>
                <w:bCs w:val="0"/>
                <w:color w:val="auto"/>
                <w:sz w:val="21"/>
                <w:szCs w:val="21"/>
                <w:highlight w:val="none"/>
                <w:lang w:val="en-US" w:eastAsia="zh-CN"/>
              </w:rPr>
              <w:t>有</w:t>
            </w:r>
            <w:r>
              <w:rPr>
                <w:rFonts w:hint="eastAsia" w:ascii="宋体" w:hAnsi="宋体" w:eastAsia="宋体" w:cs="宋体"/>
                <w:b w:val="0"/>
                <w:bCs w:val="0"/>
                <w:color w:val="auto"/>
                <w:sz w:val="21"/>
                <w:szCs w:val="21"/>
                <w:highlight w:val="none"/>
              </w:rPr>
              <w:t>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分；得分为0，则投标无效。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2377"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2.服务方案（20分）</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投标人制定的年度服务方案、</w:t>
            </w:r>
            <w:r>
              <w:rPr>
                <w:rFonts w:hint="eastAsia" w:ascii="宋体" w:hAnsi="宋体" w:eastAsia="宋体" w:cs="宋体"/>
                <w:b w:val="0"/>
                <w:bCs w:val="0"/>
                <w:color w:val="auto"/>
                <w:sz w:val="21"/>
                <w:szCs w:val="21"/>
                <w:highlight w:val="none"/>
                <w:lang w:val="en-US" w:eastAsia="zh-CN"/>
              </w:rPr>
              <w:t>质量保证措施</w:t>
            </w:r>
            <w:r>
              <w:rPr>
                <w:rFonts w:hint="eastAsia" w:ascii="宋体" w:hAnsi="宋体" w:eastAsia="宋体" w:cs="宋体"/>
                <w:b w:val="0"/>
                <w:bCs w:val="0"/>
                <w:color w:val="auto"/>
                <w:sz w:val="21"/>
                <w:szCs w:val="21"/>
                <w:highlight w:val="none"/>
              </w:rPr>
              <w:t>、应急响应方案等。</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以上内容具体、完善、合理性程度强得14-20分，具体、完善、合理性程度一般得7-13分，具体、完善、合理性程度差得1-6分，缺项得0分。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(20分)</w:t>
            </w:r>
          </w:p>
        </w:tc>
        <w:tc>
          <w:tcPr>
            <w:tcW w:w="2377"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完全满足采购需求的得7-10分；基本满足的得4-6分；一般满足采购的得1-3分。缺项得0分。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2377"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投标人2020年1月1日具有的类似服务业绩(以合同文件为准），每提供一份得2分，最多得4分。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377"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(16分)</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投标人服务网点设立情况（提供服务人员联系方式和服务站地址）、服务及时率、服务到位程度及增值服务等；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以上内容具体、完善、合理性程度强得11-16分，具体、完善、合理性程度一般得6-10分，具体、完善、合理性程度差得1-5分，缺项得0分。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bookmarkEnd w:id="44"/>
    </w:tbl>
    <w:p>
      <w:pPr>
        <w:rPr>
          <w:color w:val="auto"/>
          <w:highlight w:val="none"/>
        </w:rPr>
      </w:pPr>
      <w:bookmarkStart w:id="46" w:name="_Toc1482"/>
      <w:bookmarkStart w:id="47" w:name="_Toc1947"/>
      <w:bookmarkStart w:id="48" w:name="_Toc256519703"/>
      <w:bookmarkStart w:id="49" w:name="_Toc326786897"/>
    </w:p>
    <w:p>
      <w:pPr>
        <w:pStyle w:val="3"/>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29"/>
      </w:pPr>
    </w:p>
    <w:p>
      <w:pPr>
        <w:pStyle w:val="3"/>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7"/>
    </w:p>
    <w:p>
      <w:pPr>
        <w:snapToGrid w:val="0"/>
        <w:spacing w:line="360" w:lineRule="auto"/>
        <w:ind w:firstLine="480" w:firstLineChars="200"/>
        <w:rPr>
          <w:rFonts w:hint="eastAsia" w:eastAsia="宋体"/>
          <w:color w:val="auto"/>
          <w:sz w:val="24"/>
          <w:highlight w:val="none"/>
          <w:lang w:val="en-US" w:eastAsia="zh-CN"/>
        </w:rPr>
      </w:pPr>
      <w:bookmarkStart w:id="58" w:name="_Toc6234"/>
      <w:r>
        <w:rPr>
          <w:rFonts w:hint="eastAsia"/>
          <w:color w:val="auto"/>
          <w:sz w:val="24"/>
          <w:highlight w:val="none"/>
        </w:rPr>
        <w:t>附件6 商务</w:t>
      </w:r>
      <w:bookmarkEnd w:id="58"/>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29"/>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1"/>
        <w:rPr>
          <w:rFonts w:ascii="宋体" w:hAnsi="宋体" w:cs="宋体"/>
          <w:b/>
          <w:bCs/>
          <w:color w:val="auto"/>
          <w:kern w:val="0"/>
          <w:sz w:val="24"/>
          <w:highlight w:val="none"/>
        </w:rPr>
      </w:pPr>
    </w:p>
    <w:p>
      <w:pPr>
        <w:pStyle w:val="48"/>
        <w:rPr>
          <w:rFonts w:hAnsi="宋体"/>
          <w:b/>
          <w:bCs/>
          <w:color w:val="auto"/>
          <w:highlight w:val="none"/>
        </w:rPr>
      </w:pPr>
    </w:p>
    <w:p>
      <w:pPr>
        <w:pStyle w:val="48"/>
        <w:rPr>
          <w:rFonts w:hAnsi="宋体"/>
          <w:b/>
          <w:bCs/>
          <w:color w:val="auto"/>
          <w:highlight w:val="none"/>
        </w:rPr>
      </w:pPr>
    </w:p>
    <w:p>
      <w:pPr>
        <w:rPr>
          <w:color w:val="auto"/>
          <w:highlight w:val="none"/>
        </w:rPr>
      </w:pPr>
      <w:r>
        <w:rPr>
          <w:rFonts w:hint="eastAsia"/>
          <w:color w:val="auto"/>
          <w:highlight w:val="none"/>
        </w:rPr>
        <w:br w:type="page"/>
      </w:r>
    </w:p>
    <w:p>
      <w:pPr>
        <w:pStyle w:val="12"/>
        <w:rPr>
          <w:color w:val="auto"/>
          <w:highlight w:val="none"/>
        </w:rPr>
      </w:pPr>
    </w:p>
    <w:p>
      <w:pPr>
        <w:pStyle w:val="2"/>
        <w:rPr>
          <w:color w:val="auto"/>
          <w:highlight w:val="none"/>
        </w:rPr>
      </w:pPr>
      <w:bookmarkStart w:id="63" w:name="_Toc24743"/>
      <w:bookmarkStart w:id="64" w:name="_Toc31798"/>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8"/>
        <w:spacing w:line="360" w:lineRule="auto"/>
        <w:rPr>
          <w:rFonts w:hint="eastAsia" w:ascii="宋体" w:hAnsi="宋体" w:eastAsia="宋体" w:cs="宋体"/>
          <w:color w:val="auto"/>
          <w:highlight w:val="none"/>
        </w:rPr>
      </w:pPr>
    </w:p>
    <w:p>
      <w:pPr>
        <w:pStyle w:val="48"/>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1"/>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1"/>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eastAsia"/>
                <w:b/>
                <w:bCs/>
                <w:lang w:val="en-US" w:eastAsia="zh-CN"/>
              </w:rPr>
            </w:pPr>
            <w:r>
              <w:rPr>
                <w:rFonts w:hint="eastAsia"/>
                <w:b/>
                <w:bCs/>
                <w:lang w:val="en-US" w:eastAsia="zh-CN"/>
              </w:rPr>
              <w:t>基础费用：</w:t>
            </w:r>
          </w:p>
          <w:p>
            <w:pPr>
              <w:rPr>
                <w:rFonts w:hint="default"/>
                <w:u w:val="single"/>
                <w:lang w:val="en-US" w:eastAsia="zh-CN"/>
              </w:rPr>
            </w:pPr>
            <w:r>
              <w:rPr>
                <w:rFonts w:hint="eastAsia"/>
                <w:lang w:val="en-US" w:eastAsia="zh-CN"/>
              </w:rPr>
              <w:t>大写：</w:t>
            </w:r>
            <w:r>
              <w:rPr>
                <w:rFonts w:hint="eastAsia"/>
                <w:u w:val="single"/>
                <w:lang w:val="en-US" w:eastAsia="zh-CN"/>
              </w:rPr>
              <w:t xml:space="preserve">        </w:t>
            </w:r>
          </w:p>
          <w:p>
            <w:pPr>
              <w:rPr>
                <w:rFonts w:hint="eastAsia"/>
                <w:lang w:val="en-US" w:eastAsia="zh-CN"/>
              </w:rPr>
            </w:pPr>
            <w:r>
              <w:rPr>
                <w:rFonts w:hint="eastAsia"/>
                <w:lang w:val="en-US" w:eastAsia="zh-CN"/>
              </w:rPr>
              <w:t>小写：</w:t>
            </w:r>
            <w:r>
              <w:rPr>
                <w:rFonts w:hint="eastAsia"/>
                <w:u w:val="single"/>
                <w:lang w:val="en-US" w:eastAsia="zh-CN"/>
              </w:rPr>
              <w:t xml:space="preserve">        </w:t>
            </w:r>
            <w:r>
              <w:rPr>
                <w:rFonts w:hint="eastAsia"/>
                <w:lang w:val="en-US" w:eastAsia="zh-CN"/>
              </w:rPr>
              <w:t>元/年（详见报价明细表）</w:t>
            </w:r>
          </w:p>
          <w:p>
            <w:pPr>
              <w:rPr>
                <w:rFonts w:hint="eastAsia"/>
                <w:b/>
                <w:bCs/>
                <w:lang w:val="en-US" w:eastAsia="zh-CN"/>
              </w:rPr>
            </w:pPr>
            <w:r>
              <w:rPr>
                <w:rFonts w:hint="eastAsia"/>
                <w:b/>
                <w:bCs/>
                <w:lang w:val="en-US" w:eastAsia="zh-CN"/>
              </w:rPr>
              <w:t>专项费用：</w:t>
            </w:r>
          </w:p>
          <w:p>
            <w:pPr>
              <w:rPr>
                <w:rFonts w:hint="default"/>
                <w:u w:val="single"/>
                <w:lang w:val="en-US" w:eastAsia="zh-CN"/>
              </w:rPr>
            </w:pPr>
            <w:r>
              <w:rPr>
                <w:rFonts w:hint="eastAsia"/>
                <w:lang w:val="en-US" w:eastAsia="zh-CN"/>
              </w:rPr>
              <w:t xml:space="preserve">大写：专项费用按 </w:t>
            </w:r>
            <w:r>
              <w:rPr>
                <w:rFonts w:hint="eastAsia"/>
                <w:u w:val="single"/>
                <w:lang w:val="en-US" w:eastAsia="zh-CN"/>
              </w:rPr>
              <w:t xml:space="preserve">           </w:t>
            </w:r>
            <w:r>
              <w:rPr>
                <w:rFonts w:hint="eastAsia"/>
                <w:u w:val="none"/>
                <w:lang w:val="en-US" w:eastAsia="zh-CN"/>
              </w:rPr>
              <w:t>结算</w:t>
            </w:r>
          </w:p>
          <w:p>
            <w:pPr>
              <w:rPr>
                <w:rFonts w:hint="eastAsia"/>
                <w:lang w:val="en-US" w:eastAsia="zh-CN"/>
              </w:rPr>
            </w:pPr>
            <w:r>
              <w:rPr>
                <w:rFonts w:hint="eastAsia"/>
                <w:lang w:val="en-US" w:eastAsia="zh-CN"/>
              </w:rPr>
              <w:t xml:space="preserve">小写：专项费用按 </w:t>
            </w:r>
            <w:r>
              <w:rPr>
                <w:rFonts w:hint="eastAsia"/>
                <w:u w:val="single"/>
                <w:lang w:val="en-US" w:eastAsia="zh-CN"/>
              </w:rPr>
              <w:t xml:space="preserve">       </w:t>
            </w:r>
            <w:r>
              <w:rPr>
                <w:rFonts w:hint="eastAsia"/>
                <w:u w:val="none"/>
                <w:lang w:val="en-US" w:eastAsia="zh-CN"/>
              </w:rPr>
              <w:t>%结算</w:t>
            </w:r>
            <w:r>
              <w:rPr>
                <w:rFonts w:hint="eastAsia"/>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服务期限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9"/>
              <w:ind w:left="0" w:leftChars="0"/>
              <w:rPr>
                <w:color w:val="auto"/>
                <w:sz w:val="21"/>
                <w:szCs w:val="21"/>
                <w:highlight w:val="none"/>
              </w:rPr>
            </w:pPr>
          </w:p>
        </w:tc>
      </w:tr>
    </w:tbl>
    <w:p>
      <w:pPr>
        <w:spacing w:line="360" w:lineRule="auto"/>
        <w:ind w:firstLine="422" w:firstLineChars="200"/>
        <w:rPr>
          <w:rFonts w:hint="eastAsia" w:ascii="宋体" w:hAnsi="宋体" w:cs="宋体"/>
          <w:b/>
          <w:bCs/>
          <w:color w:val="auto"/>
          <w:kern w:val="0"/>
          <w:szCs w:val="21"/>
          <w:highlight w:val="none"/>
          <w:lang w:eastAsia="zh-CN"/>
        </w:rPr>
      </w:pPr>
      <w:r>
        <w:rPr>
          <w:rFonts w:hint="eastAsia" w:ascii="宋体" w:hAnsi="宋体" w:cs="宋体"/>
          <w:b/>
          <w:bCs/>
          <w:color w:val="auto"/>
          <w:kern w:val="0"/>
          <w:szCs w:val="21"/>
          <w:highlight w:val="none"/>
          <w:lang w:eastAsia="zh-CN"/>
        </w:rPr>
        <w:t>注: 1、本表报价“基本费用”以“180000元/年”为基础进行报价，报价不得超过“180000元/年”；“专项费用</w:t>
      </w:r>
      <w:r>
        <w:rPr>
          <w:rFonts w:hint="eastAsia" w:ascii="宋体" w:hAnsi="宋体" w:cs="宋体"/>
          <w:b/>
          <w:bCs/>
          <w:color w:val="auto"/>
          <w:kern w:val="0"/>
          <w:szCs w:val="21"/>
          <w:highlight w:val="none"/>
          <w:lang w:val="en-US" w:eastAsia="zh-CN"/>
        </w:rPr>
        <w:t>（年结算价扣除基本费用之后剩余的费用）</w:t>
      </w:r>
      <w:r>
        <w:rPr>
          <w:rFonts w:hint="eastAsia" w:ascii="宋体" w:hAnsi="宋体" w:cs="宋体"/>
          <w:b/>
          <w:bCs/>
          <w:color w:val="auto"/>
          <w:kern w:val="0"/>
          <w:szCs w:val="21"/>
          <w:highlight w:val="none"/>
          <w:lang w:eastAsia="zh-CN"/>
        </w:rPr>
        <w:t>”以“</w:t>
      </w:r>
      <w:r>
        <w:rPr>
          <w:rFonts w:hint="eastAsia" w:ascii="宋体" w:hAnsi="宋体" w:cs="宋体"/>
          <w:b/>
          <w:bCs/>
          <w:color w:val="auto"/>
          <w:kern w:val="0"/>
          <w:szCs w:val="21"/>
          <w:highlight w:val="none"/>
          <w:lang w:val="en-US" w:eastAsia="zh-CN"/>
        </w:rPr>
        <w:t>100%</w:t>
      </w:r>
      <w:r>
        <w:rPr>
          <w:rFonts w:hint="eastAsia" w:ascii="宋体" w:hAnsi="宋体" w:cs="宋体"/>
          <w:b/>
          <w:bCs/>
          <w:color w:val="auto"/>
          <w:kern w:val="0"/>
          <w:szCs w:val="21"/>
          <w:highlight w:val="none"/>
          <w:lang w:eastAsia="zh-CN"/>
        </w:rPr>
        <w:t>”为基础进行报价，报价不得超过“</w:t>
      </w:r>
      <w:r>
        <w:rPr>
          <w:rFonts w:hint="eastAsia" w:ascii="宋体" w:hAnsi="宋体" w:cs="宋体"/>
          <w:b/>
          <w:bCs/>
          <w:color w:val="auto"/>
          <w:kern w:val="0"/>
          <w:szCs w:val="21"/>
          <w:highlight w:val="none"/>
          <w:lang w:val="en-US" w:eastAsia="zh-CN"/>
        </w:rPr>
        <w:t>100%</w:t>
      </w:r>
      <w:r>
        <w:rPr>
          <w:rFonts w:hint="eastAsia" w:ascii="宋体" w:hAnsi="宋体" w:cs="宋体"/>
          <w:b/>
          <w:bCs/>
          <w:color w:val="auto"/>
          <w:kern w:val="0"/>
          <w:szCs w:val="21"/>
          <w:highlight w:val="none"/>
          <w:lang w:eastAsia="zh-CN"/>
        </w:rPr>
        <w:t>”。</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2、报价如有涂改，</w:t>
      </w:r>
      <w:r>
        <w:rPr>
          <w:rFonts w:hint="eastAsia" w:ascii="宋体" w:hAnsi="宋体" w:cs="宋体"/>
          <w:color w:val="auto"/>
          <w:kern w:val="0"/>
          <w:szCs w:val="21"/>
          <w:highlight w:val="none"/>
        </w:rPr>
        <w:t>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20" w:firstLineChars="200"/>
        <w:jc w:val="center"/>
        <w:rPr>
          <w:rFonts w:ascii="宋体" w:hAnsi="宋体"/>
          <w:color w:val="auto"/>
          <w:szCs w:val="21"/>
          <w:highlight w:val="none"/>
        </w:rPr>
      </w:pPr>
      <w:bookmarkStart w:id="68" w:name="_Toc11620"/>
      <w:bookmarkStart w:id="69" w:name="_Toc20877"/>
      <w:r>
        <w:rPr>
          <w:rFonts w:hint="eastAsia" w:ascii="宋体" w:hAnsi="宋体"/>
          <w:color w:val="auto"/>
          <w:szCs w:val="21"/>
          <w:highlight w:val="none"/>
        </w:rPr>
        <w:t>投标人（全称并加盖公章）：</w:t>
      </w:r>
      <w:bookmarkEnd w:id="68"/>
      <w:bookmarkEnd w:id="69"/>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72" w:name="_Toc9950"/>
      <w:bookmarkStart w:id="73" w:name="_Toc1330"/>
      <w:r>
        <w:rPr>
          <w:rFonts w:hint="eastAsia" w:ascii="宋体" w:hAnsi="宋体"/>
          <w:color w:val="auto"/>
          <w:szCs w:val="21"/>
          <w:highlight w:val="none"/>
        </w:rPr>
        <w:t>年  月  日</w:t>
      </w:r>
      <w:bookmarkEnd w:id="72"/>
      <w:bookmarkEnd w:id="73"/>
    </w:p>
    <w:p>
      <w:pPr>
        <w:rPr>
          <w:color w:val="auto"/>
          <w:highlight w:val="none"/>
        </w:rPr>
      </w:pPr>
    </w:p>
    <w:bookmarkEnd w:id="48"/>
    <w:bookmarkEnd w:id="49"/>
    <w:p>
      <w:pPr>
        <w:rPr>
          <w:rFonts w:hint="eastAsia"/>
          <w:color w:val="000000" w:themeColor="text1"/>
          <w:highlight w:val="none"/>
          <w14:textFill>
            <w14:solidFill>
              <w14:schemeClr w14:val="tx1"/>
            </w14:solidFill>
          </w14:textFill>
        </w:rPr>
      </w:pPr>
      <w:bookmarkStart w:id="74" w:name="_Toc24984"/>
      <w:bookmarkStart w:id="75" w:name="_Toc22004"/>
      <w:r>
        <w:rPr>
          <w:rFonts w:hint="eastAsia"/>
          <w:color w:val="000000" w:themeColor="text1"/>
          <w:highlight w:val="none"/>
          <w14:textFill>
            <w14:solidFill>
              <w14:schemeClr w14:val="tx1"/>
            </w14:solidFill>
          </w14:textFill>
        </w:rPr>
        <w:br w:type="page"/>
      </w:r>
    </w:p>
    <w:p>
      <w:pPr>
        <w:pStyle w:val="2"/>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1"/>
        <w:tblW w:w="9279"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7"/>
        <w:gridCol w:w="2384"/>
        <w:gridCol w:w="1516"/>
        <w:gridCol w:w="1541"/>
        <w:gridCol w:w="1718"/>
        <w:gridCol w:w="12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38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服务名称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71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20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076"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投标总价(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203"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2"/>
        <w:rPr>
          <w:rFonts w:hint="eastAsia" w:eastAsia="黑体"/>
          <w:color w:val="auto"/>
          <w:highlight w:val="none"/>
          <w:lang w:val="en-US" w:eastAsia="zh-CN"/>
        </w:rPr>
      </w:pPr>
      <w:r>
        <w:rPr>
          <w:rFonts w:hint="eastAsia"/>
          <w:color w:val="auto"/>
          <w:highlight w:val="none"/>
        </w:rPr>
        <w:br w:type="page"/>
      </w:r>
      <w:bookmarkStart w:id="76" w:name="_Toc15804"/>
      <w:bookmarkStart w:id="77" w:name="_Toc226"/>
      <w:r>
        <w:rPr>
          <w:rFonts w:hint="eastAsia"/>
          <w:color w:val="auto"/>
          <w:highlight w:val="none"/>
        </w:rPr>
        <w:t xml:space="preserve">附件5         </w:t>
      </w:r>
      <w:bookmarkEnd w:id="76"/>
      <w:bookmarkEnd w:id="77"/>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8" w:name="_Toc29960"/>
      <w:bookmarkStart w:id="79" w:name="_Toc2042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29"/>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widowControl/>
        <w:wordWrap w:val="0"/>
        <w:spacing w:line="460" w:lineRule="exact"/>
        <w:jc w:val="left"/>
        <w:outlineLvl w:val="0"/>
        <w:rPr>
          <w:rFonts w:ascii="Arial" w:hAnsi="Arial" w:eastAsia="新宋体"/>
          <w:b/>
          <w:color w:val="auto"/>
          <w:sz w:val="28"/>
          <w:highlight w:val="none"/>
        </w:rPr>
      </w:pPr>
      <w:bookmarkStart w:id="80" w:name="_Toc31526"/>
      <w:bookmarkStart w:id="81" w:name="_Toc28621"/>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1"/>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1"/>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服务方案</w:t>
      </w:r>
    </w:p>
    <w:p>
      <w:pPr>
        <w:pStyle w:val="7"/>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7"/>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7"/>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3726"/>
      <w:bookmarkStart w:id="88" w:name="_Toc12888"/>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29"/>
        <w:rPr>
          <w:rFonts w:ascii="宋体" w:hAnsi="宋体" w:cs="宋体"/>
          <w:color w:val="auto"/>
          <w:kern w:val="0"/>
          <w:szCs w:val="21"/>
          <w:highlight w:val="none"/>
        </w:rPr>
      </w:pPr>
    </w:p>
    <w:p>
      <w:pPr>
        <w:pStyle w:val="30"/>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ascii="宋体" w:hAnsi="宋体" w:cs="宋体"/>
        <w:color w:val="auto"/>
        <w:szCs w:val="21"/>
        <w:highlight w:val="none"/>
        <w:u w:val="none"/>
        <w:shd w:val="clear" w:color="auto" w:fill="FFFFFF"/>
        <w:lang w:val="en-US" w:eastAsia="zh-CN"/>
      </w:rPr>
      <w:t>驻马店市中心医院聘请法律顾问项目采购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hint="eastAsia"/>
      </w:rPr>
    </w:pPr>
    <w:r>
      <w:rPr>
        <w:rFonts w:hint="eastAsia" w:ascii="宋体" w:hAnsi="宋体" w:cs="宋体"/>
        <w:color w:val="auto"/>
        <w:szCs w:val="21"/>
        <w:highlight w:val="none"/>
        <w:u w:val="none"/>
        <w:shd w:val="clear" w:color="auto" w:fill="FFFFFF"/>
        <w:lang w:val="en-US" w:eastAsia="zh-CN"/>
      </w:rPr>
      <w:t>驻马店市中心医院聘请法律顾问项目采购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525212"/>
    <w:rsid w:val="01564054"/>
    <w:rsid w:val="015C0A67"/>
    <w:rsid w:val="017E6D95"/>
    <w:rsid w:val="01D715BE"/>
    <w:rsid w:val="01EB45BC"/>
    <w:rsid w:val="01F86CD9"/>
    <w:rsid w:val="01FA63A5"/>
    <w:rsid w:val="02011C7D"/>
    <w:rsid w:val="02035523"/>
    <w:rsid w:val="021C6E40"/>
    <w:rsid w:val="02222FF2"/>
    <w:rsid w:val="02384FF4"/>
    <w:rsid w:val="023F67A9"/>
    <w:rsid w:val="0247575A"/>
    <w:rsid w:val="025235B1"/>
    <w:rsid w:val="0262674D"/>
    <w:rsid w:val="02747B01"/>
    <w:rsid w:val="02890D36"/>
    <w:rsid w:val="02D92EF7"/>
    <w:rsid w:val="02DA4665"/>
    <w:rsid w:val="02DF39F5"/>
    <w:rsid w:val="02F40325"/>
    <w:rsid w:val="031126C4"/>
    <w:rsid w:val="03123DCA"/>
    <w:rsid w:val="03475E56"/>
    <w:rsid w:val="035E4919"/>
    <w:rsid w:val="036A009A"/>
    <w:rsid w:val="03844805"/>
    <w:rsid w:val="03845791"/>
    <w:rsid w:val="03A011E9"/>
    <w:rsid w:val="03AE7F27"/>
    <w:rsid w:val="03BD2BCD"/>
    <w:rsid w:val="03CC058D"/>
    <w:rsid w:val="03E017D2"/>
    <w:rsid w:val="03F77068"/>
    <w:rsid w:val="04416C20"/>
    <w:rsid w:val="047968B1"/>
    <w:rsid w:val="04870542"/>
    <w:rsid w:val="04B30F7A"/>
    <w:rsid w:val="054C0111"/>
    <w:rsid w:val="05545DD3"/>
    <w:rsid w:val="056E2AD6"/>
    <w:rsid w:val="05806815"/>
    <w:rsid w:val="058251D3"/>
    <w:rsid w:val="058C28F1"/>
    <w:rsid w:val="05945CCE"/>
    <w:rsid w:val="059D05A4"/>
    <w:rsid w:val="059D5E17"/>
    <w:rsid w:val="05AB0A28"/>
    <w:rsid w:val="05AB0F81"/>
    <w:rsid w:val="05B93D6B"/>
    <w:rsid w:val="05D53002"/>
    <w:rsid w:val="05D75738"/>
    <w:rsid w:val="05F17CC7"/>
    <w:rsid w:val="061E7D14"/>
    <w:rsid w:val="06446B44"/>
    <w:rsid w:val="06560AED"/>
    <w:rsid w:val="066469C9"/>
    <w:rsid w:val="066646A1"/>
    <w:rsid w:val="06983B20"/>
    <w:rsid w:val="069A3B66"/>
    <w:rsid w:val="06B31420"/>
    <w:rsid w:val="06B91765"/>
    <w:rsid w:val="06CA2AD2"/>
    <w:rsid w:val="06CE3071"/>
    <w:rsid w:val="06CF34A1"/>
    <w:rsid w:val="06D33DBA"/>
    <w:rsid w:val="06E13F9F"/>
    <w:rsid w:val="06FB0AC5"/>
    <w:rsid w:val="070D2D5D"/>
    <w:rsid w:val="07111B8D"/>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95E80"/>
    <w:rsid w:val="087C4541"/>
    <w:rsid w:val="087E5595"/>
    <w:rsid w:val="08C52D6F"/>
    <w:rsid w:val="08EF0201"/>
    <w:rsid w:val="08F41DE8"/>
    <w:rsid w:val="09737462"/>
    <w:rsid w:val="099156C3"/>
    <w:rsid w:val="09A53F39"/>
    <w:rsid w:val="09A60E13"/>
    <w:rsid w:val="09AB2883"/>
    <w:rsid w:val="09D206F0"/>
    <w:rsid w:val="0A321AC2"/>
    <w:rsid w:val="0A343D4E"/>
    <w:rsid w:val="0A3E6D2E"/>
    <w:rsid w:val="0A8455AD"/>
    <w:rsid w:val="0AD13A85"/>
    <w:rsid w:val="0AE0655C"/>
    <w:rsid w:val="0AF02C43"/>
    <w:rsid w:val="0B091954"/>
    <w:rsid w:val="0B637D77"/>
    <w:rsid w:val="0B7006C4"/>
    <w:rsid w:val="0BAC324F"/>
    <w:rsid w:val="0BC11EE9"/>
    <w:rsid w:val="0BF16C73"/>
    <w:rsid w:val="0BF72F1E"/>
    <w:rsid w:val="0C3152C1"/>
    <w:rsid w:val="0C3957A5"/>
    <w:rsid w:val="0C626DA7"/>
    <w:rsid w:val="0C6876AE"/>
    <w:rsid w:val="0C71390F"/>
    <w:rsid w:val="0C720EC8"/>
    <w:rsid w:val="0C942042"/>
    <w:rsid w:val="0C9D50DC"/>
    <w:rsid w:val="0CA5271D"/>
    <w:rsid w:val="0CAC4D10"/>
    <w:rsid w:val="0CC72121"/>
    <w:rsid w:val="0CEE5A21"/>
    <w:rsid w:val="0D05268E"/>
    <w:rsid w:val="0D0646E7"/>
    <w:rsid w:val="0D0C38CA"/>
    <w:rsid w:val="0D1D3A97"/>
    <w:rsid w:val="0D206810"/>
    <w:rsid w:val="0D735465"/>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821E7D"/>
    <w:rsid w:val="0FCA42ED"/>
    <w:rsid w:val="0FE7592C"/>
    <w:rsid w:val="0FFD20F0"/>
    <w:rsid w:val="103E6E57"/>
    <w:rsid w:val="1041497B"/>
    <w:rsid w:val="10425FF6"/>
    <w:rsid w:val="106612B1"/>
    <w:rsid w:val="109010E6"/>
    <w:rsid w:val="10B271F4"/>
    <w:rsid w:val="10B537CC"/>
    <w:rsid w:val="10C8275C"/>
    <w:rsid w:val="10C86D3B"/>
    <w:rsid w:val="10E03539"/>
    <w:rsid w:val="10E82D1F"/>
    <w:rsid w:val="10EE5C94"/>
    <w:rsid w:val="10F5757C"/>
    <w:rsid w:val="113329E7"/>
    <w:rsid w:val="113F294C"/>
    <w:rsid w:val="11437C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7AFA"/>
    <w:rsid w:val="12D67466"/>
    <w:rsid w:val="13036052"/>
    <w:rsid w:val="13272A5D"/>
    <w:rsid w:val="13493108"/>
    <w:rsid w:val="13693592"/>
    <w:rsid w:val="13733928"/>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E002E6"/>
    <w:rsid w:val="14FC36BD"/>
    <w:rsid w:val="14FF5EA7"/>
    <w:rsid w:val="151E3A0F"/>
    <w:rsid w:val="15477903"/>
    <w:rsid w:val="1557566D"/>
    <w:rsid w:val="15811F1B"/>
    <w:rsid w:val="15A30135"/>
    <w:rsid w:val="15A34015"/>
    <w:rsid w:val="15BB487B"/>
    <w:rsid w:val="15CE086D"/>
    <w:rsid w:val="15E2236F"/>
    <w:rsid w:val="161D09ED"/>
    <w:rsid w:val="162323A3"/>
    <w:rsid w:val="162F30B1"/>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C227C0"/>
    <w:rsid w:val="17EE5BFF"/>
    <w:rsid w:val="18097740"/>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BE6445"/>
    <w:rsid w:val="1BDA6D68"/>
    <w:rsid w:val="1BF14125"/>
    <w:rsid w:val="1C555978"/>
    <w:rsid w:val="1C556DAA"/>
    <w:rsid w:val="1C6554A1"/>
    <w:rsid w:val="1C7971B7"/>
    <w:rsid w:val="1C917D91"/>
    <w:rsid w:val="1CA27B15"/>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656063"/>
    <w:rsid w:val="1E6B06A5"/>
    <w:rsid w:val="1E7F7D9E"/>
    <w:rsid w:val="1E840DA4"/>
    <w:rsid w:val="1EA5444C"/>
    <w:rsid w:val="1EB350EF"/>
    <w:rsid w:val="1EC21749"/>
    <w:rsid w:val="1EEB7C4E"/>
    <w:rsid w:val="1F072441"/>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10F579E"/>
    <w:rsid w:val="212550B5"/>
    <w:rsid w:val="214178FD"/>
    <w:rsid w:val="21592B62"/>
    <w:rsid w:val="2172049B"/>
    <w:rsid w:val="21747CD2"/>
    <w:rsid w:val="219263AA"/>
    <w:rsid w:val="219E5782"/>
    <w:rsid w:val="21E72B0B"/>
    <w:rsid w:val="221F2D96"/>
    <w:rsid w:val="22246DB1"/>
    <w:rsid w:val="22440067"/>
    <w:rsid w:val="225A6017"/>
    <w:rsid w:val="227A5532"/>
    <w:rsid w:val="22843A03"/>
    <w:rsid w:val="228E5C2C"/>
    <w:rsid w:val="22A338AB"/>
    <w:rsid w:val="22AD37A2"/>
    <w:rsid w:val="22B31E8A"/>
    <w:rsid w:val="22C05285"/>
    <w:rsid w:val="22C735BD"/>
    <w:rsid w:val="22E646AA"/>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474F1"/>
    <w:rsid w:val="25056E93"/>
    <w:rsid w:val="25092EBA"/>
    <w:rsid w:val="2524102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77FBF"/>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7E30D2"/>
    <w:rsid w:val="27803F2A"/>
    <w:rsid w:val="27A34941"/>
    <w:rsid w:val="27EE3A7B"/>
    <w:rsid w:val="283C23DF"/>
    <w:rsid w:val="283D69F1"/>
    <w:rsid w:val="284C16F5"/>
    <w:rsid w:val="28570AB5"/>
    <w:rsid w:val="28622C36"/>
    <w:rsid w:val="28C2534B"/>
    <w:rsid w:val="28C5525A"/>
    <w:rsid w:val="28D14B96"/>
    <w:rsid w:val="28FE4325"/>
    <w:rsid w:val="29020C46"/>
    <w:rsid w:val="290240C7"/>
    <w:rsid w:val="291A2B97"/>
    <w:rsid w:val="29274EE0"/>
    <w:rsid w:val="2969197F"/>
    <w:rsid w:val="29746E87"/>
    <w:rsid w:val="297C03C2"/>
    <w:rsid w:val="299573AB"/>
    <w:rsid w:val="29BE5BD0"/>
    <w:rsid w:val="29C01572"/>
    <w:rsid w:val="29CA4207"/>
    <w:rsid w:val="29E74CE2"/>
    <w:rsid w:val="2A241B69"/>
    <w:rsid w:val="2A306A36"/>
    <w:rsid w:val="2A5372C6"/>
    <w:rsid w:val="2A5B03D8"/>
    <w:rsid w:val="2A6F6D07"/>
    <w:rsid w:val="2A882500"/>
    <w:rsid w:val="2AB63ABC"/>
    <w:rsid w:val="2B003D00"/>
    <w:rsid w:val="2B074D5E"/>
    <w:rsid w:val="2B100BA9"/>
    <w:rsid w:val="2B1B5825"/>
    <w:rsid w:val="2B1E3AFC"/>
    <w:rsid w:val="2B8D373E"/>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9331F9"/>
    <w:rsid w:val="2DD90B7B"/>
    <w:rsid w:val="2DDD3FC1"/>
    <w:rsid w:val="2DF701D8"/>
    <w:rsid w:val="2DF970A1"/>
    <w:rsid w:val="2E085834"/>
    <w:rsid w:val="2E1034F8"/>
    <w:rsid w:val="2E443652"/>
    <w:rsid w:val="2E505773"/>
    <w:rsid w:val="2E5C3FC8"/>
    <w:rsid w:val="2E742F70"/>
    <w:rsid w:val="2E9A689E"/>
    <w:rsid w:val="2EDC2A13"/>
    <w:rsid w:val="2EFD7DB9"/>
    <w:rsid w:val="2F01691D"/>
    <w:rsid w:val="2F1A081D"/>
    <w:rsid w:val="2F1E3DC0"/>
    <w:rsid w:val="2F2D326E"/>
    <w:rsid w:val="2F3112DE"/>
    <w:rsid w:val="2F3B6922"/>
    <w:rsid w:val="2F3D7B25"/>
    <w:rsid w:val="2F506C6D"/>
    <w:rsid w:val="2F51291F"/>
    <w:rsid w:val="2F55758A"/>
    <w:rsid w:val="2F7F15AE"/>
    <w:rsid w:val="2FA54796"/>
    <w:rsid w:val="2FA674E2"/>
    <w:rsid w:val="2FFE7D49"/>
    <w:rsid w:val="3002294D"/>
    <w:rsid w:val="3011153D"/>
    <w:rsid w:val="30142680"/>
    <w:rsid w:val="302A11B1"/>
    <w:rsid w:val="302A5C42"/>
    <w:rsid w:val="30B8125D"/>
    <w:rsid w:val="30BF439A"/>
    <w:rsid w:val="30CF6A37"/>
    <w:rsid w:val="30D250CF"/>
    <w:rsid w:val="31002970"/>
    <w:rsid w:val="311016AD"/>
    <w:rsid w:val="3136622A"/>
    <w:rsid w:val="3139422E"/>
    <w:rsid w:val="31496359"/>
    <w:rsid w:val="314D19A6"/>
    <w:rsid w:val="316467C4"/>
    <w:rsid w:val="31700E4B"/>
    <w:rsid w:val="3172683C"/>
    <w:rsid w:val="31A359FC"/>
    <w:rsid w:val="31AD0D61"/>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25A82"/>
    <w:rsid w:val="35361A77"/>
    <w:rsid w:val="35461A22"/>
    <w:rsid w:val="35483CC9"/>
    <w:rsid w:val="35A815CB"/>
    <w:rsid w:val="35AA1B9C"/>
    <w:rsid w:val="35DB09A6"/>
    <w:rsid w:val="35ED19A9"/>
    <w:rsid w:val="36080591"/>
    <w:rsid w:val="3609472F"/>
    <w:rsid w:val="361B6AE2"/>
    <w:rsid w:val="36541A28"/>
    <w:rsid w:val="369B4CF0"/>
    <w:rsid w:val="36D62629"/>
    <w:rsid w:val="36D76172"/>
    <w:rsid w:val="36E833BB"/>
    <w:rsid w:val="36EB1E1B"/>
    <w:rsid w:val="36F17F0D"/>
    <w:rsid w:val="36F56D67"/>
    <w:rsid w:val="3735197D"/>
    <w:rsid w:val="373756A2"/>
    <w:rsid w:val="375E0DA6"/>
    <w:rsid w:val="378B61A6"/>
    <w:rsid w:val="37B90F0B"/>
    <w:rsid w:val="37CD3F98"/>
    <w:rsid w:val="37DF75BA"/>
    <w:rsid w:val="37E148E2"/>
    <w:rsid w:val="37F848EE"/>
    <w:rsid w:val="38304889"/>
    <w:rsid w:val="38382675"/>
    <w:rsid w:val="383B7B0D"/>
    <w:rsid w:val="3851700B"/>
    <w:rsid w:val="385246B6"/>
    <w:rsid w:val="38673C95"/>
    <w:rsid w:val="3876113B"/>
    <w:rsid w:val="387E52C9"/>
    <w:rsid w:val="38A53DB7"/>
    <w:rsid w:val="38BF3388"/>
    <w:rsid w:val="38CC268D"/>
    <w:rsid w:val="38DF1FDA"/>
    <w:rsid w:val="38E25BC3"/>
    <w:rsid w:val="38EC2960"/>
    <w:rsid w:val="392536E2"/>
    <w:rsid w:val="39465F15"/>
    <w:rsid w:val="396453C5"/>
    <w:rsid w:val="39922CCF"/>
    <w:rsid w:val="39A65327"/>
    <w:rsid w:val="39A65C9B"/>
    <w:rsid w:val="39BC5ED6"/>
    <w:rsid w:val="39D27231"/>
    <w:rsid w:val="39EB39E0"/>
    <w:rsid w:val="39EF02D4"/>
    <w:rsid w:val="3A11342A"/>
    <w:rsid w:val="3A153110"/>
    <w:rsid w:val="3A2149EA"/>
    <w:rsid w:val="3A2507C0"/>
    <w:rsid w:val="3A393FA7"/>
    <w:rsid w:val="3A3A5A22"/>
    <w:rsid w:val="3A524858"/>
    <w:rsid w:val="3A64203E"/>
    <w:rsid w:val="3A663D00"/>
    <w:rsid w:val="3A7428D0"/>
    <w:rsid w:val="3A7601BF"/>
    <w:rsid w:val="3A923AE4"/>
    <w:rsid w:val="3AA50E25"/>
    <w:rsid w:val="3AC566E3"/>
    <w:rsid w:val="3AD6747A"/>
    <w:rsid w:val="3B312338"/>
    <w:rsid w:val="3B3D0FF2"/>
    <w:rsid w:val="3B521A18"/>
    <w:rsid w:val="3B8D2B96"/>
    <w:rsid w:val="3B923660"/>
    <w:rsid w:val="3BCA44BE"/>
    <w:rsid w:val="3C061F3A"/>
    <w:rsid w:val="3C0A04F9"/>
    <w:rsid w:val="3C495480"/>
    <w:rsid w:val="3C4C3A42"/>
    <w:rsid w:val="3C6F0167"/>
    <w:rsid w:val="3C71667B"/>
    <w:rsid w:val="3C914F3B"/>
    <w:rsid w:val="3CC17F13"/>
    <w:rsid w:val="3CE320A3"/>
    <w:rsid w:val="3CE9196C"/>
    <w:rsid w:val="3CF15105"/>
    <w:rsid w:val="3D0C04B9"/>
    <w:rsid w:val="3D1414C5"/>
    <w:rsid w:val="3D1C763E"/>
    <w:rsid w:val="3D201AA5"/>
    <w:rsid w:val="3D2B37EA"/>
    <w:rsid w:val="3D2F7FF3"/>
    <w:rsid w:val="3D3D1507"/>
    <w:rsid w:val="3D62085B"/>
    <w:rsid w:val="3D7B4622"/>
    <w:rsid w:val="3D942E29"/>
    <w:rsid w:val="3DA53531"/>
    <w:rsid w:val="3DB54E0C"/>
    <w:rsid w:val="3DB900C1"/>
    <w:rsid w:val="3DB9469E"/>
    <w:rsid w:val="3DE91725"/>
    <w:rsid w:val="3DF159B1"/>
    <w:rsid w:val="3E1A106E"/>
    <w:rsid w:val="3E36303B"/>
    <w:rsid w:val="3E526044"/>
    <w:rsid w:val="3E6C2B3A"/>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12098A"/>
    <w:rsid w:val="402833BA"/>
    <w:rsid w:val="40283C2B"/>
    <w:rsid w:val="40394FD1"/>
    <w:rsid w:val="40425879"/>
    <w:rsid w:val="405C1C05"/>
    <w:rsid w:val="405F34A4"/>
    <w:rsid w:val="40765D15"/>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C799E"/>
    <w:rsid w:val="42800B9B"/>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D7F58"/>
    <w:rsid w:val="43D43ECA"/>
    <w:rsid w:val="43DD452F"/>
    <w:rsid w:val="43DE6CD4"/>
    <w:rsid w:val="43E51150"/>
    <w:rsid w:val="43EF28BB"/>
    <w:rsid w:val="43EF56D3"/>
    <w:rsid w:val="44095C00"/>
    <w:rsid w:val="440A6FD2"/>
    <w:rsid w:val="444946CA"/>
    <w:rsid w:val="444B3F54"/>
    <w:rsid w:val="4476661F"/>
    <w:rsid w:val="447E3AC5"/>
    <w:rsid w:val="448E5DEE"/>
    <w:rsid w:val="44A90BAA"/>
    <w:rsid w:val="44B24A20"/>
    <w:rsid w:val="44BC0BEE"/>
    <w:rsid w:val="44BF6C07"/>
    <w:rsid w:val="44C55A88"/>
    <w:rsid w:val="44FB1C9C"/>
    <w:rsid w:val="454F1836"/>
    <w:rsid w:val="458235FF"/>
    <w:rsid w:val="45887B45"/>
    <w:rsid w:val="458B66DF"/>
    <w:rsid w:val="45940F0E"/>
    <w:rsid w:val="45AC5DBA"/>
    <w:rsid w:val="45C647AF"/>
    <w:rsid w:val="45DD529D"/>
    <w:rsid w:val="45E57886"/>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212E4"/>
    <w:rsid w:val="480556DB"/>
    <w:rsid w:val="48185C56"/>
    <w:rsid w:val="48450F81"/>
    <w:rsid w:val="484E729D"/>
    <w:rsid w:val="48566773"/>
    <w:rsid w:val="485A23C2"/>
    <w:rsid w:val="488C5052"/>
    <w:rsid w:val="48A16B62"/>
    <w:rsid w:val="48BC6222"/>
    <w:rsid w:val="48C245E9"/>
    <w:rsid w:val="48DB312A"/>
    <w:rsid w:val="48DF49D9"/>
    <w:rsid w:val="492108CC"/>
    <w:rsid w:val="49413F52"/>
    <w:rsid w:val="494F6304"/>
    <w:rsid w:val="4A05334F"/>
    <w:rsid w:val="4A244932"/>
    <w:rsid w:val="4A2922C8"/>
    <w:rsid w:val="4A4117B2"/>
    <w:rsid w:val="4A7A4350"/>
    <w:rsid w:val="4A7E2497"/>
    <w:rsid w:val="4A896826"/>
    <w:rsid w:val="4ABF5E17"/>
    <w:rsid w:val="4AE01A66"/>
    <w:rsid w:val="4AE104D6"/>
    <w:rsid w:val="4AED707B"/>
    <w:rsid w:val="4B015D61"/>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9476E9"/>
    <w:rsid w:val="4CC84335"/>
    <w:rsid w:val="4CE9350A"/>
    <w:rsid w:val="4D297BF3"/>
    <w:rsid w:val="4D2D0EAF"/>
    <w:rsid w:val="4D783DF7"/>
    <w:rsid w:val="4D7F0082"/>
    <w:rsid w:val="4D952FD9"/>
    <w:rsid w:val="4D970662"/>
    <w:rsid w:val="4DB33393"/>
    <w:rsid w:val="4DBC3CE3"/>
    <w:rsid w:val="4DCF1E0D"/>
    <w:rsid w:val="4DD632D9"/>
    <w:rsid w:val="4DE05D9E"/>
    <w:rsid w:val="4DE05DF9"/>
    <w:rsid w:val="4DE44800"/>
    <w:rsid w:val="4DEE0709"/>
    <w:rsid w:val="4DFC14EA"/>
    <w:rsid w:val="4DFF6815"/>
    <w:rsid w:val="4E0A3427"/>
    <w:rsid w:val="4E304B5D"/>
    <w:rsid w:val="4E611B8B"/>
    <w:rsid w:val="4E682F8C"/>
    <w:rsid w:val="4E6A7BB7"/>
    <w:rsid w:val="4EE07EA5"/>
    <w:rsid w:val="4F0773B4"/>
    <w:rsid w:val="4F307BB1"/>
    <w:rsid w:val="4F3D562D"/>
    <w:rsid w:val="4F5C4EE0"/>
    <w:rsid w:val="4F6E1972"/>
    <w:rsid w:val="4F943166"/>
    <w:rsid w:val="4FBA02A1"/>
    <w:rsid w:val="4FE7106E"/>
    <w:rsid w:val="50053943"/>
    <w:rsid w:val="50374A3C"/>
    <w:rsid w:val="50550E55"/>
    <w:rsid w:val="50901457"/>
    <w:rsid w:val="509F43E4"/>
    <w:rsid w:val="50A54D3E"/>
    <w:rsid w:val="50F1402B"/>
    <w:rsid w:val="50FD2AD9"/>
    <w:rsid w:val="51097D9A"/>
    <w:rsid w:val="51237D2E"/>
    <w:rsid w:val="515B06D0"/>
    <w:rsid w:val="517F5754"/>
    <w:rsid w:val="51996737"/>
    <w:rsid w:val="51B408B8"/>
    <w:rsid w:val="51CC0868"/>
    <w:rsid w:val="51D5340F"/>
    <w:rsid w:val="52382F2A"/>
    <w:rsid w:val="52386E3D"/>
    <w:rsid w:val="523A7DD1"/>
    <w:rsid w:val="523B7711"/>
    <w:rsid w:val="5271774C"/>
    <w:rsid w:val="52DE008D"/>
    <w:rsid w:val="52EE341E"/>
    <w:rsid w:val="52F37FE6"/>
    <w:rsid w:val="52FC1CAF"/>
    <w:rsid w:val="531A330F"/>
    <w:rsid w:val="532B6CAF"/>
    <w:rsid w:val="53350D91"/>
    <w:rsid w:val="53412644"/>
    <w:rsid w:val="53433903"/>
    <w:rsid w:val="53517A72"/>
    <w:rsid w:val="5361549D"/>
    <w:rsid w:val="536220DA"/>
    <w:rsid w:val="53650637"/>
    <w:rsid w:val="53757C6B"/>
    <w:rsid w:val="537B63EF"/>
    <w:rsid w:val="537E1075"/>
    <w:rsid w:val="53837051"/>
    <w:rsid w:val="53A44D07"/>
    <w:rsid w:val="53A46AC8"/>
    <w:rsid w:val="53AB7F1F"/>
    <w:rsid w:val="53AC6F7B"/>
    <w:rsid w:val="53EB297B"/>
    <w:rsid w:val="53EC4BF7"/>
    <w:rsid w:val="53F758A1"/>
    <w:rsid w:val="540D5A7F"/>
    <w:rsid w:val="542E2BC2"/>
    <w:rsid w:val="54352A96"/>
    <w:rsid w:val="54447390"/>
    <w:rsid w:val="545E1D01"/>
    <w:rsid w:val="54935B8F"/>
    <w:rsid w:val="54CC6227"/>
    <w:rsid w:val="54D10F9B"/>
    <w:rsid w:val="54D264E2"/>
    <w:rsid w:val="54D97871"/>
    <w:rsid w:val="551D586C"/>
    <w:rsid w:val="55200298"/>
    <w:rsid w:val="55335E1B"/>
    <w:rsid w:val="554B7EF0"/>
    <w:rsid w:val="556F3D99"/>
    <w:rsid w:val="55720837"/>
    <w:rsid w:val="55860894"/>
    <w:rsid w:val="558F6181"/>
    <w:rsid w:val="55B02DF1"/>
    <w:rsid w:val="55DC290C"/>
    <w:rsid w:val="55EA5D64"/>
    <w:rsid w:val="55F01FA1"/>
    <w:rsid w:val="56130B60"/>
    <w:rsid w:val="56990B7C"/>
    <w:rsid w:val="569E1126"/>
    <w:rsid w:val="56B80DEB"/>
    <w:rsid w:val="56E0560F"/>
    <w:rsid w:val="56E06E61"/>
    <w:rsid w:val="56F653FE"/>
    <w:rsid w:val="574448FC"/>
    <w:rsid w:val="575B7AFD"/>
    <w:rsid w:val="57660D3F"/>
    <w:rsid w:val="57D1153D"/>
    <w:rsid w:val="57FA3774"/>
    <w:rsid w:val="58084A3C"/>
    <w:rsid w:val="580B5F93"/>
    <w:rsid w:val="582772A7"/>
    <w:rsid w:val="58531B77"/>
    <w:rsid w:val="585D2975"/>
    <w:rsid w:val="585F64F9"/>
    <w:rsid w:val="587E3341"/>
    <w:rsid w:val="58CF56D8"/>
    <w:rsid w:val="58D31010"/>
    <w:rsid w:val="58D6741E"/>
    <w:rsid w:val="58DB0535"/>
    <w:rsid w:val="58E62E0E"/>
    <w:rsid w:val="58EA3D0E"/>
    <w:rsid w:val="58F71269"/>
    <w:rsid w:val="58FE045E"/>
    <w:rsid w:val="5943350B"/>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441A40"/>
    <w:rsid w:val="5B585171"/>
    <w:rsid w:val="5B585B78"/>
    <w:rsid w:val="5B6D62B9"/>
    <w:rsid w:val="5B9A2B59"/>
    <w:rsid w:val="5BC0085A"/>
    <w:rsid w:val="5BF03D58"/>
    <w:rsid w:val="5BF20AFB"/>
    <w:rsid w:val="5C1A6BB2"/>
    <w:rsid w:val="5C37233A"/>
    <w:rsid w:val="5C5355FE"/>
    <w:rsid w:val="5C6F4105"/>
    <w:rsid w:val="5CBB7F6F"/>
    <w:rsid w:val="5CC248CE"/>
    <w:rsid w:val="5CC4145A"/>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021B3"/>
    <w:rsid w:val="613253FD"/>
    <w:rsid w:val="61421F29"/>
    <w:rsid w:val="61712185"/>
    <w:rsid w:val="618B7207"/>
    <w:rsid w:val="61A90D68"/>
    <w:rsid w:val="61BE5E24"/>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251DD"/>
    <w:rsid w:val="650242F0"/>
    <w:rsid w:val="65365B2B"/>
    <w:rsid w:val="653F447E"/>
    <w:rsid w:val="65542778"/>
    <w:rsid w:val="655829AF"/>
    <w:rsid w:val="656B70C3"/>
    <w:rsid w:val="658F4798"/>
    <w:rsid w:val="659B1EBA"/>
    <w:rsid w:val="65B461E9"/>
    <w:rsid w:val="65BE39A8"/>
    <w:rsid w:val="65FB3FBE"/>
    <w:rsid w:val="66247D11"/>
    <w:rsid w:val="66736112"/>
    <w:rsid w:val="667F5B5B"/>
    <w:rsid w:val="6694262A"/>
    <w:rsid w:val="66990381"/>
    <w:rsid w:val="66B31B01"/>
    <w:rsid w:val="66CB4B3F"/>
    <w:rsid w:val="66CE1E80"/>
    <w:rsid w:val="66E362F9"/>
    <w:rsid w:val="66E47FD9"/>
    <w:rsid w:val="66F127F8"/>
    <w:rsid w:val="67071922"/>
    <w:rsid w:val="673B73C0"/>
    <w:rsid w:val="674743C8"/>
    <w:rsid w:val="675608B6"/>
    <w:rsid w:val="67754402"/>
    <w:rsid w:val="677D54ED"/>
    <w:rsid w:val="67B25E27"/>
    <w:rsid w:val="67B4646D"/>
    <w:rsid w:val="67C4383B"/>
    <w:rsid w:val="67D35E1A"/>
    <w:rsid w:val="67F35317"/>
    <w:rsid w:val="680201B7"/>
    <w:rsid w:val="68362BFB"/>
    <w:rsid w:val="683F1130"/>
    <w:rsid w:val="684456A1"/>
    <w:rsid w:val="685E1363"/>
    <w:rsid w:val="687731D1"/>
    <w:rsid w:val="6878475E"/>
    <w:rsid w:val="688E1089"/>
    <w:rsid w:val="68A026F3"/>
    <w:rsid w:val="68AF6C13"/>
    <w:rsid w:val="68BF20F5"/>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C56475"/>
    <w:rsid w:val="6ADA6AC4"/>
    <w:rsid w:val="6ADB11D6"/>
    <w:rsid w:val="6B1A2C3C"/>
    <w:rsid w:val="6B31644D"/>
    <w:rsid w:val="6B486C86"/>
    <w:rsid w:val="6B554C72"/>
    <w:rsid w:val="6B847AD7"/>
    <w:rsid w:val="6B8F2BBC"/>
    <w:rsid w:val="6B9A2DF9"/>
    <w:rsid w:val="6BAC4619"/>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220B1"/>
    <w:rsid w:val="6E7764EF"/>
    <w:rsid w:val="6EAD447C"/>
    <w:rsid w:val="6EAE5472"/>
    <w:rsid w:val="6EB32ADA"/>
    <w:rsid w:val="6ECD7F59"/>
    <w:rsid w:val="6EED7C80"/>
    <w:rsid w:val="6EF773A4"/>
    <w:rsid w:val="6F2F2D9E"/>
    <w:rsid w:val="6F4147D9"/>
    <w:rsid w:val="6F5B0D5A"/>
    <w:rsid w:val="6F5C35EA"/>
    <w:rsid w:val="6F6B6A15"/>
    <w:rsid w:val="6F947E4B"/>
    <w:rsid w:val="6FA30BDA"/>
    <w:rsid w:val="6FB21D4C"/>
    <w:rsid w:val="6FB80698"/>
    <w:rsid w:val="701021F4"/>
    <w:rsid w:val="7024611F"/>
    <w:rsid w:val="70637B96"/>
    <w:rsid w:val="70797317"/>
    <w:rsid w:val="7099044B"/>
    <w:rsid w:val="709D518F"/>
    <w:rsid w:val="70C759D3"/>
    <w:rsid w:val="70CF2B23"/>
    <w:rsid w:val="70D70CB1"/>
    <w:rsid w:val="710952C1"/>
    <w:rsid w:val="711449B4"/>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253EFA"/>
    <w:rsid w:val="734C1A6A"/>
    <w:rsid w:val="735C5949"/>
    <w:rsid w:val="73737DA5"/>
    <w:rsid w:val="73740A39"/>
    <w:rsid w:val="73887B3E"/>
    <w:rsid w:val="73892412"/>
    <w:rsid w:val="73AF2114"/>
    <w:rsid w:val="73E96BCA"/>
    <w:rsid w:val="73EE4A6E"/>
    <w:rsid w:val="741048BC"/>
    <w:rsid w:val="742E78D4"/>
    <w:rsid w:val="74317498"/>
    <w:rsid w:val="74335A84"/>
    <w:rsid w:val="74406B6D"/>
    <w:rsid w:val="74676A28"/>
    <w:rsid w:val="747E40B6"/>
    <w:rsid w:val="749B1FF5"/>
    <w:rsid w:val="74AC3224"/>
    <w:rsid w:val="74BB2C83"/>
    <w:rsid w:val="74C33758"/>
    <w:rsid w:val="74DE4E5F"/>
    <w:rsid w:val="74EB54AB"/>
    <w:rsid w:val="74FF6D43"/>
    <w:rsid w:val="750201A2"/>
    <w:rsid w:val="751A76AF"/>
    <w:rsid w:val="75224790"/>
    <w:rsid w:val="75250574"/>
    <w:rsid w:val="7550443E"/>
    <w:rsid w:val="755F0BCC"/>
    <w:rsid w:val="756F17F9"/>
    <w:rsid w:val="75825461"/>
    <w:rsid w:val="759926FC"/>
    <w:rsid w:val="75A24276"/>
    <w:rsid w:val="75AA231D"/>
    <w:rsid w:val="75E8633A"/>
    <w:rsid w:val="763F09AA"/>
    <w:rsid w:val="764F3FCC"/>
    <w:rsid w:val="7650339F"/>
    <w:rsid w:val="76603C9A"/>
    <w:rsid w:val="76BB1CAB"/>
    <w:rsid w:val="76C04050"/>
    <w:rsid w:val="76E65049"/>
    <w:rsid w:val="77076007"/>
    <w:rsid w:val="77413F7E"/>
    <w:rsid w:val="7758241F"/>
    <w:rsid w:val="7762504C"/>
    <w:rsid w:val="777A7D22"/>
    <w:rsid w:val="77835654"/>
    <w:rsid w:val="7797109C"/>
    <w:rsid w:val="779A2A38"/>
    <w:rsid w:val="77B4450A"/>
    <w:rsid w:val="77B46E73"/>
    <w:rsid w:val="77E37A12"/>
    <w:rsid w:val="77FE3468"/>
    <w:rsid w:val="78250553"/>
    <w:rsid w:val="78546F0C"/>
    <w:rsid w:val="78EE1C79"/>
    <w:rsid w:val="78FA66FA"/>
    <w:rsid w:val="79424F6E"/>
    <w:rsid w:val="797239CC"/>
    <w:rsid w:val="79831473"/>
    <w:rsid w:val="7999527A"/>
    <w:rsid w:val="79AF76C5"/>
    <w:rsid w:val="79C25EE1"/>
    <w:rsid w:val="79CE2967"/>
    <w:rsid w:val="79EA664C"/>
    <w:rsid w:val="79F9627A"/>
    <w:rsid w:val="7A2F3BBF"/>
    <w:rsid w:val="7A2F459A"/>
    <w:rsid w:val="7A322A39"/>
    <w:rsid w:val="7A517022"/>
    <w:rsid w:val="7A6F5001"/>
    <w:rsid w:val="7AA2343E"/>
    <w:rsid w:val="7AA5597C"/>
    <w:rsid w:val="7AD60EB8"/>
    <w:rsid w:val="7ADA73A4"/>
    <w:rsid w:val="7AE66B99"/>
    <w:rsid w:val="7B0A3BCA"/>
    <w:rsid w:val="7B345AA9"/>
    <w:rsid w:val="7B4048C1"/>
    <w:rsid w:val="7B73082F"/>
    <w:rsid w:val="7BC62E00"/>
    <w:rsid w:val="7BE35E2A"/>
    <w:rsid w:val="7BF66C24"/>
    <w:rsid w:val="7BFA1CC7"/>
    <w:rsid w:val="7BFB70B3"/>
    <w:rsid w:val="7C0251DA"/>
    <w:rsid w:val="7C1052F2"/>
    <w:rsid w:val="7C2668D9"/>
    <w:rsid w:val="7C32497F"/>
    <w:rsid w:val="7C3C69AE"/>
    <w:rsid w:val="7C691974"/>
    <w:rsid w:val="7C8A6570"/>
    <w:rsid w:val="7C8B7390"/>
    <w:rsid w:val="7C9B0D0E"/>
    <w:rsid w:val="7CA42B03"/>
    <w:rsid w:val="7CB51A62"/>
    <w:rsid w:val="7CD2318A"/>
    <w:rsid w:val="7CD2702A"/>
    <w:rsid w:val="7CD34C42"/>
    <w:rsid w:val="7CDE3FF9"/>
    <w:rsid w:val="7CE26EBF"/>
    <w:rsid w:val="7CEE3130"/>
    <w:rsid w:val="7D1F6674"/>
    <w:rsid w:val="7D480B34"/>
    <w:rsid w:val="7D777A3E"/>
    <w:rsid w:val="7D9005BC"/>
    <w:rsid w:val="7D9F0AD0"/>
    <w:rsid w:val="7DD12BB7"/>
    <w:rsid w:val="7DF223A2"/>
    <w:rsid w:val="7DFF0955"/>
    <w:rsid w:val="7E0B750E"/>
    <w:rsid w:val="7E1939E8"/>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5"/>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3"/>
    <w:qFormat/>
    <w:uiPriority w:val="0"/>
  </w:style>
  <w:style w:type="paragraph" w:styleId="12">
    <w:name w:val="Body Text 2"/>
    <w:basedOn w:val="1"/>
    <w:next w:val="11"/>
    <w:qFormat/>
    <w:uiPriority w:val="0"/>
    <w:pPr>
      <w:spacing w:line="480" w:lineRule="auto"/>
    </w:pPr>
  </w:style>
  <w:style w:type="paragraph" w:styleId="13">
    <w:name w:val="Body Text Indent"/>
    <w:basedOn w:val="1"/>
    <w:next w:val="14"/>
    <w:qFormat/>
    <w:uiPriority w:val="0"/>
    <w:pPr>
      <w:widowControl/>
      <w:spacing w:beforeAutospacing="1" w:afterAutospacing="1"/>
      <w:jc w:val="left"/>
    </w:pPr>
    <w:rPr>
      <w:rFonts w:ascii="宋体" w:hAnsi="宋体" w:cs="宋体"/>
      <w:kern w:val="0"/>
      <w:sz w:val="24"/>
    </w:rPr>
  </w:style>
  <w:style w:type="paragraph" w:styleId="14">
    <w:name w:val="envelope return"/>
    <w:basedOn w:val="1"/>
    <w:unhideWhenUsed/>
    <w:qFormat/>
    <w:uiPriority w:val="99"/>
    <w:pPr>
      <w:snapToGrid w:val="0"/>
    </w:pPr>
    <w:rPr>
      <w:rFonts w:ascii="Arial" w:hAnsi="Arial"/>
    </w:rPr>
  </w:style>
  <w:style w:type="paragraph" w:styleId="15">
    <w:name w:val="List 2"/>
    <w:basedOn w:val="1"/>
    <w:qFormat/>
    <w:uiPriority w:val="0"/>
    <w:pPr>
      <w:ind w:left="100" w:leftChars="200" w:hanging="200" w:hangingChars="200"/>
    </w:pPr>
  </w:style>
  <w:style w:type="paragraph" w:styleId="16">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qFormat/>
    <w:uiPriority w:val="0"/>
    <w:pPr>
      <w:tabs>
        <w:tab w:val="left" w:pos="709"/>
        <w:tab w:val="right" w:leader="dot" w:pos="8789"/>
      </w:tabs>
      <w:spacing w:line="400" w:lineRule="atLeast"/>
    </w:pPr>
    <w:rPr>
      <w:rFonts w:ascii="宋体"/>
      <w:kern w:val="0"/>
      <w:szCs w:val="20"/>
    </w:rPr>
  </w:style>
  <w:style w:type="paragraph" w:styleId="18">
    <w:name w:val="Plain Text"/>
    <w:basedOn w:val="1"/>
    <w:qFormat/>
    <w:uiPriority w:val="0"/>
    <w:pPr>
      <w:widowControl/>
      <w:spacing w:beforeAutospacing="1" w:afterAutospacing="1"/>
      <w:jc w:val="left"/>
    </w:pPr>
    <w:rPr>
      <w:rFonts w:ascii="宋体" w:hAnsi="宋体" w:cs="宋体"/>
      <w:kern w:val="0"/>
      <w:sz w:val="24"/>
    </w:rPr>
  </w:style>
  <w:style w:type="paragraph" w:styleId="19">
    <w:name w:val="Date"/>
    <w:basedOn w:val="1"/>
    <w:next w:val="1"/>
    <w:qFormat/>
    <w:uiPriority w:val="0"/>
    <w:pPr>
      <w:ind w:left="100" w:leftChars="2500"/>
    </w:pPr>
    <w:rPr>
      <w:rFonts w:ascii="宋体" w:hAnsi="宋体"/>
      <w:sz w:val="28"/>
    </w:rPr>
  </w:style>
  <w:style w:type="paragraph" w:styleId="20">
    <w:name w:val="Body Text Indent 2"/>
    <w:basedOn w:val="1"/>
    <w:qFormat/>
    <w:uiPriority w:val="0"/>
    <w:pPr>
      <w:spacing w:line="480" w:lineRule="auto"/>
      <w:ind w:left="420" w:leftChars="200"/>
    </w:p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7">
    <w:name w:val="Normal (Web)"/>
    <w:basedOn w:val="1"/>
    <w:qFormat/>
    <w:uiPriority w:val="99"/>
    <w:pPr>
      <w:spacing w:before="100" w:beforeAutospacing="1" w:after="100" w:afterAutospacing="1"/>
      <w:jc w:val="left"/>
    </w:pPr>
    <w:rPr>
      <w:kern w:val="0"/>
      <w:sz w:val="24"/>
    </w:rPr>
  </w:style>
  <w:style w:type="paragraph" w:styleId="28">
    <w:name w:val="Title"/>
    <w:basedOn w:val="1"/>
    <w:qFormat/>
    <w:uiPriority w:val="0"/>
    <w:pPr>
      <w:jc w:val="center"/>
      <w:outlineLvl w:val="0"/>
    </w:pPr>
    <w:rPr>
      <w:rFonts w:ascii="Arial" w:hAnsi="Arial" w:cs="Arial"/>
      <w:b/>
      <w:bCs/>
      <w:sz w:val="32"/>
      <w:szCs w:val="32"/>
    </w:rPr>
  </w:style>
  <w:style w:type="paragraph" w:styleId="29">
    <w:name w:val="Body Text First Indent"/>
    <w:basedOn w:val="11"/>
    <w:next w:val="30"/>
    <w:qFormat/>
    <w:uiPriority w:val="0"/>
    <w:pPr>
      <w:spacing w:line="360" w:lineRule="auto"/>
      <w:ind w:firstLine="420" w:firstLineChars="100"/>
    </w:pPr>
    <w:rPr>
      <w:szCs w:val="21"/>
    </w:rPr>
  </w:style>
  <w:style w:type="paragraph" w:styleId="30">
    <w:name w:val="Body Text First Indent 2"/>
    <w:basedOn w:val="13"/>
    <w:next w:val="1"/>
    <w:qFormat/>
    <w:uiPriority w:val="0"/>
    <w:pPr>
      <w:ind w:firstLine="420" w:firstLineChars="200"/>
    </w:pPr>
  </w:style>
  <w:style w:type="table" w:styleId="32">
    <w:name w:val="Table Grid"/>
    <w:basedOn w:val="3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0"/>
    <w:rPr>
      <w:b/>
      <w:bCs/>
      <w:szCs w:val="24"/>
    </w:rPr>
  </w:style>
  <w:style w:type="character" w:styleId="35">
    <w:name w:val="page number"/>
    <w:basedOn w:val="33"/>
    <w:qFormat/>
    <w:uiPriority w:val="0"/>
  </w:style>
  <w:style w:type="character" w:styleId="36">
    <w:name w:val="FollowedHyperlink"/>
    <w:qFormat/>
    <w:uiPriority w:val="0"/>
    <w:rPr>
      <w:color w:val="333333"/>
      <w:szCs w:val="24"/>
      <w:u w:val="none"/>
    </w:rPr>
  </w:style>
  <w:style w:type="character" w:styleId="37">
    <w:name w:val="Emphasis"/>
    <w:basedOn w:val="33"/>
    <w:qFormat/>
    <w:uiPriority w:val="0"/>
  </w:style>
  <w:style w:type="character" w:styleId="38">
    <w:name w:val="HTML Definition"/>
    <w:basedOn w:val="33"/>
    <w:qFormat/>
    <w:uiPriority w:val="0"/>
  </w:style>
  <w:style w:type="character" w:styleId="39">
    <w:name w:val="HTML Typewriter"/>
    <w:basedOn w:val="33"/>
    <w:qFormat/>
    <w:uiPriority w:val="0"/>
    <w:rPr>
      <w:rFonts w:hint="default" w:ascii="monospace" w:hAnsi="monospace" w:eastAsia="monospace" w:cs="monospace"/>
      <w:sz w:val="20"/>
    </w:rPr>
  </w:style>
  <w:style w:type="character" w:styleId="40">
    <w:name w:val="HTML Acronym"/>
    <w:basedOn w:val="33"/>
    <w:qFormat/>
    <w:uiPriority w:val="0"/>
  </w:style>
  <w:style w:type="character" w:styleId="41">
    <w:name w:val="HTML Variable"/>
    <w:basedOn w:val="33"/>
    <w:qFormat/>
    <w:uiPriority w:val="0"/>
  </w:style>
  <w:style w:type="character" w:styleId="42">
    <w:name w:val="Hyperlink"/>
    <w:basedOn w:val="33"/>
    <w:qFormat/>
    <w:uiPriority w:val="0"/>
    <w:rPr>
      <w:color w:val="333333"/>
      <w:szCs w:val="24"/>
      <w:u w:val="none"/>
    </w:rPr>
  </w:style>
  <w:style w:type="character" w:styleId="43">
    <w:name w:val="HTML Code"/>
    <w:basedOn w:val="33"/>
    <w:qFormat/>
    <w:uiPriority w:val="0"/>
    <w:rPr>
      <w:rFonts w:ascii="monospace" w:hAnsi="monospace" w:eastAsia="monospace" w:cs="monospace"/>
      <w:sz w:val="20"/>
    </w:rPr>
  </w:style>
  <w:style w:type="character" w:styleId="44">
    <w:name w:val="HTML Cite"/>
    <w:basedOn w:val="33"/>
    <w:qFormat/>
    <w:uiPriority w:val="0"/>
  </w:style>
  <w:style w:type="character" w:styleId="45">
    <w:name w:val="HTML Keyboard"/>
    <w:basedOn w:val="33"/>
    <w:qFormat/>
    <w:uiPriority w:val="0"/>
    <w:rPr>
      <w:rFonts w:hint="default" w:ascii="monospace" w:hAnsi="monospace" w:eastAsia="monospace" w:cs="monospace"/>
      <w:sz w:val="20"/>
    </w:rPr>
  </w:style>
  <w:style w:type="character" w:styleId="46">
    <w:name w:val="HTML Sample"/>
    <w:basedOn w:val="33"/>
    <w:qFormat/>
    <w:uiPriority w:val="0"/>
    <w:rPr>
      <w:rFonts w:hint="default" w:ascii="monospace" w:hAnsi="monospace" w:eastAsia="monospace" w:cs="monospace"/>
    </w:rPr>
  </w:style>
  <w:style w:type="paragraph" w:customStyle="1" w:styleId="47">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48">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30"/>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3"/>
    <w:link w:val="11"/>
    <w:qFormat/>
    <w:uiPriority w:val="0"/>
  </w:style>
  <w:style w:type="character" w:customStyle="1" w:styleId="74">
    <w:name w:val="apple-converted-space"/>
    <w:basedOn w:val="33"/>
    <w:qFormat/>
    <w:uiPriority w:val="0"/>
  </w:style>
  <w:style w:type="character" w:customStyle="1" w:styleId="75">
    <w:name w:val="文档结构图 Char"/>
    <w:link w:val="8"/>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11"/>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3"/>
    <w:qFormat/>
    <w:uiPriority w:val="0"/>
  </w:style>
  <w:style w:type="table" w:customStyle="1" w:styleId="8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17219</Words>
  <Characters>18052</Characters>
  <Lines>50</Lines>
  <Paragraphs>68</Paragraphs>
  <TotalTime>7</TotalTime>
  <ScaleCrop>false</ScaleCrop>
  <LinksUpToDate>false</LinksUpToDate>
  <CharactersWithSpaces>19240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2023-08-24T02:38:42Z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674F991D607844DA91ADD0033423FF34_13</vt:lpwstr>
  </property>
</Properties>
</file>