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8"/>
          <w:szCs w:val="48"/>
          <w:highlight w:val="none"/>
          <w:lang w:val="en-US" w:eastAsia="zh-CN"/>
        </w:rPr>
      </w:pPr>
      <w:bookmarkStart w:id="0" w:name="_Toc22953395"/>
      <w:bookmarkEnd w:id="0"/>
      <w:bookmarkStart w:id="1" w:name="_Toc22804073"/>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highlight w:val="none"/>
        </w:rPr>
      </w:pPr>
      <w:r>
        <w:rPr>
          <w:rFonts w:hint="eastAsia" w:cs="宋体"/>
          <w:b/>
          <w:bCs/>
          <w:sz w:val="48"/>
          <w:szCs w:val="48"/>
          <w:highlight w:val="none"/>
          <w:lang w:val="en-US" w:eastAsia="zh-CN"/>
        </w:rPr>
        <w:t>驻马店市中心医院遥测监护系统采购项目（二次）</w:t>
      </w:r>
    </w:p>
    <w:p>
      <w:pPr>
        <w:pStyle w:val="19"/>
        <w:bidi w:val="0"/>
        <w:jc w:val="center"/>
        <w:rPr>
          <w:rStyle w:val="43"/>
          <w:rFonts w:hint="eastAsia" w:ascii="宋体" w:hAnsi="宋体" w:eastAsia="宋体" w:cs="宋体"/>
          <w:b/>
          <w:bCs/>
          <w:color w:val="auto"/>
          <w:sz w:val="48"/>
          <w:szCs w:val="48"/>
          <w:highlight w:val="none"/>
        </w:rPr>
      </w:pPr>
    </w:p>
    <w:p>
      <w:pPr>
        <w:pStyle w:val="19"/>
        <w:bidi w:val="0"/>
        <w:jc w:val="center"/>
        <w:rPr>
          <w:rStyle w:val="43"/>
          <w:rFonts w:hint="eastAsia" w:ascii="宋体" w:hAnsi="宋体" w:eastAsia="宋体" w:cs="宋体"/>
          <w:b/>
          <w:bCs/>
          <w:color w:val="auto"/>
          <w:sz w:val="48"/>
          <w:szCs w:val="48"/>
          <w:highlight w:val="none"/>
        </w:rPr>
      </w:pPr>
    </w:p>
    <w:p>
      <w:pPr>
        <w:pStyle w:val="19"/>
        <w:bidi w:val="0"/>
        <w:jc w:val="center"/>
        <w:rPr>
          <w:rStyle w:val="43"/>
          <w:rFonts w:hint="eastAsia" w:ascii="宋体" w:hAnsi="宋体" w:eastAsia="宋体" w:cs="宋体"/>
          <w:b/>
          <w:bCs/>
          <w:color w:val="auto"/>
          <w:szCs w:val="44"/>
          <w:highlight w:val="none"/>
        </w:rPr>
      </w:pPr>
      <w:r>
        <w:rPr>
          <w:rStyle w:val="43"/>
          <w:rFonts w:hint="eastAsia" w:cs="宋体"/>
          <w:b/>
          <w:bCs/>
          <w:color w:val="auto"/>
          <w:sz w:val="72"/>
          <w:szCs w:val="72"/>
          <w:highlight w:val="none"/>
          <w:lang w:val="en-US" w:eastAsia="zh-CN"/>
        </w:rPr>
        <w:t>采购</w:t>
      </w:r>
      <w:r>
        <w:rPr>
          <w:rStyle w:val="43"/>
          <w:rFonts w:hint="eastAsia" w:ascii="宋体" w:hAnsi="宋体" w:eastAsia="宋体" w:cs="宋体"/>
          <w:b/>
          <w:bCs/>
          <w:color w:val="auto"/>
          <w:sz w:val="72"/>
          <w:szCs w:val="72"/>
          <w:highlight w:val="none"/>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highlight w:val="none"/>
          <w:lang w:val="en-US" w:eastAsia="zh-CN"/>
        </w:rPr>
      </w:pPr>
    </w:p>
    <w:p>
      <w:pPr>
        <w:snapToGrid w:val="0"/>
        <w:spacing w:line="380" w:lineRule="exact"/>
        <w:jc w:val="center"/>
        <w:rPr>
          <w:rFonts w:hint="eastAsia" w:ascii="宋体" w:hAnsi="宋体" w:eastAsia="宋体" w:cs="宋体"/>
          <w:b/>
          <w:sz w:val="32"/>
          <w:szCs w:val="32"/>
          <w:highlight w:val="none"/>
        </w:rPr>
      </w:pPr>
    </w:p>
    <w:p>
      <w:pPr>
        <w:pStyle w:val="31"/>
        <w:rPr>
          <w:rFonts w:hint="eastAsia"/>
          <w:highlight w:val="none"/>
        </w:rPr>
      </w:pPr>
    </w:p>
    <w:p>
      <w:pPr>
        <w:pStyle w:val="59"/>
        <w:rPr>
          <w:rFonts w:hint="eastAsia" w:ascii="宋体" w:hAnsi="宋体" w:eastAsia="宋体" w:cs="宋体"/>
          <w:bCs/>
          <w:sz w:val="2"/>
          <w:szCs w:val="2"/>
          <w:highlight w:val="none"/>
        </w:rPr>
      </w:pPr>
    </w:p>
    <w:p>
      <w:pPr>
        <w:rPr>
          <w:rFonts w:hint="eastAsia" w:ascii="宋体" w:hAnsi="宋体" w:eastAsia="宋体" w:cs="宋体"/>
          <w:bCs/>
          <w:sz w:val="2"/>
          <w:szCs w:val="2"/>
          <w:highlight w:val="none"/>
        </w:rPr>
      </w:pPr>
    </w:p>
    <w:p>
      <w:pPr>
        <w:spacing w:line="20" w:lineRule="exact"/>
        <w:rPr>
          <w:rFonts w:hint="eastAsia" w:ascii="宋体" w:hAnsi="宋体" w:eastAsia="宋体" w:cs="宋体"/>
          <w:bCs/>
          <w:sz w:val="2"/>
          <w:szCs w:val="2"/>
          <w:highlight w:val="none"/>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highlight w:val="none"/>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highlight w:val="none"/>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highlight w:val="none"/>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highlight w:val="none"/>
        </w:rPr>
      </w:pPr>
      <w:r>
        <w:rPr>
          <w:rFonts w:hint="eastAsia" w:ascii="宋体" w:hAnsi="宋体" w:eastAsia="宋体" w:cs="宋体"/>
          <w:b/>
          <w:bCs/>
          <w:spacing w:val="-10"/>
          <w:sz w:val="34"/>
          <w:szCs w:val="34"/>
          <w:highlight w:val="none"/>
          <w:lang w:val="en-US" w:eastAsia="zh-CN"/>
        </w:rPr>
        <w:t>采 购</w:t>
      </w:r>
      <w:r>
        <w:rPr>
          <w:rFonts w:hint="eastAsia" w:ascii="宋体" w:hAnsi="宋体" w:eastAsia="宋体" w:cs="宋体"/>
          <w:b/>
          <w:bCs/>
          <w:spacing w:val="-10"/>
          <w:sz w:val="34"/>
          <w:szCs w:val="34"/>
          <w:highlight w:val="none"/>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highlight w:val="none"/>
          <w:lang w:val="en-US" w:eastAsia="zh-CN"/>
        </w:rPr>
        <w:t>202</w:t>
      </w:r>
      <w:r>
        <w:rPr>
          <w:rFonts w:hint="eastAsia" w:ascii="宋体" w:hAnsi="宋体" w:cs="宋体"/>
          <w:b/>
          <w:bCs/>
          <w:spacing w:val="40"/>
          <w:sz w:val="34"/>
          <w:szCs w:val="34"/>
          <w:highlight w:val="none"/>
          <w:lang w:val="en-US" w:eastAsia="zh-CN"/>
        </w:rPr>
        <w:t>3</w:t>
      </w:r>
      <w:r>
        <w:rPr>
          <w:rFonts w:hint="eastAsia" w:ascii="宋体" w:hAnsi="宋体" w:eastAsia="宋体" w:cs="宋体"/>
          <w:b/>
          <w:bCs/>
          <w:spacing w:val="40"/>
          <w:sz w:val="34"/>
          <w:szCs w:val="34"/>
          <w:highlight w:val="none"/>
        </w:rPr>
        <w:t>年</w:t>
      </w:r>
      <w:r>
        <w:rPr>
          <w:rFonts w:hint="eastAsia" w:ascii="宋体" w:hAnsi="宋体" w:cs="宋体"/>
          <w:b/>
          <w:bCs/>
          <w:spacing w:val="40"/>
          <w:sz w:val="34"/>
          <w:szCs w:val="34"/>
          <w:highlight w:val="none"/>
          <w:lang w:val="en-US" w:eastAsia="zh-CN"/>
        </w:rPr>
        <w:t>8</w:t>
      </w:r>
      <w:bookmarkStart w:id="91" w:name="_GoBack"/>
      <w:bookmarkEnd w:id="91"/>
      <w:r>
        <w:rPr>
          <w:rFonts w:hint="eastAsia" w:ascii="宋体" w:hAnsi="宋体" w:eastAsia="宋体" w:cs="宋体"/>
          <w:b/>
          <w:bCs/>
          <w:spacing w:val="40"/>
          <w:sz w:val="34"/>
          <w:szCs w:val="34"/>
          <w:highlight w:val="none"/>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rPr>
          <w:color w:val="auto"/>
          <w:highlight w:val="none"/>
        </w:rPr>
      </w:pPr>
    </w:p>
    <w:p>
      <w:pPr>
        <w:pStyle w:val="25"/>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25</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3"/>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highlight w:val="none"/>
        </w:rPr>
      </w:pPr>
      <w:r>
        <w:rPr>
          <w:rFonts w:hint="eastAsia" w:ascii="黑体" w:hAnsi="黑体" w:eastAsia="黑体" w:cs="宋体"/>
          <w:bCs/>
          <w:color w:val="auto"/>
          <w:kern w:val="0"/>
          <w:sz w:val="28"/>
          <w:szCs w:val="28"/>
          <w:highlight w:val="none"/>
          <w:u w:val="none"/>
          <w:lang w:val="en-US" w:eastAsia="zh-CN"/>
        </w:rPr>
        <w:t>驻马店市中心医院遥测监护系统采购项目竞争性磋商</w:t>
      </w:r>
      <w:r>
        <w:rPr>
          <w:rFonts w:hint="eastAsia" w:ascii="黑体" w:hAnsi="黑体" w:eastAsia="黑体" w:cs="宋体"/>
          <w:bCs/>
          <w:color w:val="auto"/>
          <w:kern w:val="0"/>
          <w:sz w:val="28"/>
          <w:szCs w:val="28"/>
          <w:highlight w:val="none"/>
        </w:rPr>
        <w:t>公告</w:t>
      </w:r>
    </w:p>
    <w:p>
      <w:pPr>
        <w:keepNext w:val="0"/>
        <w:keepLines w:val="0"/>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sz w:val="24"/>
          <w:szCs w:val="24"/>
        </w:rPr>
      </w:pPr>
      <w:bookmarkStart w:id="3" w:name="_Toc35393626"/>
      <w:bookmarkStart w:id="4" w:name="_Toc35393795"/>
      <w:bookmarkStart w:id="5" w:name="_Toc25063"/>
      <w:bookmarkStart w:id="6" w:name="_Toc23793"/>
      <w:bookmarkStart w:id="7" w:name="_Toc29890"/>
      <w:r>
        <w:rPr>
          <w:rFonts w:hint="eastAsia" w:ascii="宋体" w:hAnsi="宋体" w:eastAsia="宋体" w:cs="宋体"/>
          <w:color w:val="auto"/>
          <w:sz w:val="24"/>
          <w:szCs w:val="28"/>
        </w:rPr>
        <w:t>驻马店市中心医院现对</w:t>
      </w:r>
      <w:r>
        <w:rPr>
          <w:rFonts w:hint="eastAsia" w:ascii="宋体" w:hAnsi="宋体" w:eastAsia="宋体" w:cs="宋体"/>
          <w:color w:val="auto"/>
          <w:sz w:val="24"/>
          <w:szCs w:val="28"/>
          <w:u w:val="single"/>
          <w:lang w:val="en-US" w:eastAsia="zh-CN"/>
        </w:rPr>
        <w:t>遥测监护系统采购项目</w:t>
      </w:r>
      <w:r>
        <w:rPr>
          <w:rFonts w:hint="eastAsia" w:ascii="宋体" w:hAnsi="宋体" w:eastAsia="宋体" w:cs="宋体"/>
          <w:color w:val="auto"/>
          <w:sz w:val="24"/>
          <w:szCs w:val="28"/>
        </w:rPr>
        <w:t>进行院内</w:t>
      </w:r>
      <w:r>
        <w:rPr>
          <w:rFonts w:hint="eastAsia" w:ascii="宋体" w:hAnsi="宋体" w:eastAsia="宋体" w:cs="宋体"/>
          <w:color w:val="auto"/>
          <w:sz w:val="24"/>
          <w:szCs w:val="28"/>
          <w:lang w:val="en-US" w:eastAsia="zh-CN"/>
        </w:rPr>
        <w:t>竞争性磋商</w:t>
      </w:r>
      <w:r>
        <w:rPr>
          <w:rFonts w:hint="eastAsia" w:ascii="宋体" w:hAnsi="宋体" w:eastAsia="宋体" w:cs="宋体"/>
          <w:color w:val="auto"/>
          <w:sz w:val="24"/>
          <w:szCs w:val="28"/>
        </w:rPr>
        <w:t>采购，欢迎符合资格条件的供应商前来</w:t>
      </w:r>
      <w:r>
        <w:rPr>
          <w:rFonts w:hint="eastAsia" w:ascii="宋体" w:hAnsi="宋体" w:eastAsia="宋体" w:cs="宋体"/>
          <w:color w:val="auto"/>
          <w:sz w:val="24"/>
          <w:szCs w:val="28"/>
          <w:lang w:val="en-US" w:eastAsia="zh-CN"/>
        </w:rPr>
        <w:t>报名并</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line="336" w:lineRule="auto"/>
        <w:ind w:firstLine="480" w:firstLineChars="200"/>
        <w:jc w:val="left"/>
        <w:textAlignment w:val="auto"/>
        <w:rPr>
          <w:rFonts w:hint="eastAsia" w:ascii="宋体" w:hAnsi="宋体" w:eastAsia="宋体" w:cs="宋体"/>
          <w:color w:val="auto"/>
          <w:sz w:val="24"/>
          <w:szCs w:val="24"/>
          <w:highlight w:val="yellow"/>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val="en-US" w:eastAsia="zh-CN"/>
        </w:rPr>
        <w:t>驻马店市中心医院遥测监护系统采购项目</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336"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336"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8"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val="en-US" w:eastAsia="zh-CN"/>
        </w:rPr>
        <w:t>46</w:t>
      </w:r>
      <w:r>
        <w:rPr>
          <w:rFonts w:hint="eastAsia" w:ascii="宋体" w:hAnsi="宋体" w:eastAsia="宋体" w:cs="宋体"/>
          <w:color w:val="auto"/>
          <w:kern w:val="0"/>
          <w:sz w:val="24"/>
          <w:szCs w:val="24"/>
          <w:highlight w:val="none"/>
          <w:u w:val="none"/>
          <w:lang w:val="en-US" w:eastAsia="zh-CN"/>
        </w:rPr>
        <w:t>万</w:t>
      </w:r>
      <w:r>
        <w:rPr>
          <w:rFonts w:hint="eastAsia" w:ascii="宋体" w:hAnsi="宋体" w:eastAsia="宋体" w:cs="宋体"/>
          <w:color w:val="auto"/>
          <w:kern w:val="0"/>
          <w:sz w:val="24"/>
          <w:szCs w:val="24"/>
          <w:highlight w:val="none"/>
        </w:rPr>
        <w:t>元</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自筹资金；</w:t>
      </w:r>
    </w:p>
    <w:tbl>
      <w:tblPr>
        <w:tblStyle w:val="32"/>
        <w:tblW w:w="8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853"/>
        <w:gridCol w:w="1365"/>
        <w:gridCol w:w="1605"/>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包号</w:t>
            </w:r>
          </w:p>
        </w:tc>
        <w:tc>
          <w:tcPr>
            <w:tcW w:w="285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采购内容（包名称）</w:t>
            </w:r>
          </w:p>
        </w:tc>
        <w:tc>
          <w:tcPr>
            <w:tcW w:w="13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数量单位</w:t>
            </w:r>
          </w:p>
        </w:tc>
        <w:tc>
          <w:tcPr>
            <w:tcW w:w="16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预算金额</w:t>
            </w:r>
          </w:p>
        </w:tc>
        <w:tc>
          <w:tcPr>
            <w:tcW w:w="148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A包</w:t>
            </w:r>
          </w:p>
        </w:tc>
        <w:tc>
          <w:tcPr>
            <w:tcW w:w="285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遥测监护系统</w:t>
            </w:r>
          </w:p>
        </w:tc>
        <w:tc>
          <w:tcPr>
            <w:tcW w:w="13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12套</w:t>
            </w:r>
          </w:p>
        </w:tc>
        <w:tc>
          <w:tcPr>
            <w:tcW w:w="16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27.5万元</w:t>
            </w:r>
          </w:p>
        </w:tc>
        <w:tc>
          <w:tcPr>
            <w:tcW w:w="148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27.5万元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B包</w:t>
            </w:r>
          </w:p>
        </w:tc>
        <w:tc>
          <w:tcPr>
            <w:tcW w:w="285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遥测监护系统（一拖八）</w:t>
            </w:r>
          </w:p>
        </w:tc>
        <w:tc>
          <w:tcPr>
            <w:tcW w:w="13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1套</w:t>
            </w:r>
          </w:p>
        </w:tc>
        <w:tc>
          <w:tcPr>
            <w:tcW w:w="16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18.5万元</w:t>
            </w:r>
          </w:p>
        </w:tc>
        <w:tc>
          <w:tcPr>
            <w:tcW w:w="148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18.5万元</w:t>
            </w:r>
          </w:p>
        </w:tc>
      </w:tr>
    </w:tbl>
    <w:p>
      <w:pPr>
        <w:keepNext w:val="0"/>
        <w:keepLines w:val="0"/>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line="336"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bookmarkStart w:id="9" w:name="_Toc21071"/>
      <w:bookmarkStart w:id="10" w:name="_Toc19521"/>
      <w:bookmarkStart w:id="11" w:name="_Toc27913"/>
      <w:bookmarkStart w:id="12" w:name="_Toc24040"/>
      <w:bookmarkStart w:id="13" w:name="_Toc26079"/>
      <w:r>
        <w:rPr>
          <w:rFonts w:hint="eastAsia" w:ascii="宋体" w:hAnsi="宋体" w:eastAsia="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w:t>
      </w:r>
      <w:bookmarkEnd w:id="9"/>
      <w:bookmarkEnd w:id="10"/>
      <w:bookmarkEnd w:id="11"/>
      <w:bookmarkEnd w:id="12"/>
      <w:bookmarkEnd w:id="13"/>
      <w:r>
        <w:rPr>
          <w:rFonts w:hint="eastAsia" w:ascii="宋体" w:hAnsi="宋体" w:eastAsia="宋体" w:cs="宋体"/>
          <w:color w:val="auto"/>
          <w:sz w:val="24"/>
          <w:szCs w:val="24"/>
          <w:highlight w:val="none"/>
          <w:shd w:val="clear" w:color="auto" w:fill="FFFFFF"/>
          <w:lang w:val="en-US" w:eastAsia="zh-CN"/>
        </w:rPr>
        <w:t>质量要求：合格</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bookmarkStart w:id="14" w:name="_Toc23626"/>
      <w:bookmarkStart w:id="15" w:name="_Toc18607"/>
      <w:bookmarkStart w:id="16" w:name="_Toc16639"/>
      <w:bookmarkStart w:id="17" w:name="_Toc27704"/>
      <w:r>
        <w:rPr>
          <w:rFonts w:hint="eastAsia" w:ascii="宋体" w:hAnsi="宋体" w:eastAsia="宋体" w:cs="宋体"/>
          <w:b/>
          <w:bCs/>
          <w:color w:val="auto"/>
          <w:kern w:val="2"/>
          <w:sz w:val="24"/>
          <w:szCs w:val="24"/>
          <w:shd w:val="clear" w:color="auto" w:fill="FFFFFF"/>
          <w:lang w:val="en-US" w:eastAsia="zh-CN" w:bidi="ar-SA"/>
        </w:rPr>
        <w:t>二、</w:t>
      </w:r>
      <w:bookmarkEnd w:id="8"/>
      <w:bookmarkEnd w:id="14"/>
      <w:bookmarkEnd w:id="15"/>
      <w:bookmarkEnd w:id="16"/>
      <w:bookmarkEnd w:id="17"/>
      <w:r>
        <w:rPr>
          <w:rFonts w:hint="eastAsia" w:ascii="宋体" w:hAnsi="宋体" w:eastAsia="宋体" w:cs="宋体"/>
          <w:b/>
          <w:bCs/>
          <w:color w:val="auto"/>
          <w:kern w:val="2"/>
          <w:sz w:val="24"/>
          <w:szCs w:val="24"/>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2、供应商应提供2021年度或2022年度经审计的财务报告或者其基本开户银行出具的资信证明；采购活动前近三个月内或上个季度</w:t>
      </w:r>
      <w:r>
        <w:rPr>
          <w:rFonts w:hint="eastAsia" w:ascii="宋体" w:hAnsi="宋体" w:cs="宋体"/>
          <w:color w:val="auto"/>
          <w:kern w:val="2"/>
          <w:sz w:val="24"/>
          <w:szCs w:val="32"/>
          <w:lang w:val="en-US" w:eastAsia="zh-CN" w:bidi="ar-SA"/>
        </w:rPr>
        <w:t>任一个月</w:t>
      </w:r>
      <w:r>
        <w:rPr>
          <w:rFonts w:hint="eastAsia" w:ascii="宋体" w:hAnsi="宋体" w:eastAsia="宋体" w:cs="宋体"/>
          <w:color w:val="auto"/>
          <w:kern w:val="2"/>
          <w:sz w:val="24"/>
          <w:szCs w:val="32"/>
          <w:lang w:val="en-US" w:eastAsia="zh-CN" w:bidi="ar-SA"/>
        </w:rPr>
        <w:t>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3</w:t>
      </w:r>
      <w:r>
        <w:rPr>
          <w:rFonts w:hint="eastAsia" w:ascii="宋体" w:hAnsi="宋体" w:cs="宋体"/>
          <w:color w:val="auto"/>
          <w:kern w:val="2"/>
          <w:sz w:val="24"/>
          <w:szCs w:val="32"/>
          <w:lang w:val="en-US" w:eastAsia="zh-CN" w:bidi="ar-SA"/>
        </w:rPr>
        <w:t>、</w:t>
      </w:r>
      <w:r>
        <w:rPr>
          <w:rFonts w:hint="eastAsia" w:ascii="宋体" w:hAnsi="宋体" w:eastAsia="宋体" w:cs="宋体"/>
          <w:color w:val="auto"/>
          <w:kern w:val="2"/>
          <w:sz w:val="24"/>
          <w:szCs w:val="32"/>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4</w:t>
      </w:r>
      <w:r>
        <w:rPr>
          <w:rFonts w:hint="eastAsia" w:ascii="宋体" w:hAnsi="宋体" w:cs="宋体"/>
          <w:color w:val="auto"/>
          <w:kern w:val="2"/>
          <w:sz w:val="24"/>
          <w:szCs w:val="32"/>
          <w:lang w:val="en-US" w:eastAsia="zh-CN" w:bidi="ar-SA"/>
        </w:rPr>
        <w:t>、</w:t>
      </w:r>
      <w:r>
        <w:rPr>
          <w:rFonts w:hint="eastAsia" w:ascii="宋体" w:hAnsi="宋体" w:eastAsia="宋体" w:cs="宋体"/>
          <w:color w:val="auto"/>
          <w:kern w:val="2"/>
          <w:sz w:val="24"/>
          <w:szCs w:val="32"/>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5</w:t>
      </w:r>
      <w:r>
        <w:rPr>
          <w:rFonts w:hint="eastAsia" w:ascii="宋体" w:hAnsi="宋体" w:cs="宋体"/>
          <w:color w:val="auto"/>
          <w:kern w:val="2"/>
          <w:sz w:val="24"/>
          <w:szCs w:val="32"/>
          <w:lang w:val="en-US" w:eastAsia="zh-CN" w:bidi="ar-SA"/>
        </w:rPr>
        <w:t>、</w:t>
      </w:r>
      <w:r>
        <w:rPr>
          <w:rFonts w:hint="eastAsia" w:ascii="宋体" w:hAnsi="宋体" w:eastAsia="宋体" w:cs="宋体"/>
          <w:color w:val="auto"/>
          <w:kern w:val="2"/>
          <w:sz w:val="24"/>
          <w:szCs w:val="32"/>
          <w:lang w:val="en-US" w:eastAsia="zh-CN" w:bidi="ar-SA"/>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sz w:val="24"/>
          <w:szCs w:val="28"/>
          <w:lang w:val="en-US" w:eastAsia="zh-CN"/>
        </w:rPr>
      </w:pPr>
      <w:r>
        <w:rPr>
          <w:rFonts w:hint="eastAsia" w:ascii="宋体" w:hAnsi="宋体" w:eastAsia="宋体" w:cs="宋体"/>
          <w:color w:val="auto"/>
          <w:kern w:val="2"/>
          <w:sz w:val="24"/>
          <w:szCs w:val="32"/>
          <w:highlight w:val="none"/>
          <w:lang w:val="en-US" w:eastAsia="zh-CN" w:bidi="ar-SA"/>
        </w:rPr>
        <w:t>6</w:t>
      </w:r>
      <w:r>
        <w:rPr>
          <w:rFonts w:hint="eastAsia" w:ascii="宋体" w:hAnsi="宋体" w:eastAsia="宋体" w:cs="宋体"/>
          <w:color w:val="auto"/>
          <w:sz w:val="24"/>
          <w:szCs w:val="28"/>
          <w:highlight w:val="none"/>
          <w:lang w:val="en-US" w:eastAsia="zh-CN"/>
        </w:rPr>
        <w:t>、</w:t>
      </w:r>
      <w:r>
        <w:rPr>
          <w:rFonts w:hint="eastAsia" w:ascii="宋体" w:hAnsi="宋体" w:eastAsia="宋体" w:cs="宋体"/>
          <w:color w:val="auto"/>
          <w:sz w:val="24"/>
          <w:szCs w:val="28"/>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cs="宋体"/>
          <w:color w:val="auto"/>
          <w:kern w:val="2"/>
          <w:sz w:val="24"/>
          <w:szCs w:val="32"/>
          <w:lang w:val="en-US" w:eastAsia="zh-CN" w:bidi="ar-SA"/>
        </w:rPr>
        <w:t>7</w:t>
      </w:r>
      <w:r>
        <w:rPr>
          <w:rFonts w:hint="eastAsia" w:ascii="宋体" w:hAnsi="宋体" w:eastAsia="宋体" w:cs="宋体"/>
          <w:color w:val="auto"/>
          <w:kern w:val="2"/>
          <w:sz w:val="24"/>
          <w:szCs w:val="32"/>
          <w:lang w:val="en-US" w:eastAsia="zh-CN" w:bidi="ar-SA"/>
        </w:rPr>
        <w:t>、不接受联合体投标。</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auto"/>
          <w:kern w:val="2"/>
          <w:sz w:val="24"/>
          <w:szCs w:val="32"/>
          <w:lang w:val="en-US" w:eastAsia="zh-CN" w:bidi="ar-SA"/>
        </w:rPr>
      </w:pPr>
      <w:bookmarkStart w:id="18" w:name="_Toc9562"/>
      <w:bookmarkStart w:id="19" w:name="_Toc23395"/>
      <w:bookmarkStart w:id="20" w:name="_Toc30643"/>
      <w:bookmarkStart w:id="21" w:name="_Toc7823"/>
      <w:bookmarkStart w:id="22" w:name="_Toc30971"/>
      <w:r>
        <w:rPr>
          <w:rFonts w:hint="eastAsia" w:ascii="宋体" w:hAnsi="宋体" w:eastAsia="宋体" w:cs="宋体"/>
          <w:b/>
          <w:bCs/>
          <w:color w:val="auto"/>
          <w:kern w:val="2"/>
          <w:sz w:val="24"/>
          <w:szCs w:val="32"/>
          <w:lang w:val="en-US" w:eastAsia="zh-CN" w:bidi="ar-SA"/>
        </w:rPr>
        <w:t>三、获取采购文件</w:t>
      </w:r>
      <w:bookmarkEnd w:id="18"/>
      <w:bookmarkEnd w:id="19"/>
      <w:bookmarkEnd w:id="20"/>
      <w:bookmarkEnd w:id="21"/>
      <w:bookmarkEnd w:id="22"/>
    </w:p>
    <w:p>
      <w:pPr>
        <w:keepNext w:val="0"/>
        <w:keepLines w:val="0"/>
        <w:pageBreakBefore w:val="0"/>
        <w:widowControl/>
        <w:kinsoku/>
        <w:overflowPunct/>
        <w:topLinePunct w:val="0"/>
        <w:bidi w:val="0"/>
        <w:adjustRightInd w:val="0"/>
        <w:snapToGrid w:val="0"/>
        <w:spacing w:line="336" w:lineRule="auto"/>
        <w:ind w:firstLine="480" w:firstLineChars="200"/>
        <w:jc w:val="lef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1</w:t>
      </w:r>
      <w:r>
        <w:rPr>
          <w:rFonts w:hint="eastAsia" w:ascii="宋体" w:hAnsi="宋体" w:cs="宋体"/>
          <w:color w:val="000000" w:themeColor="text1"/>
          <w:sz w:val="24"/>
          <w:szCs w:val="24"/>
          <w:shd w:val="clear" w:color="auto" w:fill="FFFFFF"/>
          <w:lang w:val="en-US" w:eastAsia="zh-CN"/>
          <w14:textFill>
            <w14:solidFill>
              <w14:schemeClr w14:val="tx1"/>
            </w14:solidFill>
          </w14:textFill>
        </w:rPr>
        <w:t>.</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 w:val="24"/>
          <w:szCs w:val="24"/>
          <w:shd w:val="clear" w:color="auto" w:fill="FFFFFF"/>
          <w14:textFill>
            <w14:solidFill>
              <w14:schemeClr w14:val="tx1"/>
            </w14:solidFill>
          </w14:textFill>
        </w:rPr>
        <w:t>时间：</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202</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年</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08</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月</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日-202</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年</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08</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月</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28</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日，上</w:t>
      </w:r>
      <w:r>
        <w:rPr>
          <w:rFonts w:hint="eastAsia" w:ascii="宋体" w:hAnsi="宋体" w:eastAsia="宋体" w:cs="宋体"/>
          <w:color w:val="000000" w:themeColor="text1"/>
          <w:sz w:val="24"/>
          <w:szCs w:val="24"/>
          <w:shd w:val="clear" w:color="auto" w:fill="FFFFFF"/>
          <w14:textFill>
            <w14:solidFill>
              <w14:schemeClr w14:val="tx1"/>
            </w14:solidFill>
          </w14:textFill>
        </w:rPr>
        <w:t>午8：30-11:30，下午14:30-17:30（北京时间，法定节假日除外）</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报名费用：</w:t>
      </w:r>
      <w:r>
        <w:rPr>
          <w:rFonts w:hint="eastAsia" w:ascii="宋体" w:hAnsi="宋体" w:cs="宋体"/>
          <w:color w:val="000000" w:themeColor="text1"/>
          <w:sz w:val="24"/>
          <w:szCs w:val="24"/>
          <w:shd w:val="clear" w:color="auto" w:fill="FFFFFF"/>
          <w:lang w:val="en-US" w:eastAsia="zh-CN"/>
          <w14:textFill>
            <w14:solidFill>
              <w14:schemeClr w14:val="tx1"/>
            </w14:solidFill>
          </w14:textFill>
        </w:rPr>
        <w:t>2</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00元。</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2.凡报名成功的供应商无故不来参与投标的列入我院黑名单，一年内不得参与我院任何采购活动。中标供应商缴纳相应服务费。 </w:t>
      </w:r>
    </w:p>
    <w:p>
      <w:pPr>
        <w:keepNext w:val="0"/>
        <w:keepLines w:val="0"/>
        <w:pageBreakBefore w:val="0"/>
        <w:widowControl/>
        <w:kinsoku/>
        <w:wordWrap w:val="0"/>
        <w:overflowPunct/>
        <w:topLinePunct w:val="0"/>
        <w:bidi w:val="0"/>
        <w:snapToGrid w:val="0"/>
        <w:spacing w:before="0" w:beforeAutospacing="0" w:after="0" w:afterAutospacing="0" w:line="336" w:lineRule="auto"/>
        <w:ind w:left="0" w:leftChars="0" w:firstLine="480" w:firstLineChars="200"/>
        <w:jc w:val="left"/>
        <w:textAlignment w:val="auto"/>
        <w:rPr>
          <w:rFonts w:hint="eastAsia" w:ascii="宋体" w:hAnsi="宋体" w:eastAsia="宋体" w:cs="宋体"/>
          <w:color w:val="000000" w:themeColor="text1"/>
          <w:kern w:val="0"/>
          <w:sz w:val="24"/>
          <w:szCs w:val="24"/>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instrText xml:space="preserve"> HYPERLINK "mailto:hnwxzb2@163.com并标明XX" </w:instrTex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separate"/>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934027204@qq.com</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并标明XX</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end"/>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项目报名资料；审核通过后按要求交纳报名费。</w:t>
      </w:r>
    </w:p>
    <w:p>
      <w:pPr>
        <w:keepNext w:val="0"/>
        <w:keepLines w:val="0"/>
        <w:pageBreakBefore w:val="0"/>
        <w:widowControl/>
        <w:kinsoku/>
        <w:wordWrap w:val="0"/>
        <w:overflowPunct/>
        <w:topLinePunct w:val="0"/>
        <w:bidi w:val="0"/>
        <w:snapToGrid w:val="0"/>
        <w:spacing w:before="0" w:beforeAutospacing="0" w:after="0" w:afterAutospacing="0" w:line="336" w:lineRule="auto"/>
        <w:ind w:left="420" w:left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4.报名登记表：请从附件中下载。</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23" w:name="_Toc15135"/>
      <w:bookmarkStart w:id="24" w:name="_Toc27480"/>
      <w:bookmarkStart w:id="25" w:name="_Toc25869"/>
      <w:bookmarkStart w:id="26" w:name="_Toc10738"/>
      <w:bookmarkStart w:id="27" w:name="_Toc15111"/>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四、投标截止时间及地点</w:t>
      </w:r>
      <w:bookmarkEnd w:id="23"/>
      <w:bookmarkEnd w:id="24"/>
      <w:bookmarkEnd w:id="25"/>
      <w:bookmarkEnd w:id="26"/>
      <w:bookmarkEnd w:id="27"/>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五、开标时间及地点</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u w:val="none"/>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28" w:name="_Toc6523"/>
      <w:bookmarkStart w:id="29" w:name="_Toc30918"/>
      <w:bookmarkStart w:id="30" w:name="_Toc29784"/>
      <w:bookmarkStart w:id="31" w:name="_Toc20287"/>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六、发布公告的媒介及</w:t>
      </w:r>
      <w:r>
        <w:rPr>
          <w:rFonts w:hint="eastAsia" w:ascii="宋体" w:hAnsi="宋体" w:eastAsia="宋体" w:cs="宋体"/>
          <w:b/>
          <w:bCs/>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公告期限</w:t>
      </w:r>
      <w:bookmarkEnd w:id="28"/>
      <w:bookmarkEnd w:id="29"/>
      <w:bookmarkEnd w:id="30"/>
      <w:bookmarkEnd w:id="31"/>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本次</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公告在《驻马店市中心医院》院内网</w:t>
      </w:r>
      <w:r>
        <w:rPr>
          <w:rFonts w:hint="eastAsia" w:ascii="宋体" w:hAnsi="宋体" w:eastAsia="宋体" w:cs="宋体"/>
          <w:color w:val="000000" w:themeColor="text1"/>
          <w:sz w:val="24"/>
          <w:szCs w:val="24"/>
          <w:shd w:val="clear" w:color="auto" w:fill="auto"/>
          <w14:textFill>
            <w14:solidFill>
              <w14:schemeClr w14:val="tx1"/>
            </w14:solidFill>
          </w14:textFill>
        </w:rPr>
        <w:t>上发布</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公告期限为</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个工作日</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w:t>
      </w:r>
    </w:p>
    <w:bookmarkEnd w:id="3"/>
    <w:bookmarkEnd w:id="4"/>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32" w:name="_Toc16291"/>
      <w:bookmarkStart w:id="33" w:name="_Toc24274"/>
      <w:bookmarkStart w:id="34" w:name="_Toc3604"/>
      <w:bookmarkStart w:id="35" w:name="_Toc31928"/>
      <w:bookmarkStart w:id="36" w:name="_Toc27370"/>
      <w:r>
        <w:rPr>
          <w:rFonts w:hint="eastAsia" w:ascii="宋体" w:hAnsi="宋体" w:cs="宋体"/>
          <w:b/>
          <w:bCs/>
          <w:color w:val="000000" w:themeColor="text1"/>
          <w:kern w:val="2"/>
          <w:sz w:val="24"/>
          <w:szCs w:val="24"/>
          <w:shd w:val="clear" w:color="auto" w:fill="FFFFFF"/>
          <w:lang w:val="en-US" w:eastAsia="zh-CN" w:bidi="ar-SA"/>
          <w14:textFill>
            <w14:solidFill>
              <w14:schemeClr w14:val="tx1"/>
            </w14:solidFill>
          </w14:textFill>
        </w:rPr>
        <w:t>七</w:t>
      </w: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w:t>
      </w:r>
      <w:bookmarkEnd w:id="32"/>
      <w:bookmarkEnd w:id="33"/>
      <w:bookmarkEnd w:id="34"/>
      <w:bookmarkEnd w:id="35"/>
      <w:bookmarkEnd w:id="36"/>
      <w:r>
        <w:rPr>
          <w:rFonts w:hint="eastAsia" w:ascii="宋体" w:hAnsi="宋体" w:eastAsia="宋体" w:cs="宋体"/>
          <w:b/>
          <w:bCs/>
          <w:color w:val="000000" w:themeColor="text1"/>
          <w:kern w:val="2"/>
          <w:sz w:val="24"/>
          <w:szCs w:val="24"/>
          <w:highlight w:val="none"/>
          <w:shd w:val="clear" w:color="auto" w:fill="FFFFFF"/>
          <w:lang w:val="en-US" w:eastAsia="zh-CN" w:bidi="ar-SA"/>
          <w14:textFill>
            <w14:solidFill>
              <w14:schemeClr w14:val="tx1"/>
            </w14:solidFill>
          </w14:textFill>
        </w:rPr>
        <w:t>凡对本次招标提出询问，请按照以下方式联系</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报名联系人：陈先生</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default"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联系电话：18838148020</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联系人：陈先生</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联系电话：0396-2726379</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联系邮箱：</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instrText xml:space="preserve"> HYPERLINK "mailto:zxyyjzcgbgs@163.com" </w:instrTex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separate"/>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zxyyjzcgbgs@163.com</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end"/>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监督部门：驻马店市中心医院纪检监察室</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sz w:val="24"/>
          <w:szCs w:val="28"/>
          <w:lang w:val="en-US" w:eastAsia="zh-CN"/>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监督电话：0396-2726678</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righ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驻马店市中心医院采购科</w:t>
      </w:r>
    </w:p>
    <w:p>
      <w:pPr>
        <w:keepNext w:val="0"/>
        <w:keepLines w:val="0"/>
        <w:pageBreakBefore w:val="0"/>
        <w:kinsoku/>
        <w:overflowPunct/>
        <w:topLinePunct w:val="0"/>
        <w:bidi w:val="0"/>
        <w:spacing w:line="336" w:lineRule="auto"/>
        <w:jc w:val="right"/>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2023年</w:t>
      </w:r>
      <w:r>
        <w:rPr>
          <w:rFonts w:hint="eastAsia" w:ascii="宋体" w:hAnsi="宋体" w:cs="宋体"/>
          <w:color w:val="000000" w:themeColor="text1"/>
          <w:kern w:val="0"/>
          <w:sz w:val="24"/>
          <w:szCs w:val="24"/>
          <w:highlight w:val="none"/>
          <w:shd w:val="clear" w:color="auto" w:fill="FFFFFF"/>
          <w:lang w:val="en-US" w:eastAsia="zh-CN" w:bidi="ar-SA"/>
          <w14:textFill>
            <w14:solidFill>
              <w14:schemeClr w14:val="tx1"/>
            </w14:solidFill>
          </w14:textFill>
        </w:rPr>
        <w:t>8</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月</w:t>
      </w:r>
      <w:r>
        <w:rPr>
          <w:rFonts w:hint="eastAsia" w:ascii="宋体" w:hAnsi="宋体" w:cs="宋体"/>
          <w:color w:val="000000" w:themeColor="text1"/>
          <w:kern w:val="0"/>
          <w:sz w:val="24"/>
          <w:szCs w:val="24"/>
          <w:highlight w:val="none"/>
          <w:shd w:val="clear" w:color="auto" w:fill="FFFFFF"/>
          <w:lang w:val="en-US" w:eastAsia="zh-CN" w:bidi="ar-SA"/>
          <w14:textFill>
            <w14:solidFill>
              <w14:schemeClr w14:val="tx1"/>
            </w14:solidFill>
          </w14:textFill>
        </w:rPr>
        <w:t>23</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日</w:t>
      </w:r>
    </w:p>
    <w:p>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pPr>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5"/>
      <w:bookmarkStart w:id="37" w:name="_Toc31536"/>
      <w:bookmarkStart w:id="38" w:name="_Toc9989"/>
      <w:bookmarkStart w:id="39" w:name="_Toc23610"/>
    </w:p>
    <w:bookmarkEnd w:id="37"/>
    <w:bookmarkEnd w:id="38"/>
    <w:bookmarkEnd w:id="39"/>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一、项目名称、数量：</w:t>
      </w:r>
      <w:r>
        <w:rPr>
          <w:rFonts w:hint="eastAsia" w:ascii="宋体" w:hAnsi="宋体" w:cs="宋体"/>
          <w:b w:val="0"/>
          <w:bCs w:val="0"/>
          <w:color w:val="auto"/>
          <w:kern w:val="0"/>
          <w:sz w:val="21"/>
          <w:szCs w:val="21"/>
          <w:highlight w:val="none"/>
          <w:u w:val="single"/>
          <w:shd w:val="clear" w:color="auto" w:fill="FFFFFF"/>
          <w:lang w:val="en-US" w:eastAsia="zh-CN" w:bidi="ar-SA"/>
        </w:rPr>
        <w:t>遥测监护系统采购项目。</w:t>
      </w:r>
      <w:r>
        <w:rPr>
          <w:rFonts w:hint="eastAsia" w:ascii="宋体" w:hAnsi="宋体" w:eastAsia="宋体" w:cs="宋体"/>
          <w:b/>
          <w:bCs/>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p>
    <w:p>
      <w:pPr>
        <w:pStyle w:val="11"/>
        <w:keepNext w:val="0"/>
        <w:keepLines w:val="0"/>
        <w:pageBreakBefore w:val="0"/>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二、项目用途说明：</w:t>
      </w:r>
      <w:r>
        <w:rPr>
          <w:rFonts w:hint="eastAsia" w:cs="宋体"/>
          <w:b w:val="0"/>
          <w:bCs w:val="0"/>
          <w:kern w:val="2"/>
          <w:sz w:val="21"/>
          <w:szCs w:val="21"/>
          <w:u w:val="single"/>
          <w:lang w:val="en-US" w:eastAsia="zh-CN" w:bidi="ar-SA"/>
        </w:rPr>
        <w:t>/</w:t>
      </w:r>
      <w:r>
        <w:rPr>
          <w:rFonts w:hint="eastAsia" w:ascii="宋体" w:hAnsi="宋体" w:eastAsia="宋体" w:cs="宋体"/>
          <w:kern w:val="2"/>
          <w:sz w:val="21"/>
          <w:szCs w:val="21"/>
          <w:lang w:val="en-US" w:eastAsia="zh-CN" w:bidi="ar-SA"/>
        </w:rPr>
        <w:t xml:space="preserve">                      </w:t>
      </w:r>
    </w:p>
    <w:p>
      <w:pPr>
        <w:pageBreakBefore w:val="0"/>
        <w:widowControl/>
        <w:kinsoku/>
        <w:wordWrap/>
        <w:overflowPunct/>
        <w:topLinePunct w:val="0"/>
        <w:bidi w:val="0"/>
        <w:snapToGrid w:val="0"/>
        <w:spacing w:before="0" w:beforeAutospacing="0" w:after="0" w:afterAutospacing="0" w:line="500" w:lineRule="exact"/>
        <w:ind w:left="420" w:hanging="422" w:hangingChars="200"/>
        <w:jc w:val="left"/>
        <w:textAlignment w:val="auto"/>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cs="宋体"/>
          <w:b/>
          <w:bCs/>
          <w:color w:val="auto"/>
          <w:kern w:val="0"/>
          <w:sz w:val="21"/>
          <w:szCs w:val="21"/>
          <w:shd w:val="clear" w:color="auto" w:fill="FFFFFF"/>
          <w:lang w:val="en-US" w:eastAsia="zh-CN" w:bidi="ar-SA"/>
        </w:rPr>
        <w:t>三</w:t>
      </w:r>
      <w:r>
        <w:rPr>
          <w:rFonts w:hint="eastAsia" w:ascii="宋体" w:hAnsi="宋体" w:eastAsia="宋体" w:cs="宋体"/>
          <w:b/>
          <w:bCs/>
          <w:color w:val="auto"/>
          <w:kern w:val="0"/>
          <w:sz w:val="21"/>
          <w:szCs w:val="21"/>
          <w:shd w:val="clear" w:color="auto" w:fill="FFFFFF"/>
          <w:lang w:val="en-US" w:eastAsia="zh-CN" w:bidi="ar-SA"/>
        </w:rPr>
        <w:t>、配置规格、附件及零配件（包括专用工具）：</w:t>
      </w:r>
    </w:p>
    <w:tbl>
      <w:tblPr>
        <w:tblStyle w:val="3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718"/>
        <w:gridCol w:w="1736"/>
        <w:gridCol w:w="1473"/>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1"/>
              <w:ind w:left="0" w:leftChars="0"/>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2718" w:type="dxa"/>
            <w:tcBorders>
              <w:top w:val="single" w:color="auto" w:sz="4" w:space="0"/>
              <w:left w:val="nil"/>
              <w:bottom w:val="single" w:color="auto" w:sz="4" w:space="0"/>
              <w:right w:val="single" w:color="auto" w:sz="4" w:space="0"/>
            </w:tcBorders>
            <w:vAlign w:val="center"/>
          </w:tcPr>
          <w:p>
            <w:pPr>
              <w:pStyle w:val="11"/>
              <w:ind w:left="0" w:leftChars="0"/>
              <w:jc w:val="center"/>
              <w:rPr>
                <w:rFonts w:hint="eastAsia" w:ascii="宋体" w:hAnsi="宋体" w:eastAsia="宋体" w:cs="宋体"/>
                <w:b/>
                <w:bCs/>
                <w:sz w:val="21"/>
                <w:szCs w:val="21"/>
              </w:rPr>
            </w:pPr>
            <w:r>
              <w:rPr>
                <w:rFonts w:hint="eastAsia" w:ascii="宋体" w:hAnsi="宋体" w:eastAsia="宋体" w:cs="宋体"/>
                <w:b/>
                <w:bCs/>
                <w:sz w:val="21"/>
                <w:szCs w:val="21"/>
              </w:rPr>
              <w:t>项目名称</w:t>
            </w:r>
          </w:p>
        </w:tc>
        <w:tc>
          <w:tcPr>
            <w:tcW w:w="1736" w:type="dxa"/>
            <w:tcBorders>
              <w:top w:val="single" w:color="auto" w:sz="4" w:space="0"/>
              <w:left w:val="nil"/>
              <w:bottom w:val="single" w:color="auto" w:sz="4" w:space="0"/>
              <w:right w:val="single" w:color="auto" w:sz="4" w:space="0"/>
            </w:tcBorders>
            <w:vAlign w:val="center"/>
          </w:tcPr>
          <w:p>
            <w:pPr>
              <w:pStyle w:val="11"/>
              <w:ind w:left="0" w:leftChars="0"/>
              <w:jc w:val="center"/>
              <w:rPr>
                <w:rFonts w:hint="eastAsia" w:ascii="宋体" w:hAnsi="宋体" w:eastAsia="宋体" w:cs="宋体"/>
                <w:b/>
                <w:bCs/>
                <w:sz w:val="21"/>
                <w:szCs w:val="21"/>
              </w:rPr>
            </w:pPr>
            <w:r>
              <w:rPr>
                <w:rFonts w:hint="eastAsia" w:ascii="宋体" w:hAnsi="宋体" w:eastAsia="宋体" w:cs="宋体"/>
                <w:b/>
                <w:bCs/>
                <w:sz w:val="21"/>
                <w:szCs w:val="21"/>
              </w:rPr>
              <w:t>数量</w:t>
            </w:r>
          </w:p>
        </w:tc>
        <w:tc>
          <w:tcPr>
            <w:tcW w:w="1473" w:type="dxa"/>
            <w:tcBorders>
              <w:top w:val="single" w:color="auto" w:sz="4" w:space="0"/>
              <w:left w:val="nil"/>
              <w:bottom w:val="single" w:color="auto" w:sz="4" w:space="0"/>
              <w:right w:val="single" w:color="auto" w:sz="4" w:space="0"/>
            </w:tcBorders>
            <w:vAlign w:val="center"/>
          </w:tcPr>
          <w:p>
            <w:pPr>
              <w:pStyle w:val="11"/>
              <w:ind w:left="0" w:leftChars="0"/>
              <w:jc w:val="center"/>
              <w:rPr>
                <w:rFonts w:hint="eastAsia" w:ascii="宋体" w:hAnsi="宋体" w:eastAsia="宋体" w:cs="宋体"/>
                <w:b/>
                <w:bCs/>
                <w:sz w:val="21"/>
                <w:szCs w:val="21"/>
              </w:rPr>
            </w:pPr>
            <w:r>
              <w:rPr>
                <w:rFonts w:hint="eastAsia" w:ascii="宋体" w:hAnsi="宋体" w:eastAsia="宋体" w:cs="宋体"/>
                <w:b/>
                <w:bCs/>
                <w:sz w:val="21"/>
                <w:szCs w:val="21"/>
              </w:rPr>
              <w:t>资金预算</w:t>
            </w:r>
          </w:p>
        </w:tc>
        <w:tc>
          <w:tcPr>
            <w:tcW w:w="1554" w:type="dxa"/>
            <w:tcBorders>
              <w:top w:val="single" w:color="auto" w:sz="4" w:space="0"/>
              <w:left w:val="nil"/>
              <w:bottom w:val="single" w:color="auto" w:sz="4" w:space="0"/>
              <w:right w:val="single" w:color="auto" w:sz="4" w:space="0"/>
            </w:tcBorders>
            <w:vAlign w:val="center"/>
          </w:tcPr>
          <w:p>
            <w:pPr>
              <w:pStyle w:val="11"/>
              <w:ind w:left="0" w:leftChars="0"/>
              <w:jc w:val="center"/>
              <w:rPr>
                <w:rFonts w:hint="eastAsia" w:ascii="宋体" w:hAnsi="宋体" w:eastAsia="宋体" w:cs="宋体"/>
                <w:b/>
                <w:bCs/>
                <w:sz w:val="21"/>
                <w:szCs w:val="21"/>
              </w:rPr>
            </w:pPr>
            <w:r>
              <w:rPr>
                <w:rFonts w:hint="eastAsia" w:ascii="宋体" w:hAnsi="宋体" w:eastAsia="宋体" w:cs="宋体"/>
                <w:b/>
                <w:bCs/>
                <w:sz w:val="21"/>
                <w:szCs w:val="21"/>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41" w:type="dxa"/>
            <w:tcBorders>
              <w:top w:val="single" w:color="auto" w:sz="4" w:space="0"/>
              <w:left w:val="single" w:color="auto" w:sz="4" w:space="0"/>
              <w:bottom w:val="single" w:color="auto" w:sz="4" w:space="0"/>
              <w:right w:val="single" w:color="auto" w:sz="4" w:space="0"/>
            </w:tcBorders>
            <w:vAlign w:val="top"/>
          </w:tcPr>
          <w:p>
            <w:pPr>
              <w:pStyle w:val="11"/>
              <w:jc w:val="center"/>
              <w:rPr>
                <w:rFonts w:hint="eastAsia" w:ascii="宋体" w:hAnsi="宋体" w:eastAsia="宋体" w:cs="宋体"/>
                <w:sz w:val="21"/>
                <w:szCs w:val="21"/>
                <w:lang w:val="en-US" w:eastAsia="zh-CN"/>
              </w:rPr>
            </w:pPr>
            <w:r>
              <w:rPr>
                <w:rFonts w:hint="eastAsia" w:ascii="宋体" w:hAnsi="宋体"/>
                <w:sz w:val="21"/>
                <w:szCs w:val="21"/>
                <w:lang w:val="en-US" w:eastAsia="zh-CN"/>
              </w:rPr>
              <w:t>1</w:t>
            </w:r>
          </w:p>
        </w:tc>
        <w:tc>
          <w:tcPr>
            <w:tcW w:w="2718" w:type="dxa"/>
            <w:tcBorders>
              <w:top w:val="single" w:color="auto" w:sz="4" w:space="0"/>
              <w:left w:val="nil"/>
              <w:bottom w:val="single" w:color="auto" w:sz="4" w:space="0"/>
              <w:right w:val="single" w:color="auto" w:sz="4" w:space="0"/>
            </w:tcBorders>
            <w:vAlign w:val="top"/>
          </w:tcPr>
          <w:p>
            <w:pPr>
              <w:pStyle w:val="11"/>
              <w:ind w:left="0" w:leftChars="0" w:firstLine="0" w:firstLineChars="0"/>
              <w:jc w:val="center"/>
              <w:rPr>
                <w:rFonts w:hint="eastAsia" w:ascii="宋体" w:hAnsi="宋体"/>
                <w:sz w:val="21"/>
                <w:szCs w:val="21"/>
                <w:lang w:val="en-US" w:eastAsia="zh-CN"/>
              </w:rPr>
            </w:pPr>
            <w:r>
              <w:rPr>
                <w:rFonts w:hint="eastAsia" w:ascii="宋体" w:hAnsi="宋体"/>
                <w:sz w:val="21"/>
                <w:szCs w:val="21"/>
                <w:lang w:eastAsia="zh-CN"/>
              </w:rPr>
              <w:t>遥测监护系统</w:t>
            </w:r>
          </w:p>
        </w:tc>
        <w:tc>
          <w:tcPr>
            <w:tcW w:w="1736" w:type="dxa"/>
            <w:tcBorders>
              <w:top w:val="single" w:color="auto" w:sz="4" w:space="0"/>
              <w:left w:val="nil"/>
              <w:bottom w:val="single" w:color="auto" w:sz="4" w:space="0"/>
              <w:right w:val="single" w:color="auto" w:sz="4" w:space="0"/>
            </w:tcBorders>
            <w:vAlign w:val="top"/>
          </w:tcPr>
          <w:p>
            <w:pPr>
              <w:pStyle w:val="11"/>
              <w:jc w:val="center"/>
              <w:rPr>
                <w:rFonts w:hint="eastAsia" w:ascii="宋体" w:hAnsi="宋体"/>
                <w:sz w:val="21"/>
                <w:szCs w:val="21"/>
                <w:lang w:val="en-US" w:eastAsia="zh-CN"/>
              </w:rPr>
            </w:pPr>
            <w:r>
              <w:rPr>
                <w:rFonts w:hint="eastAsia" w:ascii="宋体" w:hAnsi="宋体"/>
                <w:sz w:val="21"/>
                <w:szCs w:val="21"/>
                <w:lang w:val="en-US" w:eastAsia="zh-CN"/>
              </w:rPr>
              <w:t>12</w:t>
            </w:r>
          </w:p>
        </w:tc>
        <w:tc>
          <w:tcPr>
            <w:tcW w:w="1473" w:type="dxa"/>
            <w:tcBorders>
              <w:top w:val="single" w:color="auto" w:sz="4" w:space="0"/>
              <w:left w:val="nil"/>
              <w:bottom w:val="single" w:color="auto" w:sz="4" w:space="0"/>
              <w:right w:val="single" w:color="auto" w:sz="4" w:space="0"/>
            </w:tcBorders>
            <w:vAlign w:val="top"/>
          </w:tcPr>
          <w:p>
            <w:pPr>
              <w:pStyle w:val="11"/>
              <w:ind w:left="0" w:leftChars="0" w:firstLine="0" w:firstLineChars="0"/>
              <w:jc w:val="center"/>
              <w:rPr>
                <w:rFonts w:hint="eastAsia" w:ascii="宋体" w:hAnsi="宋体"/>
                <w:sz w:val="21"/>
                <w:szCs w:val="21"/>
                <w:lang w:val="en-US" w:eastAsia="zh-CN"/>
              </w:rPr>
            </w:pPr>
            <w:r>
              <w:rPr>
                <w:rFonts w:hint="eastAsia" w:ascii="宋体" w:hAnsi="宋体"/>
                <w:sz w:val="21"/>
                <w:szCs w:val="21"/>
                <w:lang w:val="en-US" w:eastAsia="zh-CN"/>
              </w:rPr>
              <w:t>27.5万元</w:t>
            </w:r>
          </w:p>
        </w:tc>
        <w:tc>
          <w:tcPr>
            <w:tcW w:w="1554" w:type="dxa"/>
            <w:tcBorders>
              <w:top w:val="single" w:color="auto" w:sz="4" w:space="0"/>
              <w:left w:val="nil"/>
              <w:bottom w:val="single" w:color="auto" w:sz="4" w:space="0"/>
              <w:right w:val="single" w:color="auto" w:sz="4" w:space="0"/>
            </w:tcBorders>
            <w:vAlign w:val="top"/>
          </w:tcPr>
          <w:p>
            <w:pPr>
              <w:pStyle w:val="11"/>
              <w:jc w:val="center"/>
              <w:rPr>
                <w:rFonts w:hint="eastAsia" w:ascii="宋体" w:hAnsi="宋体" w:eastAsia="宋体" w:cs="宋体"/>
                <w:sz w:val="21"/>
                <w:szCs w:val="21"/>
                <w:lang w:eastAsia="zh-CN"/>
              </w:rPr>
            </w:pPr>
            <w:r>
              <w:rPr>
                <w:rFonts w:hint="eastAsia" w:ascii="宋体" w:hAnsi="宋体"/>
                <w:sz w:val="21"/>
                <w:szCs w:val="21"/>
                <w:lang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41" w:type="dxa"/>
            <w:tcBorders>
              <w:top w:val="single" w:color="auto" w:sz="4" w:space="0"/>
              <w:left w:val="single" w:color="auto" w:sz="4" w:space="0"/>
              <w:bottom w:val="single" w:color="auto" w:sz="4" w:space="0"/>
              <w:right w:val="single" w:color="auto" w:sz="4" w:space="0"/>
            </w:tcBorders>
            <w:vAlign w:val="top"/>
          </w:tcPr>
          <w:p>
            <w:pPr>
              <w:pStyle w:val="11"/>
              <w:jc w:val="center"/>
              <w:rPr>
                <w:rFonts w:hint="eastAsia" w:ascii="宋体" w:hAnsi="宋体" w:eastAsia="宋体" w:cs="宋体"/>
                <w:sz w:val="21"/>
                <w:szCs w:val="21"/>
                <w:lang w:val="en-US" w:eastAsia="zh-CN"/>
              </w:rPr>
            </w:pPr>
            <w:r>
              <w:rPr>
                <w:rFonts w:hint="eastAsia" w:ascii="宋体" w:hAnsi="宋体"/>
                <w:sz w:val="21"/>
                <w:szCs w:val="21"/>
                <w:lang w:val="en-US" w:eastAsia="zh-CN"/>
              </w:rPr>
              <w:t>2</w:t>
            </w:r>
          </w:p>
        </w:tc>
        <w:tc>
          <w:tcPr>
            <w:tcW w:w="2718" w:type="dxa"/>
            <w:tcBorders>
              <w:top w:val="single" w:color="auto" w:sz="4" w:space="0"/>
              <w:left w:val="nil"/>
              <w:bottom w:val="single" w:color="auto" w:sz="4" w:space="0"/>
              <w:right w:val="single" w:color="auto" w:sz="4" w:space="0"/>
            </w:tcBorders>
            <w:vAlign w:val="top"/>
          </w:tcPr>
          <w:p>
            <w:pPr>
              <w:pStyle w:val="11"/>
              <w:ind w:left="0" w:leftChars="0" w:firstLine="0" w:firstLineChars="0"/>
              <w:jc w:val="center"/>
              <w:rPr>
                <w:rFonts w:hint="eastAsia" w:ascii="宋体" w:hAnsi="宋体" w:eastAsia="宋体" w:cs="宋体"/>
                <w:sz w:val="21"/>
                <w:szCs w:val="21"/>
              </w:rPr>
            </w:pPr>
            <w:r>
              <w:rPr>
                <w:rFonts w:hint="eastAsia" w:ascii="宋体" w:hAnsi="宋体"/>
                <w:sz w:val="21"/>
                <w:szCs w:val="21"/>
                <w:lang w:eastAsia="zh-CN"/>
              </w:rPr>
              <w:t>遥测监护系统（一拖八）</w:t>
            </w:r>
          </w:p>
        </w:tc>
        <w:tc>
          <w:tcPr>
            <w:tcW w:w="1736" w:type="dxa"/>
            <w:tcBorders>
              <w:top w:val="single" w:color="auto" w:sz="4" w:space="0"/>
              <w:left w:val="nil"/>
              <w:bottom w:val="single" w:color="auto" w:sz="4" w:space="0"/>
              <w:right w:val="single" w:color="auto" w:sz="4" w:space="0"/>
            </w:tcBorders>
            <w:vAlign w:val="top"/>
          </w:tcPr>
          <w:p>
            <w:pPr>
              <w:pStyle w:val="11"/>
              <w:jc w:val="center"/>
              <w:rPr>
                <w:rFonts w:hint="eastAsia" w:ascii="宋体" w:hAnsi="宋体" w:eastAsia="宋体" w:cs="宋体"/>
                <w:sz w:val="21"/>
                <w:szCs w:val="21"/>
                <w:lang w:val="en-US" w:eastAsia="zh-CN"/>
              </w:rPr>
            </w:pPr>
            <w:r>
              <w:rPr>
                <w:rFonts w:hint="eastAsia" w:ascii="宋体" w:hAnsi="宋体"/>
                <w:sz w:val="21"/>
                <w:szCs w:val="21"/>
                <w:lang w:val="en-US" w:eastAsia="zh-CN"/>
              </w:rPr>
              <w:t>1</w:t>
            </w:r>
          </w:p>
        </w:tc>
        <w:tc>
          <w:tcPr>
            <w:tcW w:w="1473" w:type="dxa"/>
            <w:tcBorders>
              <w:top w:val="single" w:color="auto" w:sz="4" w:space="0"/>
              <w:left w:val="nil"/>
              <w:bottom w:val="single" w:color="auto" w:sz="4" w:space="0"/>
              <w:right w:val="single" w:color="auto" w:sz="4" w:space="0"/>
            </w:tcBorders>
            <w:vAlign w:val="top"/>
          </w:tcPr>
          <w:p>
            <w:pPr>
              <w:pStyle w:val="11"/>
              <w:ind w:left="0" w:leftChars="0" w:firstLine="0" w:firstLineChars="0"/>
              <w:jc w:val="center"/>
              <w:rPr>
                <w:rFonts w:hint="eastAsia" w:ascii="宋体" w:hAnsi="宋体" w:eastAsia="宋体" w:cs="宋体"/>
                <w:sz w:val="21"/>
                <w:szCs w:val="21"/>
                <w:lang w:val="en-US" w:eastAsia="zh-CN"/>
              </w:rPr>
            </w:pPr>
            <w:r>
              <w:rPr>
                <w:rFonts w:hint="eastAsia" w:ascii="宋体" w:hAnsi="宋体"/>
                <w:sz w:val="21"/>
                <w:szCs w:val="21"/>
                <w:lang w:val="en-US" w:eastAsia="zh-CN"/>
              </w:rPr>
              <w:t>18.5万元</w:t>
            </w:r>
          </w:p>
        </w:tc>
        <w:tc>
          <w:tcPr>
            <w:tcW w:w="1554" w:type="dxa"/>
            <w:tcBorders>
              <w:top w:val="single" w:color="auto" w:sz="4" w:space="0"/>
              <w:left w:val="nil"/>
              <w:bottom w:val="single" w:color="auto" w:sz="4" w:space="0"/>
              <w:right w:val="single" w:color="auto" w:sz="4" w:space="0"/>
            </w:tcBorders>
            <w:vAlign w:val="top"/>
          </w:tcPr>
          <w:p>
            <w:pPr>
              <w:pStyle w:val="11"/>
              <w:jc w:val="center"/>
              <w:rPr>
                <w:rFonts w:hint="eastAsia" w:ascii="宋体" w:hAnsi="宋体" w:eastAsia="宋体" w:cs="宋体"/>
                <w:sz w:val="21"/>
                <w:szCs w:val="21"/>
                <w:lang w:eastAsia="zh-CN"/>
              </w:rPr>
            </w:pPr>
            <w:r>
              <w:rPr>
                <w:rFonts w:hint="eastAsia" w:ascii="宋体" w:hAnsi="宋体"/>
                <w:sz w:val="21"/>
                <w:szCs w:val="21"/>
                <w:lang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041" w:type="dxa"/>
            <w:tcBorders>
              <w:top w:val="single" w:color="auto" w:sz="4" w:space="0"/>
              <w:left w:val="single" w:color="auto" w:sz="4" w:space="0"/>
              <w:bottom w:val="single" w:color="auto" w:sz="4" w:space="0"/>
              <w:right w:val="single" w:color="auto" w:sz="4" w:space="0"/>
            </w:tcBorders>
          </w:tcPr>
          <w:p>
            <w:pPr>
              <w:pStyle w:val="11"/>
              <w:ind w:left="0" w:leftChars="0"/>
              <w:rPr>
                <w:rFonts w:hint="eastAsia" w:ascii="宋体" w:hAnsi="宋体" w:eastAsia="宋体" w:cs="宋体"/>
                <w:b/>
                <w:bCs/>
                <w:sz w:val="21"/>
                <w:szCs w:val="21"/>
              </w:rPr>
            </w:pPr>
            <w:r>
              <w:rPr>
                <w:rFonts w:hint="eastAsia" w:ascii="宋体" w:hAnsi="宋体" w:eastAsia="宋体" w:cs="宋体"/>
                <w:b/>
                <w:bCs/>
                <w:sz w:val="21"/>
                <w:szCs w:val="21"/>
              </w:rPr>
              <w:t>合计</w:t>
            </w:r>
          </w:p>
        </w:tc>
        <w:tc>
          <w:tcPr>
            <w:tcW w:w="2718" w:type="dxa"/>
            <w:tcBorders>
              <w:top w:val="single" w:color="auto" w:sz="4" w:space="0"/>
              <w:left w:val="nil"/>
              <w:bottom w:val="single" w:color="auto" w:sz="4" w:space="0"/>
              <w:right w:val="single" w:color="auto" w:sz="4" w:space="0"/>
            </w:tcBorders>
          </w:tcPr>
          <w:p>
            <w:pPr>
              <w:pStyle w:val="11"/>
              <w:jc w:val="center"/>
              <w:rPr>
                <w:rFonts w:hint="eastAsia" w:ascii="宋体" w:hAnsi="宋体" w:eastAsia="宋体" w:cs="宋体"/>
                <w:sz w:val="21"/>
                <w:szCs w:val="21"/>
              </w:rPr>
            </w:pPr>
          </w:p>
        </w:tc>
        <w:tc>
          <w:tcPr>
            <w:tcW w:w="1736" w:type="dxa"/>
            <w:tcBorders>
              <w:top w:val="single" w:color="auto" w:sz="4" w:space="0"/>
              <w:left w:val="nil"/>
              <w:bottom w:val="single" w:color="auto" w:sz="4" w:space="0"/>
              <w:right w:val="single" w:color="auto" w:sz="4" w:space="0"/>
            </w:tcBorders>
          </w:tcPr>
          <w:p>
            <w:pPr>
              <w:pStyle w:val="11"/>
              <w:jc w:val="center"/>
              <w:rPr>
                <w:rFonts w:hint="eastAsia" w:ascii="宋体" w:hAnsi="宋体" w:eastAsia="宋体" w:cs="宋体"/>
                <w:sz w:val="21"/>
                <w:szCs w:val="21"/>
              </w:rPr>
            </w:pPr>
          </w:p>
        </w:tc>
        <w:tc>
          <w:tcPr>
            <w:tcW w:w="1473" w:type="dxa"/>
            <w:tcBorders>
              <w:top w:val="single" w:color="auto" w:sz="4" w:space="0"/>
              <w:left w:val="nil"/>
              <w:bottom w:val="single" w:color="auto" w:sz="4" w:space="0"/>
              <w:right w:val="single" w:color="auto" w:sz="4" w:space="0"/>
            </w:tcBorders>
          </w:tcPr>
          <w:p>
            <w:pPr>
              <w:pStyle w:val="11"/>
              <w:jc w:val="center"/>
              <w:rPr>
                <w:rFonts w:hint="eastAsia" w:ascii="宋体" w:hAnsi="宋体" w:eastAsia="宋体" w:cs="宋体"/>
                <w:sz w:val="21"/>
                <w:szCs w:val="21"/>
              </w:rPr>
            </w:pPr>
          </w:p>
        </w:tc>
        <w:tc>
          <w:tcPr>
            <w:tcW w:w="1554" w:type="dxa"/>
            <w:tcBorders>
              <w:top w:val="single" w:color="auto" w:sz="4" w:space="0"/>
              <w:left w:val="nil"/>
              <w:bottom w:val="single" w:color="auto" w:sz="4" w:space="0"/>
              <w:right w:val="single" w:color="auto" w:sz="4" w:space="0"/>
            </w:tcBorders>
          </w:tcPr>
          <w:p>
            <w:pPr>
              <w:pStyle w:val="11"/>
              <w:rPr>
                <w:rFonts w:hint="eastAsia" w:ascii="宋体" w:hAnsi="宋体" w:eastAsia="宋体" w:cs="宋体"/>
                <w:sz w:val="21"/>
                <w:szCs w:val="21"/>
              </w:rPr>
            </w:pPr>
          </w:p>
        </w:tc>
      </w:tr>
    </w:tbl>
    <w:p>
      <w:pPr>
        <w:numPr>
          <w:ilvl w:val="0"/>
          <w:numId w:val="0"/>
        </w:numPr>
        <w:spacing w:line="460" w:lineRule="exact"/>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cs="宋体"/>
          <w:b/>
          <w:bCs/>
          <w:color w:val="auto"/>
          <w:kern w:val="0"/>
          <w:sz w:val="21"/>
          <w:szCs w:val="21"/>
          <w:highlight w:val="none"/>
          <w:shd w:val="clear" w:color="auto" w:fill="FFFFFF"/>
          <w:lang w:val="en-US" w:eastAsia="zh-CN" w:bidi="ar-SA"/>
        </w:rPr>
        <w:t>四</w:t>
      </w:r>
      <w:r>
        <w:rPr>
          <w:rFonts w:hint="eastAsia" w:ascii="宋体" w:hAnsi="宋体" w:eastAsia="宋体" w:cs="宋体"/>
          <w:b/>
          <w:bCs/>
          <w:kern w:val="2"/>
          <w:sz w:val="21"/>
          <w:szCs w:val="21"/>
          <w:highlight w:val="none"/>
          <w:lang w:val="en-US" w:eastAsia="zh-CN" w:bidi="ar-SA"/>
        </w:rPr>
        <w:t>、详细</w:t>
      </w:r>
      <w:r>
        <w:rPr>
          <w:rFonts w:hint="eastAsia" w:ascii="宋体" w:hAnsi="宋体" w:eastAsia="宋体" w:cs="宋体"/>
          <w:b/>
          <w:bCs/>
          <w:color w:val="auto"/>
          <w:kern w:val="0"/>
          <w:sz w:val="21"/>
          <w:szCs w:val="21"/>
          <w:highlight w:val="none"/>
          <w:shd w:val="clear" w:color="auto" w:fill="FFFFFF"/>
          <w:lang w:val="en-US" w:eastAsia="zh-CN" w:bidi="ar-SA"/>
        </w:rPr>
        <w:t>技术参数及产品资料等：</w:t>
      </w:r>
    </w:p>
    <w:bookmarkEnd w:id="6"/>
    <w:bookmarkEnd w:id="7"/>
    <w:p>
      <w:pPr>
        <w:pStyle w:val="21"/>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b/>
          <w:bCs/>
          <w:sz w:val="32"/>
          <w:szCs w:val="32"/>
          <w:lang w:val="en-US" w:eastAsia="zh-CN"/>
        </w:rPr>
      </w:pPr>
      <w:r>
        <w:rPr>
          <w:rFonts w:hint="eastAsia"/>
          <w:b/>
          <w:bCs/>
          <w:sz w:val="32"/>
          <w:szCs w:val="32"/>
          <w:lang w:val="en-US" w:eastAsia="zh-CN"/>
        </w:rPr>
        <w:t>（一）技术参数</w:t>
      </w:r>
    </w:p>
    <w:p>
      <w:pPr>
        <w:jc w:val="center"/>
        <w:rPr>
          <w:rFonts w:ascii="宋体" w:hAnsi="宋体" w:eastAsia="宋体"/>
          <w:b/>
          <w:sz w:val="44"/>
          <w:szCs w:val="44"/>
        </w:rPr>
      </w:pPr>
      <w:r>
        <w:rPr>
          <w:rFonts w:hint="eastAsia" w:ascii="宋体" w:hAnsi="宋体" w:eastAsia="宋体"/>
          <w:b/>
          <w:sz w:val="28"/>
          <w:szCs w:val="28"/>
        </w:rPr>
        <w:t>遥测监护系统</w:t>
      </w:r>
      <w:r>
        <w:rPr>
          <w:rFonts w:hint="eastAsia" w:ascii="宋体" w:hAnsi="宋体" w:eastAsia="宋体"/>
          <w:b/>
          <w:sz w:val="28"/>
          <w:szCs w:val="28"/>
          <w:lang w:eastAsia="zh-CN"/>
        </w:rPr>
        <w:t>技术</w:t>
      </w:r>
      <w:r>
        <w:rPr>
          <w:rFonts w:hint="eastAsia" w:ascii="宋体" w:hAnsi="宋体" w:eastAsia="宋体"/>
          <w:b/>
          <w:sz w:val="28"/>
          <w:szCs w:val="28"/>
        </w:rPr>
        <w:t>参数</w:t>
      </w:r>
    </w:p>
    <w:p>
      <w:pPr>
        <w:pStyle w:val="8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360" w:leftChars="0" w:hanging="360" w:firstLineChars="0"/>
        <w:textAlignment w:val="auto"/>
        <w:rPr>
          <w:rFonts w:ascii="宋体" w:hAnsi="宋体" w:eastAsia="宋体"/>
          <w:b/>
          <w:sz w:val="21"/>
          <w:szCs w:val="21"/>
        </w:rPr>
      </w:pPr>
      <w:r>
        <w:rPr>
          <w:rFonts w:hint="default" w:ascii="宋体" w:hAnsi="宋体" w:eastAsia="宋体" w:cs="Times New Roman"/>
          <w:b/>
          <w:kern w:val="2"/>
          <w:sz w:val="21"/>
          <w:szCs w:val="21"/>
          <w:lang w:val="en-US" w:eastAsia="zh-CN" w:bidi="ar-SA"/>
        </w:rPr>
        <w:t>1.</w:t>
      </w:r>
      <w:r>
        <w:rPr>
          <w:rFonts w:hint="eastAsia" w:ascii="宋体" w:hAnsi="宋体" w:eastAsia="宋体"/>
          <w:b/>
          <w:sz w:val="21"/>
          <w:szCs w:val="21"/>
        </w:rPr>
        <w:t>整机要求</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rPr>
      </w:pPr>
      <w:r>
        <w:rPr>
          <w:rFonts w:hint="default" w:ascii="宋体" w:hAnsi="宋体" w:eastAsia="宋体" w:cs="Times New Roman"/>
          <w:kern w:val="2"/>
          <w:sz w:val="21"/>
          <w:szCs w:val="21"/>
          <w:lang w:val="en-US" w:eastAsia="zh-CN" w:bidi="ar-SA"/>
        </w:rPr>
        <w:t>1.1</w:t>
      </w:r>
      <w:r>
        <w:rPr>
          <w:rFonts w:hint="eastAsia" w:ascii="宋体" w:hAnsi="宋体" w:eastAsia="宋体"/>
          <w:sz w:val="21"/>
          <w:szCs w:val="21"/>
        </w:rPr>
        <w:t>遥测发射盒重量不超过</w:t>
      </w:r>
      <w:r>
        <w:rPr>
          <w:rFonts w:ascii="宋体" w:hAnsi="宋体" w:eastAsia="宋体"/>
          <w:sz w:val="21"/>
          <w:szCs w:val="21"/>
        </w:rPr>
        <w:t>170</w:t>
      </w:r>
      <w:r>
        <w:rPr>
          <w:rFonts w:hint="eastAsia" w:ascii="宋体" w:hAnsi="宋体" w:eastAsia="宋体"/>
          <w:sz w:val="21"/>
          <w:szCs w:val="21"/>
        </w:rPr>
        <w:t>克（含电池）。</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rPr>
      </w:pPr>
      <w:r>
        <w:rPr>
          <w:rFonts w:hint="default" w:ascii="宋体" w:hAnsi="宋体" w:eastAsia="宋体" w:cs="Times New Roman"/>
          <w:kern w:val="2"/>
          <w:sz w:val="21"/>
          <w:szCs w:val="21"/>
          <w:lang w:val="en-US" w:eastAsia="zh-CN" w:bidi="ar-SA"/>
        </w:rPr>
        <w:t>1.2</w:t>
      </w:r>
      <w:r>
        <w:rPr>
          <w:rFonts w:hint="eastAsia" w:ascii="宋体" w:hAnsi="宋体" w:eastAsia="宋体"/>
          <w:sz w:val="21"/>
          <w:szCs w:val="21"/>
        </w:rPr>
        <w:t>遥测发射盒防水等级符合IPX</w:t>
      </w:r>
      <w:r>
        <w:rPr>
          <w:rFonts w:ascii="宋体" w:hAnsi="宋体" w:eastAsia="宋体"/>
          <w:sz w:val="21"/>
          <w:szCs w:val="21"/>
        </w:rPr>
        <w:t>7要求</w:t>
      </w:r>
      <w:r>
        <w:rPr>
          <w:rFonts w:hint="eastAsia" w:ascii="宋体" w:hAnsi="宋体" w:eastAsia="宋体"/>
          <w:sz w:val="21"/>
          <w:szCs w:val="21"/>
        </w:rPr>
        <w:t>，抗跌落测试通过1.</w:t>
      </w:r>
      <w:r>
        <w:rPr>
          <w:rFonts w:ascii="宋体" w:hAnsi="宋体" w:eastAsia="宋体"/>
          <w:sz w:val="21"/>
          <w:szCs w:val="21"/>
        </w:rPr>
        <w:t>5米跌落测试</w:t>
      </w:r>
      <w:r>
        <w:rPr>
          <w:rFonts w:hint="eastAsia" w:ascii="宋体" w:hAnsi="宋体" w:eastAsia="宋体"/>
          <w:sz w:val="21"/>
          <w:szCs w:val="21"/>
        </w:rPr>
        <w:t>，电击防护等级CF（包括ECG、SpO</w:t>
      </w:r>
      <w:r>
        <w:rPr>
          <w:rFonts w:ascii="宋体" w:hAnsi="宋体" w:eastAsia="宋体"/>
          <w:sz w:val="21"/>
          <w:szCs w:val="21"/>
        </w:rPr>
        <w:t>2</w:t>
      </w:r>
      <w:r>
        <w:rPr>
          <w:rFonts w:hint="eastAsia" w:ascii="宋体" w:hAnsi="宋体" w:eastAsia="宋体"/>
          <w:sz w:val="21"/>
          <w:szCs w:val="21"/>
        </w:rPr>
        <w:t>）。</w:t>
      </w:r>
      <w:r>
        <w:rPr>
          <w:rFonts w:ascii="宋体" w:hAnsi="宋体" w:eastAsia="宋体"/>
          <w:sz w:val="21"/>
          <w:szCs w:val="21"/>
        </w:rPr>
        <w:t xml:space="preserve"> </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highlight w:val="none"/>
        </w:rPr>
      </w:pPr>
      <w:r>
        <w:rPr>
          <w:rFonts w:hint="default" w:ascii="宋体" w:hAnsi="宋体" w:eastAsia="宋体" w:cs="Times New Roman"/>
          <w:kern w:val="2"/>
          <w:sz w:val="21"/>
          <w:szCs w:val="21"/>
          <w:lang w:val="en-US" w:eastAsia="zh-CN" w:bidi="ar-SA"/>
        </w:rPr>
        <w:t>1.3</w:t>
      </w:r>
      <w:r>
        <w:rPr>
          <w:rFonts w:hint="eastAsia" w:ascii="宋体" w:hAnsi="宋体" w:eastAsia="宋体"/>
          <w:sz w:val="21"/>
          <w:szCs w:val="21"/>
        </w:rPr>
        <w:t>遥测发射盒</w:t>
      </w:r>
      <w:r>
        <w:rPr>
          <w:rFonts w:ascii="宋体" w:hAnsi="宋体" w:eastAsia="宋体"/>
          <w:sz w:val="21"/>
          <w:szCs w:val="21"/>
        </w:rPr>
        <w:t>采用彩色屏，屏幕尺寸</w:t>
      </w:r>
      <w:r>
        <w:rPr>
          <w:rFonts w:hint="eastAsia" w:ascii="宋体" w:hAnsi="宋体" w:eastAsia="宋体"/>
          <w:sz w:val="21"/>
          <w:szCs w:val="21"/>
        </w:rPr>
        <w:t>≥1.5</w:t>
      </w:r>
      <w:r>
        <w:rPr>
          <w:rFonts w:ascii="宋体" w:hAnsi="宋体" w:eastAsia="宋体"/>
          <w:sz w:val="21"/>
          <w:szCs w:val="21"/>
        </w:rPr>
        <w:t>英寸</w:t>
      </w:r>
      <w:r>
        <w:rPr>
          <w:rFonts w:hint="eastAsia" w:ascii="宋体" w:hAnsi="宋体" w:eastAsia="宋体"/>
          <w:sz w:val="21"/>
          <w:szCs w:val="21"/>
        </w:rPr>
        <w:t>，屏幕分辨率≥</w:t>
      </w:r>
      <w:r>
        <w:rPr>
          <w:rFonts w:ascii="宋体" w:hAnsi="宋体" w:eastAsia="宋体"/>
          <w:sz w:val="21"/>
          <w:szCs w:val="21"/>
        </w:rPr>
        <w:t>240 x 240像素</w:t>
      </w:r>
      <w:r>
        <w:rPr>
          <w:rFonts w:hint="eastAsia" w:ascii="宋体" w:hAnsi="宋体" w:eastAsia="宋体"/>
          <w:sz w:val="21"/>
          <w:szCs w:val="21"/>
        </w:rPr>
        <w:t>，</w:t>
      </w:r>
      <w:r>
        <w:rPr>
          <w:rFonts w:hint="eastAsia" w:ascii="宋体" w:hAnsi="宋体" w:eastAsia="宋体"/>
          <w:sz w:val="21"/>
          <w:szCs w:val="21"/>
          <w:highlight w:val="none"/>
        </w:rPr>
        <w:t>提供彩页或说明书证明文件。</w:t>
      </w:r>
    </w:p>
    <w:p>
      <w:pPr>
        <w:pStyle w:val="8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360" w:leftChars="0" w:hanging="360" w:firstLineChars="0"/>
        <w:textAlignment w:val="auto"/>
        <w:rPr>
          <w:rFonts w:ascii="宋体" w:hAnsi="宋体" w:eastAsia="宋体"/>
          <w:b/>
          <w:sz w:val="21"/>
          <w:szCs w:val="21"/>
          <w:highlight w:val="none"/>
        </w:rPr>
      </w:pPr>
      <w:r>
        <w:rPr>
          <w:rFonts w:hint="default" w:ascii="宋体" w:hAnsi="宋体" w:eastAsia="宋体" w:cs="Times New Roman"/>
          <w:b/>
          <w:kern w:val="2"/>
          <w:sz w:val="21"/>
          <w:szCs w:val="21"/>
          <w:lang w:val="en-US" w:eastAsia="zh-CN" w:bidi="ar-SA"/>
        </w:rPr>
        <w:t>2.</w:t>
      </w:r>
      <w:r>
        <w:rPr>
          <w:rFonts w:hint="eastAsia" w:ascii="宋体" w:hAnsi="宋体" w:eastAsia="宋体"/>
          <w:b/>
          <w:sz w:val="21"/>
          <w:szCs w:val="21"/>
          <w:highlight w:val="none"/>
        </w:rPr>
        <w:t>监测参数</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highlight w:val="none"/>
        </w:rPr>
      </w:pPr>
      <w:r>
        <w:rPr>
          <w:rFonts w:hint="default" w:ascii="宋体" w:hAnsi="宋体" w:eastAsia="宋体" w:cs="Times New Roman"/>
          <w:kern w:val="2"/>
          <w:sz w:val="21"/>
          <w:szCs w:val="21"/>
          <w:lang w:val="en-US" w:eastAsia="zh-CN" w:bidi="ar-SA"/>
        </w:rPr>
        <w:t>2.1</w:t>
      </w:r>
      <w:r>
        <w:rPr>
          <w:rFonts w:hint="eastAsia" w:ascii="宋体" w:hAnsi="宋体" w:eastAsia="宋体"/>
          <w:sz w:val="21"/>
          <w:szCs w:val="21"/>
          <w:highlight w:val="none"/>
        </w:rPr>
        <w:t>标配心电监护，提供HR，ST，PVC测量值，提供</w:t>
      </w:r>
      <w:r>
        <w:rPr>
          <w:rFonts w:ascii="宋体" w:hAnsi="宋体" w:eastAsia="宋体"/>
          <w:sz w:val="21"/>
          <w:szCs w:val="21"/>
          <w:highlight w:val="none"/>
        </w:rPr>
        <w:t>PR，测量值</w:t>
      </w:r>
      <w:r>
        <w:rPr>
          <w:rFonts w:hint="eastAsia" w:ascii="宋体" w:hAnsi="宋体" w:eastAsia="宋体"/>
          <w:sz w:val="21"/>
          <w:szCs w:val="21"/>
          <w:highlight w:val="none"/>
        </w:rPr>
        <w:t>（ST，PVC在中央站上显示）。</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highlight w:val="none"/>
        </w:rPr>
      </w:pPr>
      <w:r>
        <w:rPr>
          <w:rFonts w:hint="default" w:ascii="宋体" w:hAnsi="宋体" w:eastAsia="宋体" w:cs="Times New Roman"/>
          <w:kern w:val="2"/>
          <w:sz w:val="21"/>
          <w:szCs w:val="21"/>
          <w:lang w:val="en-US" w:eastAsia="zh-CN" w:bidi="ar-SA"/>
        </w:rPr>
        <w:t>2.2</w:t>
      </w:r>
      <w:r>
        <w:rPr>
          <w:rFonts w:hint="eastAsia" w:ascii="宋体" w:hAnsi="宋体" w:eastAsia="宋体"/>
          <w:sz w:val="21"/>
          <w:szCs w:val="21"/>
          <w:highlight w:val="none"/>
        </w:rPr>
        <w:t>具有多参融合算法，良好的抗干扰性能。</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highlight w:val="none"/>
        </w:rPr>
      </w:pPr>
      <w:r>
        <w:rPr>
          <w:rFonts w:hint="default" w:ascii="宋体" w:hAnsi="宋体" w:eastAsia="宋体" w:cs="Times New Roman"/>
          <w:kern w:val="2"/>
          <w:sz w:val="21"/>
          <w:szCs w:val="21"/>
          <w:lang w:val="en-US" w:eastAsia="zh-CN" w:bidi="ar-SA"/>
        </w:rPr>
        <w:t>2.3</w:t>
      </w:r>
      <w:r>
        <w:rPr>
          <w:rFonts w:hint="eastAsia" w:ascii="宋体" w:hAnsi="宋体" w:eastAsia="宋体"/>
          <w:sz w:val="21"/>
          <w:szCs w:val="21"/>
          <w:highlight w:val="none"/>
        </w:rPr>
        <w:t>支持≥</w:t>
      </w:r>
      <w:r>
        <w:rPr>
          <w:rFonts w:ascii="宋体" w:hAnsi="宋体" w:eastAsia="宋体"/>
          <w:sz w:val="21"/>
          <w:szCs w:val="21"/>
          <w:highlight w:val="none"/>
        </w:rPr>
        <w:t>3</w:t>
      </w:r>
      <w:r>
        <w:rPr>
          <w:rFonts w:hint="eastAsia" w:ascii="宋体" w:hAnsi="宋体" w:eastAsia="宋体"/>
          <w:sz w:val="21"/>
          <w:szCs w:val="21"/>
          <w:highlight w:val="none"/>
        </w:rPr>
        <w:t>通道心电波形同步分析，可进行多导心电分析，提供产品界面、说明书等证明材料。</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highlight w:val="none"/>
        </w:rPr>
      </w:pPr>
      <w:r>
        <w:rPr>
          <w:rFonts w:hint="default" w:ascii="宋体" w:hAnsi="宋体" w:eastAsia="宋体" w:cs="Times New Roman"/>
          <w:kern w:val="2"/>
          <w:sz w:val="21"/>
          <w:szCs w:val="21"/>
          <w:lang w:val="en-US" w:eastAsia="zh-CN" w:bidi="ar-SA"/>
        </w:rPr>
        <w:t>2.4</w:t>
      </w:r>
      <w:r>
        <w:rPr>
          <w:rFonts w:hint="eastAsia" w:ascii="宋体" w:hAnsi="宋体" w:eastAsia="宋体"/>
          <w:sz w:val="21"/>
          <w:szCs w:val="21"/>
          <w:highlight w:val="none"/>
        </w:rPr>
        <w:t>具有抗运动算法，良好的抗干扰性，提供彩页或说明书等证明文件。</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highlight w:val="none"/>
        </w:rPr>
      </w:pPr>
      <w:r>
        <w:rPr>
          <w:rFonts w:hint="default" w:ascii="宋体" w:hAnsi="宋体" w:eastAsia="宋体" w:cs="Times New Roman"/>
          <w:kern w:val="2"/>
          <w:sz w:val="21"/>
          <w:szCs w:val="21"/>
          <w:lang w:val="en-US" w:eastAsia="zh-CN" w:bidi="ar-SA"/>
        </w:rPr>
        <w:t>2.5</w:t>
      </w:r>
      <w:r>
        <w:rPr>
          <w:rFonts w:hint="eastAsia" w:ascii="宋体" w:hAnsi="宋体" w:eastAsia="宋体"/>
          <w:sz w:val="21"/>
          <w:szCs w:val="21"/>
          <w:highlight w:val="none"/>
        </w:rPr>
        <w:t>提供ST段分析，提供ST值，和每个ST的模板。（中央站上显示）</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highlight w:val="none"/>
        </w:rPr>
      </w:pPr>
      <w:r>
        <w:rPr>
          <w:rFonts w:hint="default" w:ascii="宋体" w:hAnsi="宋体" w:eastAsia="宋体" w:cs="Times New Roman"/>
          <w:kern w:val="2"/>
          <w:sz w:val="21"/>
          <w:szCs w:val="21"/>
          <w:lang w:val="en-US" w:eastAsia="zh-CN" w:bidi="ar-SA"/>
        </w:rPr>
        <w:t>2.6</w:t>
      </w:r>
      <w:r>
        <w:rPr>
          <w:rFonts w:ascii="宋体" w:hAnsi="宋体" w:eastAsia="宋体"/>
          <w:sz w:val="21"/>
          <w:szCs w:val="21"/>
          <w:highlight w:val="none"/>
        </w:rPr>
        <w:t>提供ST</w:t>
      </w:r>
      <w:r>
        <w:rPr>
          <w:rFonts w:hint="eastAsia" w:ascii="宋体" w:hAnsi="宋体" w:eastAsia="宋体"/>
          <w:sz w:val="21"/>
          <w:szCs w:val="21"/>
          <w:highlight w:val="none"/>
        </w:rPr>
        <w:t>图像化显示界面</w:t>
      </w:r>
      <w:r>
        <w:rPr>
          <w:rFonts w:ascii="宋体" w:hAnsi="宋体" w:eastAsia="宋体"/>
          <w:sz w:val="21"/>
          <w:szCs w:val="21"/>
          <w:highlight w:val="none"/>
        </w:rPr>
        <w:t>，可以快速查看ST值的变化。（中央站上显示）</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4" w:leftChars="0" w:hanging="374" w:firstLineChars="0"/>
        <w:textAlignment w:val="auto"/>
        <w:rPr>
          <w:rFonts w:ascii="宋体" w:hAnsi="宋体" w:eastAsia="宋体"/>
          <w:sz w:val="21"/>
          <w:szCs w:val="21"/>
          <w:highlight w:val="none"/>
        </w:rPr>
      </w:pPr>
      <w:r>
        <w:rPr>
          <w:rFonts w:hint="default" w:ascii="宋体" w:hAnsi="宋体" w:eastAsia="宋体" w:cs="Times New Roman"/>
          <w:kern w:val="2"/>
          <w:sz w:val="21"/>
          <w:szCs w:val="21"/>
          <w:lang w:val="en-US" w:eastAsia="zh-CN" w:bidi="ar-SA"/>
        </w:rPr>
        <w:t>2.7</w:t>
      </w:r>
      <w:r>
        <w:rPr>
          <w:rFonts w:ascii="宋体" w:hAnsi="宋体" w:eastAsia="宋体"/>
          <w:sz w:val="21"/>
          <w:szCs w:val="21"/>
          <w:highlight w:val="none"/>
        </w:rPr>
        <w:t>具有</w:t>
      </w:r>
      <w:r>
        <w:rPr>
          <w:rFonts w:hint="eastAsia" w:ascii="宋体" w:hAnsi="宋体" w:eastAsia="宋体"/>
          <w:sz w:val="21"/>
          <w:szCs w:val="21"/>
          <w:highlight w:val="none"/>
        </w:rPr>
        <w:t>QT/QTc测量功能，提供QT，QTc和ΔQTc参数值。（中央站上显示）</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4" w:leftChars="0" w:hanging="374" w:firstLineChars="0"/>
        <w:textAlignment w:val="auto"/>
        <w:rPr>
          <w:rFonts w:ascii="宋体" w:hAnsi="宋体" w:eastAsia="宋体"/>
          <w:sz w:val="21"/>
          <w:szCs w:val="21"/>
          <w:highlight w:val="none"/>
        </w:rPr>
      </w:pPr>
      <w:r>
        <w:rPr>
          <w:rFonts w:hint="default" w:ascii="宋体" w:hAnsi="宋体" w:eastAsia="宋体" w:cs="Times New Roman"/>
          <w:kern w:val="2"/>
          <w:sz w:val="21"/>
          <w:szCs w:val="21"/>
          <w:lang w:val="en-US" w:eastAsia="zh-CN" w:bidi="ar-SA"/>
        </w:rPr>
        <w:t>2.8</w:t>
      </w:r>
      <w:r>
        <w:rPr>
          <w:rFonts w:hint="eastAsia" w:ascii="宋体" w:hAnsi="宋体" w:eastAsia="宋体"/>
          <w:sz w:val="21"/>
          <w:szCs w:val="21"/>
          <w:highlight w:val="none"/>
        </w:rPr>
        <w:t>支持房颤及室上性心律失常分析功能，如：室上性心动过速，SVCs</w:t>
      </w:r>
      <w:r>
        <w:rPr>
          <w:rFonts w:ascii="宋体" w:hAnsi="宋体" w:eastAsia="宋体"/>
          <w:sz w:val="21"/>
          <w:szCs w:val="21"/>
          <w:highlight w:val="none"/>
        </w:rPr>
        <w:t>/</w:t>
      </w:r>
      <w:r>
        <w:rPr>
          <w:rFonts w:hint="eastAsia" w:ascii="宋体" w:hAnsi="宋体" w:eastAsia="宋体"/>
          <w:sz w:val="21"/>
          <w:szCs w:val="21"/>
          <w:highlight w:val="none"/>
        </w:rPr>
        <w:t>min等，标配支持≥2</w:t>
      </w:r>
      <w:r>
        <w:rPr>
          <w:rFonts w:ascii="宋体" w:hAnsi="宋体" w:eastAsia="宋体"/>
          <w:sz w:val="21"/>
          <w:szCs w:val="21"/>
          <w:highlight w:val="none"/>
        </w:rPr>
        <w:t>7</w:t>
      </w:r>
      <w:r>
        <w:rPr>
          <w:rFonts w:hint="eastAsia" w:ascii="宋体" w:hAnsi="宋体" w:eastAsia="宋体"/>
          <w:sz w:val="21"/>
          <w:szCs w:val="21"/>
          <w:highlight w:val="none"/>
        </w:rPr>
        <w:t>种实时心律失常分析，提供彩页或说明书等证明文件。</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4" w:leftChars="0" w:hanging="374" w:firstLineChars="0"/>
        <w:textAlignment w:val="auto"/>
        <w:rPr>
          <w:rFonts w:ascii="宋体" w:hAnsi="宋体" w:eastAsia="宋体"/>
          <w:sz w:val="21"/>
          <w:szCs w:val="21"/>
        </w:rPr>
      </w:pPr>
      <w:r>
        <w:rPr>
          <w:rFonts w:hint="default" w:ascii="宋体" w:hAnsi="宋体" w:eastAsia="宋体" w:cs="Times New Roman"/>
          <w:kern w:val="2"/>
          <w:sz w:val="21"/>
          <w:szCs w:val="21"/>
          <w:lang w:val="en-US" w:eastAsia="zh-CN" w:bidi="ar-SA"/>
        </w:rPr>
        <w:t>2.9</w:t>
      </w:r>
      <w:r>
        <w:rPr>
          <w:rFonts w:ascii="宋体" w:hAnsi="宋体" w:eastAsia="宋体"/>
          <w:sz w:val="21"/>
          <w:szCs w:val="21"/>
        </w:rPr>
        <w:t>可显示弱灌注指数（PI）。</w:t>
      </w:r>
    </w:p>
    <w:p>
      <w:pPr>
        <w:pStyle w:val="8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360" w:leftChars="0" w:hanging="360" w:firstLineChars="0"/>
        <w:textAlignment w:val="auto"/>
        <w:rPr>
          <w:rFonts w:ascii="宋体" w:hAnsi="宋体" w:eastAsia="宋体"/>
          <w:b/>
          <w:sz w:val="21"/>
          <w:szCs w:val="21"/>
        </w:rPr>
      </w:pPr>
      <w:r>
        <w:rPr>
          <w:rFonts w:hint="default" w:ascii="宋体" w:hAnsi="宋体" w:eastAsia="宋体" w:cs="Times New Roman"/>
          <w:b/>
          <w:kern w:val="2"/>
          <w:sz w:val="21"/>
          <w:szCs w:val="21"/>
          <w:lang w:val="en-US" w:eastAsia="zh-CN" w:bidi="ar-SA"/>
        </w:rPr>
        <w:t>3.</w:t>
      </w:r>
      <w:r>
        <w:rPr>
          <w:rFonts w:hint="eastAsia" w:ascii="宋体" w:hAnsi="宋体" w:eastAsia="宋体"/>
          <w:b/>
          <w:sz w:val="21"/>
          <w:szCs w:val="21"/>
        </w:rPr>
        <w:t>系统功能</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rPr>
      </w:pPr>
      <w:r>
        <w:rPr>
          <w:rFonts w:hint="default" w:ascii="宋体" w:hAnsi="宋体" w:eastAsia="宋体" w:cs="Times New Roman"/>
          <w:kern w:val="2"/>
          <w:sz w:val="21"/>
          <w:szCs w:val="21"/>
          <w:lang w:val="en-US" w:eastAsia="zh-CN" w:bidi="ar-SA"/>
        </w:rPr>
        <w:t>3.1</w:t>
      </w:r>
      <w:r>
        <w:rPr>
          <w:rFonts w:hint="eastAsia" w:ascii="宋体" w:hAnsi="宋体" w:eastAsia="宋体"/>
          <w:sz w:val="21"/>
          <w:szCs w:val="21"/>
        </w:rPr>
        <w:t>遥测发射盒有</w:t>
      </w:r>
      <w:r>
        <w:rPr>
          <w:rFonts w:hint="default" w:ascii="Arial" w:hAnsi="Arial" w:eastAsia="宋体" w:cs="Arial"/>
          <w:sz w:val="21"/>
          <w:szCs w:val="21"/>
        </w:rPr>
        <w:t>≥</w:t>
      </w:r>
      <w:r>
        <w:rPr>
          <w:rFonts w:ascii="宋体" w:hAnsi="宋体" w:eastAsia="宋体"/>
          <w:sz w:val="21"/>
          <w:szCs w:val="21"/>
        </w:rPr>
        <w:t>三个按键</w:t>
      </w:r>
      <w:r>
        <w:rPr>
          <w:rFonts w:hint="eastAsia" w:ascii="宋体" w:hAnsi="宋体" w:eastAsia="宋体"/>
          <w:sz w:val="21"/>
          <w:szCs w:val="21"/>
        </w:rPr>
        <w:t>：</w:t>
      </w:r>
      <w:r>
        <w:rPr>
          <w:rFonts w:hint="eastAsia" w:ascii="宋体" w:hAnsi="宋体" w:eastAsia="宋体"/>
          <w:sz w:val="21"/>
          <w:szCs w:val="21"/>
          <w:lang w:eastAsia="zh-CN"/>
        </w:rPr>
        <w:t>具备</w:t>
      </w:r>
      <w:r>
        <w:rPr>
          <w:rFonts w:ascii="宋体" w:hAnsi="宋体" w:eastAsia="宋体"/>
          <w:sz w:val="21"/>
          <w:szCs w:val="21"/>
        </w:rPr>
        <w:t>开关机</w:t>
      </w:r>
      <w:r>
        <w:rPr>
          <w:rFonts w:hint="eastAsia" w:ascii="宋体" w:hAnsi="宋体" w:eastAsia="宋体"/>
          <w:sz w:val="21"/>
          <w:szCs w:val="21"/>
        </w:rPr>
        <w:t>/关屏，护士呼叫和主界面</w:t>
      </w:r>
      <w:r>
        <w:rPr>
          <w:rFonts w:hint="eastAsia" w:ascii="宋体" w:hAnsi="宋体" w:eastAsia="宋体"/>
          <w:sz w:val="21"/>
          <w:szCs w:val="21"/>
          <w:lang w:eastAsia="zh-CN"/>
        </w:rPr>
        <w:t>等</w:t>
      </w:r>
      <w:r>
        <w:rPr>
          <w:rFonts w:hint="eastAsia" w:ascii="宋体" w:hAnsi="宋体" w:eastAsia="宋体"/>
          <w:sz w:val="21"/>
          <w:szCs w:val="21"/>
        </w:rPr>
        <w:t>键</w:t>
      </w:r>
      <w:r>
        <w:rPr>
          <w:rFonts w:ascii="宋体" w:hAnsi="宋体" w:eastAsia="宋体"/>
          <w:sz w:val="21"/>
          <w:szCs w:val="21"/>
        </w:rPr>
        <w:t>。</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rPr>
      </w:pPr>
      <w:r>
        <w:rPr>
          <w:rFonts w:hint="default" w:ascii="宋体" w:hAnsi="宋体" w:eastAsia="宋体" w:cs="Times New Roman"/>
          <w:kern w:val="2"/>
          <w:sz w:val="21"/>
          <w:szCs w:val="21"/>
          <w:lang w:val="en-US" w:eastAsia="zh-CN" w:bidi="ar-SA"/>
        </w:rPr>
        <w:t>3.2</w:t>
      </w:r>
      <w:r>
        <w:rPr>
          <w:rFonts w:hint="eastAsia" w:ascii="宋体" w:hAnsi="宋体" w:eastAsia="宋体"/>
          <w:sz w:val="21"/>
          <w:szCs w:val="21"/>
        </w:rPr>
        <w:t>支持设备实时定位和设备历史位置追踪功能。</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rPr>
      </w:pPr>
      <w:r>
        <w:rPr>
          <w:rFonts w:hint="default" w:ascii="宋体" w:hAnsi="宋体" w:eastAsia="宋体" w:cs="Times New Roman"/>
          <w:kern w:val="2"/>
          <w:sz w:val="21"/>
          <w:szCs w:val="21"/>
          <w:lang w:val="en-US" w:eastAsia="zh-CN" w:bidi="ar-SA"/>
        </w:rPr>
        <w:t>3.3</w:t>
      </w:r>
      <w:r>
        <w:rPr>
          <w:rFonts w:hint="eastAsia" w:ascii="宋体" w:hAnsi="宋体" w:eastAsia="宋体"/>
          <w:sz w:val="21"/>
          <w:szCs w:val="21"/>
        </w:rPr>
        <w:t>支持给患者发送消息。</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rPr>
      </w:pPr>
      <w:r>
        <w:rPr>
          <w:rFonts w:hint="default" w:ascii="宋体" w:hAnsi="宋体" w:eastAsia="宋体" w:cs="Times New Roman"/>
          <w:kern w:val="2"/>
          <w:sz w:val="21"/>
          <w:szCs w:val="21"/>
          <w:lang w:val="en-US" w:eastAsia="zh-CN" w:bidi="ar-SA"/>
        </w:rPr>
        <w:t>3.4</w:t>
      </w:r>
      <w:r>
        <w:rPr>
          <w:rFonts w:hint="eastAsia" w:ascii="宋体" w:hAnsi="宋体" w:eastAsia="宋体"/>
          <w:sz w:val="21"/>
          <w:szCs w:val="21"/>
        </w:rPr>
        <w:t>可以采用可充电电池供电。</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rPr>
      </w:pPr>
      <w:r>
        <w:rPr>
          <w:rFonts w:hint="default" w:ascii="宋体" w:hAnsi="宋体" w:eastAsia="宋体" w:cs="Times New Roman"/>
          <w:kern w:val="2"/>
          <w:sz w:val="21"/>
          <w:szCs w:val="21"/>
          <w:lang w:val="en-US" w:eastAsia="zh-CN" w:bidi="ar-SA"/>
        </w:rPr>
        <w:t>3.5</w:t>
      </w:r>
      <w:r>
        <w:rPr>
          <w:rFonts w:hint="eastAsia" w:ascii="宋体" w:hAnsi="宋体" w:eastAsia="宋体"/>
          <w:sz w:val="21"/>
          <w:szCs w:val="21"/>
        </w:rPr>
        <w:t>采</w:t>
      </w:r>
      <w:r>
        <w:rPr>
          <w:rFonts w:ascii="宋体" w:hAnsi="宋体" w:eastAsia="宋体"/>
          <w:sz w:val="21"/>
          <w:szCs w:val="21"/>
        </w:rPr>
        <w:t>用</w:t>
      </w:r>
      <w:r>
        <w:rPr>
          <w:rFonts w:hint="eastAsia" w:ascii="宋体" w:hAnsi="宋体" w:eastAsia="宋体"/>
          <w:sz w:val="21"/>
          <w:szCs w:val="21"/>
        </w:rPr>
        <w:t>6</w:t>
      </w:r>
      <w:r>
        <w:rPr>
          <w:rFonts w:ascii="宋体" w:hAnsi="宋体" w:eastAsia="宋体"/>
          <w:sz w:val="21"/>
          <w:szCs w:val="21"/>
        </w:rPr>
        <w:t>08M WMTS</w:t>
      </w:r>
      <w:r>
        <w:rPr>
          <w:rFonts w:hint="eastAsia" w:ascii="宋体" w:hAnsi="宋体" w:eastAsia="宋体"/>
          <w:sz w:val="21"/>
          <w:szCs w:val="21"/>
        </w:rPr>
        <w:t>无线网络传输</w:t>
      </w:r>
      <w:r>
        <w:rPr>
          <w:rFonts w:ascii="宋体" w:hAnsi="宋体" w:eastAsia="宋体"/>
          <w:sz w:val="21"/>
          <w:szCs w:val="21"/>
        </w:rPr>
        <w:t>技术，实现遥测数据的传输</w:t>
      </w:r>
      <w:r>
        <w:rPr>
          <w:rFonts w:hint="eastAsia" w:ascii="宋体" w:hAnsi="宋体" w:eastAsia="宋体"/>
          <w:sz w:val="21"/>
          <w:szCs w:val="21"/>
        </w:rPr>
        <w:t>。</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rPr>
      </w:pPr>
      <w:r>
        <w:rPr>
          <w:rFonts w:hint="default" w:ascii="宋体" w:hAnsi="宋体" w:eastAsia="宋体" w:cs="Times New Roman"/>
          <w:kern w:val="2"/>
          <w:sz w:val="21"/>
          <w:szCs w:val="21"/>
          <w:lang w:val="en-US" w:eastAsia="zh-CN" w:bidi="ar-SA"/>
        </w:rPr>
        <w:t>3.6</w:t>
      </w:r>
      <w:r>
        <w:rPr>
          <w:rFonts w:hint="eastAsia" w:ascii="宋体" w:hAnsi="宋体" w:eastAsia="宋体"/>
          <w:sz w:val="21"/>
          <w:szCs w:val="21"/>
        </w:rPr>
        <w:t>所投产品通过中国国家食品药品监督管理局二类医疗器械产品注册，配合中心监护系统使用心电信号分析通过三类注册。</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hint="eastAsia" w:ascii="宋体" w:hAnsi="宋体" w:eastAsia="宋体"/>
          <w:sz w:val="21"/>
          <w:szCs w:val="21"/>
          <w:lang w:val="en-US" w:eastAsia="zh-CN"/>
        </w:rPr>
      </w:pPr>
      <w:r>
        <w:rPr>
          <w:rFonts w:hint="default" w:ascii="宋体" w:hAnsi="宋体" w:eastAsia="宋体" w:cs="Times New Roman"/>
          <w:kern w:val="2"/>
          <w:sz w:val="21"/>
          <w:szCs w:val="21"/>
          <w:lang w:val="en-US" w:eastAsia="zh-CN" w:bidi="ar-SA"/>
        </w:rPr>
        <w:t>3.7</w:t>
      </w:r>
      <w:r>
        <w:rPr>
          <w:rFonts w:hint="eastAsia" w:ascii="宋体" w:hAnsi="宋体" w:eastAsia="宋体"/>
          <w:sz w:val="21"/>
          <w:szCs w:val="21"/>
          <w:lang w:val="en-US" w:eastAsia="zh-CN"/>
        </w:rPr>
        <w:t>可以与院内现有软件对接。</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3.8 在现有中央站进行系统升级，支持连接两种不同型号的发射盒</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3.9 可升级遥测发射盒不少于32个</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hint="default" w:ascii="宋体" w:hAnsi="宋体" w:eastAsia="宋体"/>
          <w:sz w:val="21"/>
          <w:szCs w:val="21"/>
          <w:lang w:val="en-US" w:eastAsia="zh-CN"/>
        </w:rPr>
      </w:pPr>
      <w:r>
        <w:rPr>
          <w:rFonts w:hint="eastAsia" w:ascii="宋体" w:hAnsi="宋体" w:eastAsia="宋体"/>
          <w:sz w:val="21"/>
          <w:szCs w:val="21"/>
          <w:lang w:val="en-US" w:eastAsia="zh-CN"/>
        </w:rPr>
        <w:t>配置清单（包含但不限于）：接收箱主机</w:t>
      </w:r>
      <w:r>
        <w:rPr>
          <w:rFonts w:hint="default" w:ascii="Arial" w:hAnsi="Arial" w:eastAsia="宋体" w:cs="Arial"/>
          <w:sz w:val="21"/>
          <w:szCs w:val="21"/>
          <w:lang w:val="en-US" w:eastAsia="zh-CN"/>
        </w:rPr>
        <w:t>≥</w:t>
      </w:r>
      <w:r>
        <w:rPr>
          <w:rFonts w:hint="eastAsia" w:ascii="宋体" w:hAnsi="宋体" w:eastAsia="宋体"/>
          <w:sz w:val="21"/>
          <w:szCs w:val="21"/>
          <w:lang w:val="en-US" w:eastAsia="zh-CN"/>
        </w:rPr>
        <w:t>1；发射盒</w:t>
      </w:r>
      <w:r>
        <w:rPr>
          <w:rFonts w:hint="default" w:ascii="Arial" w:hAnsi="Arial" w:eastAsia="宋体" w:cs="Arial"/>
          <w:sz w:val="21"/>
          <w:szCs w:val="21"/>
          <w:lang w:val="en-US" w:eastAsia="zh-CN"/>
        </w:rPr>
        <w:t>≥</w:t>
      </w:r>
      <w:r>
        <w:rPr>
          <w:rFonts w:hint="eastAsia" w:ascii="宋体" w:hAnsi="宋体" w:eastAsia="宋体"/>
          <w:sz w:val="21"/>
          <w:szCs w:val="21"/>
          <w:lang w:val="en-US" w:eastAsia="zh-CN"/>
        </w:rPr>
        <w:t>12；发射盒电池</w:t>
      </w:r>
      <w:r>
        <w:rPr>
          <w:rFonts w:hint="default" w:ascii="Arial" w:hAnsi="Arial" w:eastAsia="宋体" w:cs="Arial"/>
          <w:sz w:val="21"/>
          <w:szCs w:val="21"/>
          <w:lang w:val="en-US" w:eastAsia="zh-CN"/>
        </w:rPr>
        <w:t>≥</w:t>
      </w:r>
      <w:r>
        <w:rPr>
          <w:rFonts w:hint="eastAsia" w:ascii="宋体" w:hAnsi="宋体" w:eastAsia="宋体"/>
          <w:sz w:val="21"/>
          <w:szCs w:val="21"/>
          <w:lang w:val="en-US" w:eastAsia="zh-CN"/>
        </w:rPr>
        <w:t>12；5导遥测导联线</w:t>
      </w:r>
      <w:r>
        <w:rPr>
          <w:rFonts w:hint="default" w:ascii="Arial" w:hAnsi="Arial" w:eastAsia="宋体" w:cs="Arial"/>
          <w:sz w:val="21"/>
          <w:szCs w:val="21"/>
          <w:lang w:val="en-US" w:eastAsia="zh-CN"/>
        </w:rPr>
        <w:t>≥</w:t>
      </w:r>
      <w:r>
        <w:rPr>
          <w:rFonts w:hint="eastAsia" w:ascii="宋体" w:hAnsi="宋体" w:eastAsia="宋体"/>
          <w:sz w:val="21"/>
          <w:szCs w:val="21"/>
          <w:lang w:val="en-US" w:eastAsia="zh-CN"/>
        </w:rPr>
        <w:t>12，心电电极片</w:t>
      </w:r>
      <w:r>
        <w:rPr>
          <w:rFonts w:hint="default" w:ascii="Arial" w:hAnsi="Arial" w:eastAsia="宋体" w:cs="Arial"/>
          <w:sz w:val="21"/>
          <w:szCs w:val="21"/>
          <w:lang w:val="en-US" w:eastAsia="zh-CN"/>
        </w:rPr>
        <w:t>≥</w:t>
      </w:r>
      <w:r>
        <w:rPr>
          <w:rFonts w:hint="eastAsia" w:ascii="宋体" w:hAnsi="宋体" w:eastAsia="宋体"/>
          <w:sz w:val="21"/>
          <w:szCs w:val="21"/>
          <w:lang w:val="en-US" w:eastAsia="zh-CN"/>
        </w:rPr>
        <w:t>12；升级中央系统设备集成软件</w:t>
      </w:r>
      <w:r>
        <w:rPr>
          <w:rFonts w:hint="default" w:ascii="Arial" w:hAnsi="Arial" w:eastAsia="宋体" w:cs="Arial"/>
          <w:sz w:val="21"/>
          <w:szCs w:val="21"/>
          <w:lang w:val="en-US" w:eastAsia="zh-CN"/>
        </w:rPr>
        <w:t>≥</w:t>
      </w:r>
      <w:r>
        <w:rPr>
          <w:rFonts w:hint="eastAsia" w:ascii="宋体" w:hAnsi="宋体" w:eastAsia="宋体"/>
          <w:sz w:val="21"/>
          <w:szCs w:val="21"/>
          <w:lang w:val="en-US" w:eastAsia="zh-CN"/>
        </w:rPr>
        <w:t>1</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hint="eastAsia" w:ascii="宋体" w:hAnsi="宋体" w:eastAsia="宋体"/>
          <w:sz w:val="24"/>
          <w:szCs w:val="24"/>
          <w:lang w:val="en-US" w:eastAsia="zh-CN"/>
        </w:rPr>
      </w:pP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hint="eastAsia" w:ascii="宋体" w:hAnsi="宋体" w:eastAsia="宋体"/>
          <w:sz w:val="24"/>
          <w:szCs w:val="24"/>
          <w:lang w:val="en-US" w:eastAsia="zh-CN"/>
        </w:rPr>
      </w:pP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hint="eastAsia" w:ascii="宋体" w:hAnsi="宋体" w:eastAsia="宋体"/>
          <w:sz w:val="24"/>
          <w:szCs w:val="24"/>
          <w:lang w:val="en-US" w:eastAsia="zh-CN"/>
        </w:rPr>
      </w:pPr>
    </w:p>
    <w:p>
      <w:pPr>
        <w:jc w:val="center"/>
        <w:rPr>
          <w:rFonts w:ascii="宋体" w:hAnsi="宋体" w:eastAsia="宋体"/>
          <w:b/>
          <w:sz w:val="28"/>
          <w:szCs w:val="28"/>
        </w:rPr>
      </w:pPr>
      <w:r>
        <w:rPr>
          <w:rFonts w:hint="eastAsia" w:ascii="宋体" w:hAnsi="宋体" w:eastAsia="宋体"/>
          <w:b/>
          <w:sz w:val="28"/>
          <w:szCs w:val="28"/>
        </w:rPr>
        <w:t>遥测监护系统</w:t>
      </w:r>
      <w:r>
        <w:rPr>
          <w:rFonts w:hint="eastAsia" w:ascii="宋体" w:hAnsi="宋体" w:eastAsia="宋体"/>
          <w:b/>
          <w:sz w:val="28"/>
          <w:szCs w:val="28"/>
          <w:lang w:eastAsia="zh-CN"/>
        </w:rPr>
        <w:t>（一拖八）技术</w:t>
      </w:r>
      <w:r>
        <w:rPr>
          <w:rFonts w:hint="eastAsia" w:ascii="宋体" w:hAnsi="宋体" w:eastAsia="宋体"/>
          <w:b/>
          <w:sz w:val="28"/>
          <w:szCs w:val="28"/>
        </w:rPr>
        <w:t>参数</w:t>
      </w:r>
    </w:p>
    <w:p>
      <w:pPr>
        <w:pStyle w:val="8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360" w:leftChars="0" w:hanging="360" w:firstLineChars="0"/>
        <w:textAlignment w:val="auto"/>
        <w:rPr>
          <w:rFonts w:ascii="宋体" w:hAnsi="宋体" w:eastAsia="宋体"/>
          <w:b/>
          <w:sz w:val="21"/>
          <w:szCs w:val="21"/>
        </w:rPr>
      </w:pPr>
      <w:r>
        <w:rPr>
          <w:rFonts w:hint="default" w:ascii="宋体" w:hAnsi="宋体" w:eastAsia="宋体" w:cs="Times New Roman"/>
          <w:b/>
          <w:kern w:val="2"/>
          <w:sz w:val="21"/>
          <w:szCs w:val="21"/>
          <w:lang w:val="en-US" w:eastAsia="zh-CN" w:bidi="ar-SA"/>
        </w:rPr>
        <w:t>1.</w:t>
      </w:r>
      <w:r>
        <w:rPr>
          <w:rFonts w:hint="eastAsia" w:ascii="宋体" w:hAnsi="宋体" w:eastAsia="宋体"/>
          <w:b/>
          <w:sz w:val="21"/>
          <w:szCs w:val="21"/>
        </w:rPr>
        <w:t>整机要求</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rPr>
      </w:pPr>
      <w:r>
        <w:rPr>
          <w:rFonts w:hint="default" w:ascii="宋体" w:hAnsi="宋体" w:eastAsia="宋体" w:cs="Times New Roman"/>
          <w:kern w:val="2"/>
          <w:sz w:val="21"/>
          <w:szCs w:val="21"/>
          <w:lang w:val="en-US" w:eastAsia="zh-CN" w:bidi="ar-SA"/>
        </w:rPr>
        <w:t>1.1</w:t>
      </w:r>
      <w:r>
        <w:rPr>
          <w:rFonts w:hint="eastAsia" w:ascii="宋体" w:hAnsi="宋体" w:eastAsia="宋体"/>
          <w:sz w:val="21"/>
          <w:szCs w:val="21"/>
        </w:rPr>
        <w:t>遥测发射盒重量不超过</w:t>
      </w:r>
      <w:r>
        <w:rPr>
          <w:rFonts w:ascii="宋体" w:hAnsi="宋体" w:eastAsia="宋体"/>
          <w:sz w:val="21"/>
          <w:szCs w:val="21"/>
        </w:rPr>
        <w:t>170</w:t>
      </w:r>
      <w:r>
        <w:rPr>
          <w:rFonts w:hint="eastAsia" w:ascii="宋体" w:hAnsi="宋体" w:eastAsia="宋体"/>
          <w:sz w:val="21"/>
          <w:szCs w:val="21"/>
        </w:rPr>
        <w:t>克（含电池）。</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rPr>
      </w:pPr>
      <w:r>
        <w:rPr>
          <w:rFonts w:hint="default" w:ascii="宋体" w:hAnsi="宋体" w:eastAsia="宋体" w:cs="Times New Roman"/>
          <w:kern w:val="2"/>
          <w:sz w:val="21"/>
          <w:szCs w:val="21"/>
          <w:lang w:val="en-US" w:eastAsia="zh-CN" w:bidi="ar-SA"/>
        </w:rPr>
        <w:t>1.2</w:t>
      </w:r>
      <w:r>
        <w:rPr>
          <w:rFonts w:hint="eastAsia" w:ascii="宋体" w:hAnsi="宋体" w:eastAsia="宋体"/>
          <w:sz w:val="21"/>
          <w:szCs w:val="21"/>
        </w:rPr>
        <w:t>遥测发射盒防水等级符合IPX</w:t>
      </w:r>
      <w:r>
        <w:rPr>
          <w:rFonts w:ascii="宋体" w:hAnsi="宋体" w:eastAsia="宋体"/>
          <w:sz w:val="21"/>
          <w:szCs w:val="21"/>
        </w:rPr>
        <w:t>7要求</w:t>
      </w:r>
      <w:r>
        <w:rPr>
          <w:rFonts w:hint="eastAsia" w:ascii="宋体" w:hAnsi="宋体" w:eastAsia="宋体"/>
          <w:sz w:val="21"/>
          <w:szCs w:val="21"/>
        </w:rPr>
        <w:t>，抗跌落测试通过1.</w:t>
      </w:r>
      <w:r>
        <w:rPr>
          <w:rFonts w:ascii="宋体" w:hAnsi="宋体" w:eastAsia="宋体"/>
          <w:sz w:val="21"/>
          <w:szCs w:val="21"/>
        </w:rPr>
        <w:t>5米跌落测试</w:t>
      </w:r>
      <w:r>
        <w:rPr>
          <w:rFonts w:hint="eastAsia" w:ascii="宋体" w:hAnsi="宋体" w:eastAsia="宋体"/>
          <w:sz w:val="21"/>
          <w:szCs w:val="21"/>
        </w:rPr>
        <w:t>，电击防护等级CF（包括ECG、SpO</w:t>
      </w:r>
      <w:r>
        <w:rPr>
          <w:rFonts w:ascii="宋体" w:hAnsi="宋体" w:eastAsia="宋体"/>
          <w:sz w:val="21"/>
          <w:szCs w:val="21"/>
        </w:rPr>
        <w:t>2</w:t>
      </w:r>
      <w:r>
        <w:rPr>
          <w:rFonts w:hint="eastAsia" w:ascii="宋体" w:hAnsi="宋体" w:eastAsia="宋体"/>
          <w:sz w:val="21"/>
          <w:szCs w:val="21"/>
        </w:rPr>
        <w:t>）。</w:t>
      </w:r>
      <w:r>
        <w:rPr>
          <w:rFonts w:ascii="宋体" w:hAnsi="宋体" w:eastAsia="宋体"/>
          <w:sz w:val="21"/>
          <w:szCs w:val="21"/>
        </w:rPr>
        <w:t xml:space="preserve"> </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highlight w:val="none"/>
        </w:rPr>
      </w:pPr>
      <w:r>
        <w:rPr>
          <w:rFonts w:hint="default" w:ascii="宋体" w:hAnsi="宋体" w:eastAsia="宋体" w:cs="Times New Roman"/>
          <w:kern w:val="2"/>
          <w:sz w:val="21"/>
          <w:szCs w:val="21"/>
          <w:lang w:val="en-US" w:eastAsia="zh-CN" w:bidi="ar-SA"/>
        </w:rPr>
        <w:t>1.3</w:t>
      </w:r>
      <w:r>
        <w:rPr>
          <w:rFonts w:hint="eastAsia" w:ascii="宋体" w:hAnsi="宋体" w:eastAsia="宋体"/>
          <w:sz w:val="21"/>
          <w:szCs w:val="21"/>
        </w:rPr>
        <w:t>遥测发射盒</w:t>
      </w:r>
      <w:r>
        <w:rPr>
          <w:rFonts w:ascii="宋体" w:hAnsi="宋体" w:eastAsia="宋体"/>
          <w:sz w:val="21"/>
          <w:szCs w:val="21"/>
        </w:rPr>
        <w:t>采用彩色屏，屏幕尺寸</w:t>
      </w:r>
      <w:r>
        <w:rPr>
          <w:rFonts w:hint="eastAsia" w:ascii="宋体" w:hAnsi="宋体" w:eastAsia="宋体"/>
          <w:sz w:val="21"/>
          <w:szCs w:val="21"/>
        </w:rPr>
        <w:t>≥1.5</w:t>
      </w:r>
      <w:r>
        <w:rPr>
          <w:rFonts w:ascii="宋体" w:hAnsi="宋体" w:eastAsia="宋体"/>
          <w:sz w:val="21"/>
          <w:szCs w:val="21"/>
        </w:rPr>
        <w:t>英寸</w:t>
      </w:r>
      <w:r>
        <w:rPr>
          <w:rFonts w:hint="eastAsia" w:ascii="宋体" w:hAnsi="宋体" w:eastAsia="宋体"/>
          <w:sz w:val="21"/>
          <w:szCs w:val="21"/>
        </w:rPr>
        <w:t>，屏幕分辨率≥</w:t>
      </w:r>
      <w:r>
        <w:rPr>
          <w:rFonts w:ascii="宋体" w:hAnsi="宋体" w:eastAsia="宋体"/>
          <w:sz w:val="21"/>
          <w:szCs w:val="21"/>
        </w:rPr>
        <w:t>240 x 240像素</w:t>
      </w:r>
      <w:r>
        <w:rPr>
          <w:rFonts w:hint="eastAsia" w:ascii="宋体" w:hAnsi="宋体" w:eastAsia="宋体"/>
          <w:sz w:val="21"/>
          <w:szCs w:val="21"/>
        </w:rPr>
        <w:t>，</w:t>
      </w:r>
      <w:r>
        <w:rPr>
          <w:rFonts w:hint="eastAsia" w:ascii="宋体" w:hAnsi="宋体" w:eastAsia="宋体"/>
          <w:sz w:val="21"/>
          <w:szCs w:val="21"/>
          <w:highlight w:val="none"/>
        </w:rPr>
        <w:t>提供彩页或说明书证明文件。</w:t>
      </w:r>
    </w:p>
    <w:p>
      <w:pPr>
        <w:pStyle w:val="8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360" w:leftChars="0" w:hanging="360" w:firstLineChars="0"/>
        <w:textAlignment w:val="auto"/>
        <w:rPr>
          <w:rFonts w:ascii="宋体" w:hAnsi="宋体" w:eastAsia="宋体"/>
          <w:b/>
          <w:sz w:val="21"/>
          <w:szCs w:val="21"/>
          <w:highlight w:val="none"/>
        </w:rPr>
      </w:pPr>
      <w:r>
        <w:rPr>
          <w:rFonts w:hint="default" w:ascii="宋体" w:hAnsi="宋体" w:eastAsia="宋体" w:cs="Times New Roman"/>
          <w:b/>
          <w:kern w:val="2"/>
          <w:sz w:val="21"/>
          <w:szCs w:val="21"/>
          <w:lang w:val="en-US" w:eastAsia="zh-CN" w:bidi="ar-SA"/>
        </w:rPr>
        <w:t>2.</w:t>
      </w:r>
      <w:r>
        <w:rPr>
          <w:rFonts w:hint="eastAsia" w:ascii="宋体" w:hAnsi="宋体" w:eastAsia="宋体"/>
          <w:b/>
          <w:sz w:val="21"/>
          <w:szCs w:val="21"/>
          <w:highlight w:val="none"/>
        </w:rPr>
        <w:t>监测参数</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highlight w:val="none"/>
        </w:rPr>
      </w:pPr>
      <w:r>
        <w:rPr>
          <w:rFonts w:hint="default" w:ascii="宋体" w:hAnsi="宋体" w:eastAsia="宋体" w:cs="Times New Roman"/>
          <w:kern w:val="2"/>
          <w:sz w:val="21"/>
          <w:szCs w:val="21"/>
          <w:lang w:val="en-US" w:eastAsia="zh-CN" w:bidi="ar-SA"/>
        </w:rPr>
        <w:t>2.1</w:t>
      </w:r>
      <w:r>
        <w:rPr>
          <w:rFonts w:hint="eastAsia" w:ascii="宋体" w:hAnsi="宋体" w:eastAsia="宋体"/>
          <w:sz w:val="21"/>
          <w:szCs w:val="21"/>
          <w:highlight w:val="none"/>
        </w:rPr>
        <w:t>标配心电监护，提供HR，ST，PVC测量值，提供</w:t>
      </w:r>
      <w:r>
        <w:rPr>
          <w:rFonts w:ascii="宋体" w:hAnsi="宋体" w:eastAsia="宋体"/>
          <w:sz w:val="21"/>
          <w:szCs w:val="21"/>
          <w:highlight w:val="none"/>
        </w:rPr>
        <w:t>PR，测量值</w:t>
      </w:r>
      <w:r>
        <w:rPr>
          <w:rFonts w:hint="eastAsia" w:ascii="宋体" w:hAnsi="宋体" w:eastAsia="宋体"/>
          <w:sz w:val="21"/>
          <w:szCs w:val="21"/>
          <w:highlight w:val="none"/>
        </w:rPr>
        <w:t>（ST，PVC在中央站上显示）。</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highlight w:val="none"/>
        </w:rPr>
      </w:pPr>
      <w:r>
        <w:rPr>
          <w:rFonts w:hint="default" w:ascii="宋体" w:hAnsi="宋体" w:eastAsia="宋体" w:cs="Times New Roman"/>
          <w:kern w:val="2"/>
          <w:sz w:val="21"/>
          <w:szCs w:val="21"/>
          <w:lang w:val="en-US" w:eastAsia="zh-CN" w:bidi="ar-SA"/>
        </w:rPr>
        <w:t>2.2</w:t>
      </w:r>
      <w:r>
        <w:rPr>
          <w:rFonts w:hint="eastAsia" w:ascii="宋体" w:hAnsi="宋体" w:eastAsia="宋体"/>
          <w:sz w:val="21"/>
          <w:szCs w:val="21"/>
          <w:highlight w:val="none"/>
        </w:rPr>
        <w:t>具有多参融合算法，良好的抗干扰性能。</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highlight w:val="none"/>
        </w:rPr>
      </w:pPr>
      <w:r>
        <w:rPr>
          <w:rFonts w:hint="default" w:ascii="宋体" w:hAnsi="宋体" w:eastAsia="宋体" w:cs="Times New Roman"/>
          <w:kern w:val="2"/>
          <w:sz w:val="21"/>
          <w:szCs w:val="21"/>
          <w:lang w:val="en-US" w:eastAsia="zh-CN" w:bidi="ar-SA"/>
        </w:rPr>
        <w:t>2.3</w:t>
      </w:r>
      <w:r>
        <w:rPr>
          <w:rFonts w:hint="eastAsia" w:ascii="宋体" w:hAnsi="宋体" w:eastAsia="宋体"/>
          <w:sz w:val="21"/>
          <w:szCs w:val="21"/>
          <w:highlight w:val="none"/>
        </w:rPr>
        <w:t>支持≥</w:t>
      </w:r>
      <w:r>
        <w:rPr>
          <w:rFonts w:ascii="宋体" w:hAnsi="宋体" w:eastAsia="宋体"/>
          <w:sz w:val="21"/>
          <w:szCs w:val="21"/>
          <w:highlight w:val="none"/>
        </w:rPr>
        <w:t>3</w:t>
      </w:r>
      <w:r>
        <w:rPr>
          <w:rFonts w:hint="eastAsia" w:ascii="宋体" w:hAnsi="宋体" w:eastAsia="宋体"/>
          <w:sz w:val="21"/>
          <w:szCs w:val="21"/>
          <w:highlight w:val="none"/>
        </w:rPr>
        <w:t>通道心电波形同步分析，可进行多导心电分析，提供产品界面、说明书等证明材料。</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highlight w:val="none"/>
        </w:rPr>
      </w:pPr>
      <w:r>
        <w:rPr>
          <w:rFonts w:hint="default" w:ascii="宋体" w:hAnsi="宋体" w:eastAsia="宋体" w:cs="Times New Roman"/>
          <w:kern w:val="2"/>
          <w:sz w:val="21"/>
          <w:szCs w:val="21"/>
          <w:lang w:val="en-US" w:eastAsia="zh-CN" w:bidi="ar-SA"/>
        </w:rPr>
        <w:t>2.4</w:t>
      </w:r>
      <w:r>
        <w:rPr>
          <w:rFonts w:hint="eastAsia" w:ascii="宋体" w:hAnsi="宋体" w:eastAsia="宋体"/>
          <w:sz w:val="21"/>
          <w:szCs w:val="21"/>
          <w:highlight w:val="none"/>
        </w:rPr>
        <w:t>具有抗运动算法，良好的抗干扰性，提供彩页或说明书等证明文件。</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highlight w:val="none"/>
        </w:rPr>
      </w:pPr>
      <w:r>
        <w:rPr>
          <w:rFonts w:hint="default" w:ascii="宋体" w:hAnsi="宋体" w:eastAsia="宋体" w:cs="Times New Roman"/>
          <w:kern w:val="2"/>
          <w:sz w:val="21"/>
          <w:szCs w:val="21"/>
          <w:lang w:val="en-US" w:eastAsia="zh-CN" w:bidi="ar-SA"/>
        </w:rPr>
        <w:t>2.5</w:t>
      </w:r>
      <w:r>
        <w:rPr>
          <w:rFonts w:hint="eastAsia" w:ascii="宋体" w:hAnsi="宋体" w:eastAsia="宋体"/>
          <w:sz w:val="21"/>
          <w:szCs w:val="21"/>
          <w:highlight w:val="none"/>
        </w:rPr>
        <w:t>提供ST段分析，提供ST值，和每个ST的模板。（中央站上显示）</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highlight w:val="none"/>
        </w:rPr>
      </w:pPr>
      <w:r>
        <w:rPr>
          <w:rFonts w:hint="default" w:ascii="宋体" w:hAnsi="宋体" w:eastAsia="宋体" w:cs="Times New Roman"/>
          <w:kern w:val="2"/>
          <w:sz w:val="21"/>
          <w:szCs w:val="21"/>
          <w:lang w:val="en-US" w:eastAsia="zh-CN" w:bidi="ar-SA"/>
        </w:rPr>
        <w:t>2.6</w:t>
      </w:r>
      <w:r>
        <w:rPr>
          <w:rFonts w:ascii="宋体" w:hAnsi="宋体" w:eastAsia="宋体"/>
          <w:sz w:val="21"/>
          <w:szCs w:val="21"/>
          <w:highlight w:val="none"/>
        </w:rPr>
        <w:t>提供ST</w:t>
      </w:r>
      <w:r>
        <w:rPr>
          <w:rFonts w:hint="eastAsia" w:ascii="宋体" w:hAnsi="宋体" w:eastAsia="宋体"/>
          <w:sz w:val="21"/>
          <w:szCs w:val="21"/>
          <w:highlight w:val="none"/>
        </w:rPr>
        <w:t>图像化显示界面</w:t>
      </w:r>
      <w:r>
        <w:rPr>
          <w:rFonts w:ascii="宋体" w:hAnsi="宋体" w:eastAsia="宋体"/>
          <w:sz w:val="21"/>
          <w:szCs w:val="21"/>
          <w:highlight w:val="none"/>
        </w:rPr>
        <w:t>，可以快速查看ST值的变化。（中央站上显示）</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4" w:leftChars="0" w:hanging="374" w:firstLineChars="0"/>
        <w:textAlignment w:val="auto"/>
        <w:rPr>
          <w:rFonts w:ascii="宋体" w:hAnsi="宋体" w:eastAsia="宋体"/>
          <w:sz w:val="21"/>
          <w:szCs w:val="21"/>
          <w:highlight w:val="none"/>
        </w:rPr>
      </w:pPr>
      <w:r>
        <w:rPr>
          <w:rFonts w:hint="default" w:ascii="宋体" w:hAnsi="宋体" w:eastAsia="宋体" w:cs="Times New Roman"/>
          <w:kern w:val="2"/>
          <w:sz w:val="21"/>
          <w:szCs w:val="21"/>
          <w:lang w:val="en-US" w:eastAsia="zh-CN" w:bidi="ar-SA"/>
        </w:rPr>
        <w:t>2.7</w:t>
      </w:r>
      <w:r>
        <w:rPr>
          <w:rFonts w:ascii="宋体" w:hAnsi="宋体" w:eastAsia="宋体"/>
          <w:sz w:val="21"/>
          <w:szCs w:val="21"/>
          <w:highlight w:val="none"/>
        </w:rPr>
        <w:t>具有</w:t>
      </w:r>
      <w:r>
        <w:rPr>
          <w:rFonts w:hint="eastAsia" w:ascii="宋体" w:hAnsi="宋体" w:eastAsia="宋体"/>
          <w:sz w:val="21"/>
          <w:szCs w:val="21"/>
          <w:highlight w:val="none"/>
        </w:rPr>
        <w:t>QT/QTc测量功能，提供QT，QTc和ΔQTc参数值。（中央站上显示）</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4" w:leftChars="0" w:hanging="374" w:firstLineChars="0"/>
        <w:textAlignment w:val="auto"/>
        <w:rPr>
          <w:rFonts w:ascii="宋体" w:hAnsi="宋体" w:eastAsia="宋体"/>
          <w:sz w:val="21"/>
          <w:szCs w:val="21"/>
          <w:highlight w:val="none"/>
        </w:rPr>
      </w:pPr>
      <w:r>
        <w:rPr>
          <w:rFonts w:hint="default" w:ascii="宋体" w:hAnsi="宋体" w:eastAsia="宋体" w:cs="Times New Roman"/>
          <w:kern w:val="2"/>
          <w:sz w:val="21"/>
          <w:szCs w:val="21"/>
          <w:lang w:val="en-US" w:eastAsia="zh-CN" w:bidi="ar-SA"/>
        </w:rPr>
        <w:t>2.8</w:t>
      </w:r>
      <w:r>
        <w:rPr>
          <w:rFonts w:hint="eastAsia" w:ascii="宋体" w:hAnsi="宋体" w:eastAsia="宋体"/>
          <w:sz w:val="21"/>
          <w:szCs w:val="21"/>
          <w:highlight w:val="none"/>
        </w:rPr>
        <w:t>支持房颤及室上性心律失常分析功能，如：室上性心动过速，SVCs</w:t>
      </w:r>
      <w:r>
        <w:rPr>
          <w:rFonts w:ascii="宋体" w:hAnsi="宋体" w:eastAsia="宋体"/>
          <w:sz w:val="21"/>
          <w:szCs w:val="21"/>
          <w:highlight w:val="none"/>
        </w:rPr>
        <w:t>/</w:t>
      </w:r>
      <w:r>
        <w:rPr>
          <w:rFonts w:hint="eastAsia" w:ascii="宋体" w:hAnsi="宋体" w:eastAsia="宋体"/>
          <w:sz w:val="21"/>
          <w:szCs w:val="21"/>
          <w:highlight w:val="none"/>
        </w:rPr>
        <w:t>min等，标配支持≥2</w:t>
      </w:r>
      <w:r>
        <w:rPr>
          <w:rFonts w:ascii="宋体" w:hAnsi="宋体" w:eastAsia="宋体"/>
          <w:sz w:val="21"/>
          <w:szCs w:val="21"/>
          <w:highlight w:val="none"/>
        </w:rPr>
        <w:t>7</w:t>
      </w:r>
      <w:r>
        <w:rPr>
          <w:rFonts w:hint="eastAsia" w:ascii="宋体" w:hAnsi="宋体" w:eastAsia="宋体"/>
          <w:sz w:val="21"/>
          <w:szCs w:val="21"/>
          <w:highlight w:val="none"/>
        </w:rPr>
        <w:t>种实时心律失常分析，提供彩页或说明书等证明文件。</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4" w:leftChars="0" w:hanging="374" w:firstLineChars="0"/>
        <w:textAlignment w:val="auto"/>
        <w:rPr>
          <w:rFonts w:ascii="宋体" w:hAnsi="宋体" w:eastAsia="宋体"/>
          <w:sz w:val="21"/>
          <w:szCs w:val="21"/>
        </w:rPr>
      </w:pPr>
      <w:r>
        <w:rPr>
          <w:rFonts w:hint="default" w:ascii="宋体" w:hAnsi="宋体" w:eastAsia="宋体" w:cs="Times New Roman"/>
          <w:kern w:val="2"/>
          <w:sz w:val="21"/>
          <w:szCs w:val="21"/>
          <w:lang w:val="en-US" w:eastAsia="zh-CN" w:bidi="ar-SA"/>
        </w:rPr>
        <w:t>2.9</w:t>
      </w:r>
      <w:r>
        <w:rPr>
          <w:rFonts w:ascii="宋体" w:hAnsi="宋体" w:eastAsia="宋体"/>
          <w:sz w:val="21"/>
          <w:szCs w:val="21"/>
        </w:rPr>
        <w:t>可显示弱灌注指数（PI）。</w:t>
      </w:r>
    </w:p>
    <w:p>
      <w:pPr>
        <w:pStyle w:val="8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360" w:leftChars="0" w:hanging="360" w:firstLineChars="0"/>
        <w:textAlignment w:val="auto"/>
        <w:rPr>
          <w:rFonts w:ascii="宋体" w:hAnsi="宋体" w:eastAsia="宋体"/>
          <w:b/>
          <w:sz w:val="21"/>
          <w:szCs w:val="21"/>
        </w:rPr>
      </w:pPr>
      <w:r>
        <w:rPr>
          <w:rFonts w:hint="default" w:ascii="宋体" w:hAnsi="宋体" w:eastAsia="宋体" w:cs="Times New Roman"/>
          <w:b/>
          <w:kern w:val="2"/>
          <w:sz w:val="21"/>
          <w:szCs w:val="21"/>
          <w:lang w:val="en-US" w:eastAsia="zh-CN" w:bidi="ar-SA"/>
        </w:rPr>
        <w:t>3.</w:t>
      </w:r>
      <w:r>
        <w:rPr>
          <w:rFonts w:hint="eastAsia" w:ascii="宋体" w:hAnsi="宋体" w:eastAsia="宋体"/>
          <w:b/>
          <w:sz w:val="21"/>
          <w:szCs w:val="21"/>
        </w:rPr>
        <w:t>系统功能</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rPr>
      </w:pPr>
      <w:r>
        <w:rPr>
          <w:rFonts w:hint="default" w:ascii="宋体" w:hAnsi="宋体" w:eastAsia="宋体" w:cs="Times New Roman"/>
          <w:kern w:val="2"/>
          <w:sz w:val="21"/>
          <w:szCs w:val="21"/>
          <w:lang w:val="en-US" w:eastAsia="zh-CN" w:bidi="ar-SA"/>
        </w:rPr>
        <w:t>3.1</w:t>
      </w:r>
      <w:r>
        <w:rPr>
          <w:rFonts w:hint="eastAsia" w:ascii="宋体" w:hAnsi="宋体" w:eastAsia="宋体"/>
          <w:sz w:val="21"/>
          <w:szCs w:val="21"/>
        </w:rPr>
        <w:t>遥测发射盒有</w:t>
      </w:r>
      <w:r>
        <w:rPr>
          <w:rFonts w:hint="default" w:ascii="Arial" w:hAnsi="Arial" w:eastAsia="宋体" w:cs="Arial"/>
          <w:sz w:val="21"/>
          <w:szCs w:val="21"/>
        </w:rPr>
        <w:t>≥</w:t>
      </w:r>
      <w:r>
        <w:rPr>
          <w:rFonts w:ascii="宋体" w:hAnsi="宋体" w:eastAsia="宋体"/>
          <w:sz w:val="21"/>
          <w:szCs w:val="21"/>
        </w:rPr>
        <w:t>三个按键</w:t>
      </w:r>
      <w:r>
        <w:rPr>
          <w:rFonts w:hint="eastAsia" w:ascii="宋体" w:hAnsi="宋体" w:eastAsia="宋体"/>
          <w:sz w:val="21"/>
          <w:szCs w:val="21"/>
        </w:rPr>
        <w:t>：</w:t>
      </w:r>
      <w:r>
        <w:rPr>
          <w:rFonts w:hint="eastAsia" w:ascii="宋体" w:hAnsi="宋体" w:eastAsia="宋体"/>
          <w:sz w:val="21"/>
          <w:szCs w:val="21"/>
          <w:lang w:eastAsia="zh-CN"/>
        </w:rPr>
        <w:t>具备</w:t>
      </w:r>
      <w:r>
        <w:rPr>
          <w:rFonts w:ascii="宋体" w:hAnsi="宋体" w:eastAsia="宋体"/>
          <w:sz w:val="21"/>
          <w:szCs w:val="21"/>
        </w:rPr>
        <w:t>开关机</w:t>
      </w:r>
      <w:r>
        <w:rPr>
          <w:rFonts w:hint="eastAsia" w:ascii="宋体" w:hAnsi="宋体" w:eastAsia="宋体"/>
          <w:sz w:val="21"/>
          <w:szCs w:val="21"/>
        </w:rPr>
        <w:t>/关屏，护士呼叫和主界面</w:t>
      </w:r>
      <w:r>
        <w:rPr>
          <w:rFonts w:hint="eastAsia" w:ascii="宋体" w:hAnsi="宋体" w:eastAsia="宋体"/>
          <w:sz w:val="21"/>
          <w:szCs w:val="21"/>
          <w:lang w:eastAsia="zh-CN"/>
        </w:rPr>
        <w:t>等</w:t>
      </w:r>
      <w:r>
        <w:rPr>
          <w:rFonts w:hint="eastAsia" w:ascii="宋体" w:hAnsi="宋体" w:eastAsia="宋体"/>
          <w:sz w:val="21"/>
          <w:szCs w:val="21"/>
        </w:rPr>
        <w:t>键</w:t>
      </w:r>
      <w:r>
        <w:rPr>
          <w:rFonts w:ascii="宋体" w:hAnsi="宋体" w:eastAsia="宋体"/>
          <w:sz w:val="21"/>
          <w:szCs w:val="21"/>
        </w:rPr>
        <w:t>。</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rPr>
      </w:pPr>
      <w:r>
        <w:rPr>
          <w:rFonts w:hint="default" w:ascii="宋体" w:hAnsi="宋体" w:eastAsia="宋体" w:cs="Times New Roman"/>
          <w:kern w:val="2"/>
          <w:sz w:val="21"/>
          <w:szCs w:val="21"/>
          <w:lang w:val="en-US" w:eastAsia="zh-CN" w:bidi="ar-SA"/>
        </w:rPr>
        <w:t>3.2</w:t>
      </w:r>
      <w:r>
        <w:rPr>
          <w:rFonts w:hint="eastAsia" w:ascii="宋体" w:hAnsi="宋体" w:eastAsia="宋体"/>
          <w:sz w:val="21"/>
          <w:szCs w:val="21"/>
        </w:rPr>
        <w:t>支持设备实时定位和设备历史位置追踪功能。</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rPr>
      </w:pPr>
      <w:r>
        <w:rPr>
          <w:rFonts w:hint="default" w:ascii="宋体" w:hAnsi="宋体" w:eastAsia="宋体" w:cs="Times New Roman"/>
          <w:kern w:val="2"/>
          <w:sz w:val="21"/>
          <w:szCs w:val="21"/>
          <w:lang w:val="en-US" w:eastAsia="zh-CN" w:bidi="ar-SA"/>
        </w:rPr>
        <w:t>3.3</w:t>
      </w:r>
      <w:r>
        <w:rPr>
          <w:rFonts w:hint="eastAsia" w:ascii="宋体" w:hAnsi="宋体" w:eastAsia="宋体"/>
          <w:sz w:val="21"/>
          <w:szCs w:val="21"/>
        </w:rPr>
        <w:t>支持给患者发送消息。</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rPr>
      </w:pPr>
      <w:r>
        <w:rPr>
          <w:rFonts w:hint="default" w:ascii="宋体" w:hAnsi="宋体" w:eastAsia="宋体" w:cs="Times New Roman"/>
          <w:kern w:val="2"/>
          <w:sz w:val="21"/>
          <w:szCs w:val="21"/>
          <w:lang w:val="en-US" w:eastAsia="zh-CN" w:bidi="ar-SA"/>
        </w:rPr>
        <w:t>3.4</w:t>
      </w:r>
      <w:r>
        <w:rPr>
          <w:rFonts w:hint="eastAsia" w:ascii="宋体" w:hAnsi="宋体" w:eastAsia="宋体"/>
          <w:sz w:val="21"/>
          <w:szCs w:val="21"/>
        </w:rPr>
        <w:t>可以采用可充电电池供电。</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rPr>
      </w:pPr>
      <w:r>
        <w:rPr>
          <w:rFonts w:hint="default" w:ascii="宋体" w:hAnsi="宋体" w:eastAsia="宋体" w:cs="Times New Roman"/>
          <w:kern w:val="2"/>
          <w:sz w:val="21"/>
          <w:szCs w:val="21"/>
          <w:lang w:val="en-US" w:eastAsia="zh-CN" w:bidi="ar-SA"/>
        </w:rPr>
        <w:t>3.5</w:t>
      </w:r>
      <w:r>
        <w:rPr>
          <w:rFonts w:hint="eastAsia" w:ascii="宋体" w:hAnsi="宋体" w:eastAsia="宋体"/>
          <w:sz w:val="21"/>
          <w:szCs w:val="21"/>
        </w:rPr>
        <w:t>采</w:t>
      </w:r>
      <w:r>
        <w:rPr>
          <w:rFonts w:ascii="宋体" w:hAnsi="宋体" w:eastAsia="宋体"/>
          <w:sz w:val="21"/>
          <w:szCs w:val="21"/>
        </w:rPr>
        <w:t>用</w:t>
      </w:r>
      <w:r>
        <w:rPr>
          <w:rFonts w:hint="eastAsia" w:ascii="宋体" w:hAnsi="宋体" w:eastAsia="宋体"/>
          <w:sz w:val="21"/>
          <w:szCs w:val="21"/>
        </w:rPr>
        <w:t>6</w:t>
      </w:r>
      <w:r>
        <w:rPr>
          <w:rFonts w:ascii="宋体" w:hAnsi="宋体" w:eastAsia="宋体"/>
          <w:sz w:val="21"/>
          <w:szCs w:val="21"/>
        </w:rPr>
        <w:t>08M WMTS</w:t>
      </w:r>
      <w:r>
        <w:rPr>
          <w:rFonts w:hint="eastAsia" w:ascii="宋体" w:hAnsi="宋体" w:eastAsia="宋体"/>
          <w:sz w:val="21"/>
          <w:szCs w:val="21"/>
        </w:rPr>
        <w:t>无线网络传输</w:t>
      </w:r>
      <w:r>
        <w:rPr>
          <w:rFonts w:ascii="宋体" w:hAnsi="宋体" w:eastAsia="宋体"/>
          <w:sz w:val="21"/>
          <w:szCs w:val="21"/>
        </w:rPr>
        <w:t>技术，实现遥测数据的传输</w:t>
      </w:r>
      <w:r>
        <w:rPr>
          <w:rFonts w:hint="eastAsia" w:ascii="宋体" w:hAnsi="宋体" w:eastAsia="宋体"/>
          <w:sz w:val="21"/>
          <w:szCs w:val="21"/>
        </w:rPr>
        <w:t>。</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rPr>
      </w:pPr>
      <w:r>
        <w:rPr>
          <w:rFonts w:hint="default" w:ascii="宋体" w:hAnsi="宋体" w:eastAsia="宋体" w:cs="Times New Roman"/>
          <w:kern w:val="2"/>
          <w:sz w:val="21"/>
          <w:szCs w:val="21"/>
          <w:lang w:val="en-US" w:eastAsia="zh-CN" w:bidi="ar-SA"/>
        </w:rPr>
        <w:t>3.6</w:t>
      </w:r>
      <w:r>
        <w:rPr>
          <w:rFonts w:hint="eastAsia" w:ascii="宋体" w:hAnsi="宋体" w:eastAsia="宋体"/>
          <w:sz w:val="21"/>
          <w:szCs w:val="21"/>
        </w:rPr>
        <w:t>所投产品通过中国国家食品药品监督管理局二类医疗器械产品注册，配合中心监护系统使用心电信号分析通过三类注册。</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中央站</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4.1★要求护士站安装1套中央站支持联网</w:t>
      </w:r>
      <w:r>
        <w:rPr>
          <w:rFonts w:hint="default" w:ascii="宋体" w:hAnsi="宋体" w:eastAsia="宋体"/>
          <w:sz w:val="21"/>
          <w:szCs w:val="21"/>
          <w:lang w:val="en-US" w:eastAsia="zh-CN"/>
        </w:rPr>
        <w:t>≥</w:t>
      </w:r>
      <w:r>
        <w:rPr>
          <w:rFonts w:hint="eastAsia" w:ascii="宋体" w:hAnsi="宋体" w:eastAsia="宋体"/>
          <w:sz w:val="21"/>
          <w:szCs w:val="21"/>
          <w:lang w:val="en-US" w:eastAsia="zh-CN"/>
        </w:rPr>
        <w:t>64床病人集中管理，支持联网床旁监护仪，患者遥测设备、除颤设备、或者上述设备混合联网</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4.2★要求科室安装查看站，支持根据科室不同位置的要求，医护团队可以调阅科室任一患者的实时监护数据，趋势数据和报警数据。</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4.3要求中央站可以控制监护仪接收/解除/转移病人</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4.4要求中央站可以控制监护仪启动/停止NIBP测量</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4.5要求多床区域可进行颜色标记，实现分组显示</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4.6要求多床区域可以配置大字体界面</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4.7 要求支持趋势图/表回顾功能。支持自定义趋势组功能，可由用户自行选择参数及调整参数顺序</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4.8要求具备事件回顾功能。支持事件列表显示及筛选，并支持事件重命名，锁定及备注功能</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4.9★要求具备</w:t>
      </w:r>
      <w:r>
        <w:rPr>
          <w:rFonts w:hint="default" w:ascii="宋体" w:hAnsi="宋体" w:eastAsia="宋体"/>
          <w:sz w:val="21"/>
          <w:szCs w:val="21"/>
          <w:lang w:val="en-US" w:eastAsia="zh-CN"/>
        </w:rPr>
        <w:t>≥</w:t>
      </w:r>
      <w:r>
        <w:rPr>
          <w:rFonts w:hint="eastAsia" w:ascii="宋体" w:hAnsi="宋体" w:eastAsia="宋体"/>
          <w:sz w:val="21"/>
          <w:szCs w:val="21"/>
          <w:lang w:val="en-US" w:eastAsia="zh-CN"/>
        </w:rPr>
        <w:t>240小时ST片段数据存储；</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4.10中央站配置防病毒软件，保证系统的安全运行。</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hint="default" w:ascii="宋体" w:hAnsi="宋体" w:eastAsia="宋体"/>
          <w:sz w:val="21"/>
          <w:szCs w:val="21"/>
          <w:lang w:val="en-US" w:eastAsia="zh-CN"/>
        </w:rPr>
      </w:pPr>
      <w:r>
        <w:rPr>
          <w:rFonts w:hint="eastAsia" w:ascii="宋体" w:hAnsi="宋体" w:eastAsia="宋体"/>
          <w:sz w:val="21"/>
          <w:szCs w:val="21"/>
          <w:lang w:val="en-US" w:eastAsia="zh-CN"/>
        </w:rPr>
        <w:t>配置清单（包含但不限于）：接收箱主机</w:t>
      </w:r>
      <w:r>
        <w:rPr>
          <w:rFonts w:hint="default" w:ascii="Arial" w:hAnsi="Arial" w:eastAsia="宋体" w:cs="Arial"/>
          <w:sz w:val="21"/>
          <w:szCs w:val="21"/>
          <w:lang w:val="en-US" w:eastAsia="zh-CN"/>
        </w:rPr>
        <w:t>≥</w:t>
      </w:r>
      <w:r>
        <w:rPr>
          <w:rFonts w:hint="eastAsia" w:ascii="宋体" w:hAnsi="宋体" w:eastAsia="宋体"/>
          <w:sz w:val="21"/>
          <w:szCs w:val="21"/>
          <w:lang w:val="en-US" w:eastAsia="zh-CN"/>
        </w:rPr>
        <w:t>1；发射盒</w:t>
      </w:r>
      <w:r>
        <w:rPr>
          <w:rFonts w:hint="default" w:ascii="Arial" w:hAnsi="Arial" w:eastAsia="宋体" w:cs="Arial"/>
          <w:sz w:val="21"/>
          <w:szCs w:val="21"/>
          <w:lang w:val="en-US" w:eastAsia="zh-CN"/>
        </w:rPr>
        <w:t>≥</w:t>
      </w:r>
      <w:r>
        <w:rPr>
          <w:rFonts w:hint="eastAsia" w:ascii="宋体" w:hAnsi="宋体" w:eastAsia="宋体"/>
          <w:sz w:val="21"/>
          <w:szCs w:val="21"/>
          <w:lang w:val="en-US" w:eastAsia="zh-CN"/>
        </w:rPr>
        <w:t>8；发射盒电池</w:t>
      </w:r>
      <w:r>
        <w:rPr>
          <w:rFonts w:hint="default" w:ascii="Arial" w:hAnsi="Arial" w:eastAsia="宋体" w:cs="Arial"/>
          <w:sz w:val="21"/>
          <w:szCs w:val="21"/>
          <w:lang w:val="en-US" w:eastAsia="zh-CN"/>
        </w:rPr>
        <w:t>≥</w:t>
      </w:r>
      <w:r>
        <w:rPr>
          <w:rFonts w:hint="eastAsia" w:ascii="宋体" w:hAnsi="宋体" w:eastAsia="宋体"/>
          <w:sz w:val="21"/>
          <w:szCs w:val="21"/>
          <w:lang w:val="en-US" w:eastAsia="zh-CN"/>
        </w:rPr>
        <w:t>8；5导遥测导联线</w:t>
      </w:r>
      <w:r>
        <w:rPr>
          <w:rFonts w:hint="default" w:ascii="Arial" w:hAnsi="Arial" w:eastAsia="宋体" w:cs="Arial"/>
          <w:sz w:val="21"/>
          <w:szCs w:val="21"/>
          <w:lang w:val="en-US" w:eastAsia="zh-CN"/>
        </w:rPr>
        <w:t>≥</w:t>
      </w:r>
      <w:r>
        <w:rPr>
          <w:rFonts w:hint="eastAsia" w:ascii="宋体" w:hAnsi="宋体" w:eastAsia="宋体"/>
          <w:sz w:val="21"/>
          <w:szCs w:val="21"/>
          <w:lang w:val="en-US" w:eastAsia="zh-CN"/>
        </w:rPr>
        <w:t>8，心电电极片</w:t>
      </w:r>
      <w:r>
        <w:rPr>
          <w:rFonts w:hint="default" w:ascii="Arial" w:hAnsi="Arial" w:eastAsia="宋体" w:cs="Arial"/>
          <w:sz w:val="21"/>
          <w:szCs w:val="21"/>
          <w:lang w:val="en-US" w:eastAsia="zh-CN"/>
        </w:rPr>
        <w:t>≥</w:t>
      </w:r>
      <w:r>
        <w:rPr>
          <w:rFonts w:hint="eastAsia" w:ascii="宋体" w:hAnsi="宋体" w:eastAsia="宋体"/>
          <w:sz w:val="21"/>
          <w:szCs w:val="21"/>
          <w:lang w:val="en-US" w:eastAsia="zh-CN"/>
        </w:rPr>
        <w:t>8；遥测监护系统软件</w:t>
      </w:r>
      <w:r>
        <w:rPr>
          <w:rFonts w:hint="default" w:ascii="Arial" w:hAnsi="Arial" w:eastAsia="宋体" w:cs="Arial"/>
          <w:sz w:val="21"/>
          <w:szCs w:val="21"/>
          <w:lang w:val="en-US" w:eastAsia="zh-CN"/>
        </w:rPr>
        <w:t>≥</w:t>
      </w:r>
      <w:r>
        <w:rPr>
          <w:rFonts w:hint="eastAsia" w:ascii="宋体" w:hAnsi="宋体" w:eastAsia="宋体"/>
          <w:sz w:val="21"/>
          <w:szCs w:val="21"/>
          <w:lang w:val="en-US" w:eastAsia="zh-CN"/>
        </w:rPr>
        <w:t>1；计算机</w:t>
      </w:r>
      <w:r>
        <w:rPr>
          <w:rFonts w:hint="default" w:ascii="Arial" w:hAnsi="Arial" w:eastAsia="宋体" w:cs="Arial"/>
          <w:sz w:val="21"/>
          <w:szCs w:val="21"/>
          <w:lang w:val="en-US" w:eastAsia="zh-CN"/>
        </w:rPr>
        <w:t>≥</w:t>
      </w:r>
      <w:r>
        <w:rPr>
          <w:rFonts w:hint="eastAsia" w:ascii="宋体" w:hAnsi="宋体" w:eastAsia="宋体"/>
          <w:sz w:val="21"/>
          <w:szCs w:val="21"/>
          <w:lang w:val="en-US" w:eastAsia="zh-CN"/>
        </w:rPr>
        <w:t>1；显示器</w:t>
      </w:r>
      <w:r>
        <w:rPr>
          <w:rFonts w:hint="default" w:ascii="Arial" w:hAnsi="Arial" w:eastAsia="宋体" w:cs="Arial"/>
          <w:sz w:val="21"/>
          <w:szCs w:val="21"/>
          <w:lang w:val="en-US" w:eastAsia="zh-CN"/>
        </w:rPr>
        <w:t>≥</w:t>
      </w:r>
      <w:r>
        <w:rPr>
          <w:rFonts w:hint="eastAsia" w:ascii="宋体" w:hAnsi="宋体" w:eastAsia="宋体"/>
          <w:sz w:val="21"/>
          <w:szCs w:val="21"/>
          <w:lang w:val="en-US" w:eastAsia="zh-CN"/>
        </w:rPr>
        <w:t>1；操作系统</w:t>
      </w:r>
      <w:r>
        <w:rPr>
          <w:rFonts w:hint="default" w:ascii="Arial" w:hAnsi="Arial" w:eastAsia="宋体" w:cs="Arial"/>
          <w:sz w:val="21"/>
          <w:szCs w:val="21"/>
          <w:lang w:val="en-US" w:eastAsia="zh-CN"/>
        </w:rPr>
        <w:t>≥</w:t>
      </w:r>
      <w:r>
        <w:rPr>
          <w:rFonts w:hint="eastAsia" w:ascii="宋体" w:hAnsi="宋体" w:eastAsia="宋体"/>
          <w:sz w:val="21"/>
          <w:szCs w:val="21"/>
          <w:lang w:val="en-US" w:eastAsia="zh-CN"/>
        </w:rPr>
        <w:t>1</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hint="default" w:ascii="宋体" w:hAnsi="宋体" w:eastAsia="宋体"/>
          <w:sz w:val="21"/>
          <w:szCs w:val="21"/>
          <w:lang w:val="en-US" w:eastAsia="zh-CN"/>
        </w:rPr>
      </w:pPr>
    </w:p>
    <w:p>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textAlignment w:val="auto"/>
        <w:rPr>
          <w:rFonts w:hint="eastAsia"/>
          <w:b/>
          <w:bCs/>
          <w:sz w:val="21"/>
          <w:szCs w:val="21"/>
          <w:lang w:val="en-US" w:eastAsia="zh-CN"/>
        </w:rPr>
      </w:pPr>
    </w:p>
    <w:p>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3" w:firstLineChars="200"/>
        <w:jc w:val="center"/>
        <w:textAlignment w:val="auto"/>
        <w:rPr>
          <w:rFonts w:hint="default"/>
          <w:b/>
          <w:bCs/>
          <w:sz w:val="32"/>
          <w:szCs w:val="32"/>
          <w:lang w:val="en-US" w:eastAsia="zh-CN"/>
        </w:rPr>
      </w:pPr>
      <w:r>
        <w:rPr>
          <w:rFonts w:hint="eastAsia"/>
          <w:b/>
          <w:bCs/>
          <w:sz w:val="32"/>
          <w:szCs w:val="32"/>
          <w:lang w:val="en-US" w:eastAsia="zh-CN"/>
        </w:rPr>
        <w:t>（二）产品资料</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1、提供响应技术参数条款的注册检验报告或相关资料（完整版），并对响应技术参数部分做出明显标注；</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2、需提供响应技术参数条款的技术白皮书和彩页等相关文件，并对响应技术参数部分做出明显标注；</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3、注册证中有附件的提供完整版的附件；</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4、供应商如为代理商的并所投产品如为进口产品的，需提供拟投产品制造商或中国境内办事处或中国总代理经销商针对本项目的授权书。</w:t>
      </w:r>
    </w:p>
    <w:p>
      <w:pPr>
        <w:pageBreakBefore w:val="0"/>
        <w:numPr>
          <w:ilvl w:val="0"/>
          <w:numId w:val="0"/>
        </w:numPr>
        <w:kinsoku/>
        <w:wordWrap/>
        <w:overflowPunct/>
        <w:topLinePunct w:val="0"/>
        <w:bidi w:val="0"/>
        <w:snapToGrid w:val="0"/>
        <w:spacing w:beforeAutospacing="0" w:afterAutospacing="0" w:line="500" w:lineRule="exact"/>
        <w:jc w:val="left"/>
        <w:textAlignment w:val="auto"/>
        <w:rPr>
          <w:rFonts w:hint="eastAsia"/>
          <w:b w:val="0"/>
          <w:bCs w:val="0"/>
          <w:color w:val="auto"/>
          <w:sz w:val="21"/>
          <w:szCs w:val="21"/>
          <w:highlight w:val="none"/>
        </w:rPr>
      </w:pPr>
      <w:r>
        <w:rPr>
          <w:rFonts w:hint="eastAsia"/>
          <w:b/>
          <w:bCs/>
          <w:color w:val="auto"/>
          <w:sz w:val="21"/>
          <w:szCs w:val="21"/>
          <w:highlight w:val="none"/>
          <w:lang w:val="en-US" w:eastAsia="zh-CN"/>
        </w:rPr>
        <w:t xml:space="preserve"> 五、售后服务条件及交货日期（或工期）</w:t>
      </w:r>
      <w:r>
        <w:rPr>
          <w:rFonts w:hint="eastAsia"/>
          <w:b/>
          <w:bCs/>
          <w:color w:val="auto"/>
          <w:sz w:val="21"/>
          <w:szCs w:val="21"/>
          <w:highlight w:val="none"/>
        </w:rPr>
        <w:t>：</w:t>
      </w:r>
    </w:p>
    <w:p>
      <w:pPr>
        <w:pageBreakBefore w:val="0"/>
        <w:numPr>
          <w:ilvl w:val="0"/>
          <w:numId w:val="0"/>
        </w:numPr>
        <w:kinsoku/>
        <w:wordWrap/>
        <w:overflowPunct/>
        <w:topLinePunct w:val="0"/>
        <w:bidi w:val="0"/>
        <w:snapToGrid w:val="0"/>
        <w:spacing w:beforeAutospacing="0" w:afterAutospacing="0" w:line="500" w:lineRule="exact"/>
        <w:ind w:firstLine="420" w:firstLineChars="200"/>
        <w:jc w:val="left"/>
        <w:textAlignment w:val="auto"/>
        <w:rPr>
          <w:rFonts w:hint="eastAsia"/>
          <w:b w:val="0"/>
          <w:bCs w:val="0"/>
          <w:color w:val="auto"/>
          <w:sz w:val="21"/>
          <w:szCs w:val="21"/>
          <w:highlight w:val="none"/>
        </w:rPr>
      </w:pPr>
      <w:r>
        <w:rPr>
          <w:rFonts w:hint="eastAsia"/>
          <w:b w:val="0"/>
          <w:bCs w:val="0"/>
          <w:color w:val="auto"/>
          <w:sz w:val="21"/>
          <w:szCs w:val="21"/>
          <w:highlight w:val="none"/>
          <w:lang w:val="en-US" w:eastAsia="zh-CN"/>
        </w:rPr>
        <w:t>1、从产品最终验收合格之日起，整机保修两年，出具相关服务承诺书。2、费用：在保修期内，由于非人为因素货物故障所产生的费用由供应商负责。3、响应：供应商应保证在12小时内对用户提出的问题或故障予以响应及处理。4、供应商应免费提供维护手册、维修手册、软件备份、故障代码表、备件清单、零部件、维修密码等维护维修必需的材料和信息。5、培训：免费提供操作培训和维修培训。6、免费为医院对接院内信息系统。</w:t>
      </w:r>
    </w:p>
    <w:p>
      <w:pPr>
        <w:rPr>
          <w:rFonts w:hint="eastAsia"/>
          <w:b/>
          <w:bCs/>
          <w:color w:val="auto"/>
          <w:sz w:val="30"/>
          <w:szCs w:val="30"/>
          <w:highlight w:val="none"/>
        </w:rPr>
      </w:pPr>
      <w:r>
        <w:rPr>
          <w:rFonts w:hint="eastAsia"/>
          <w:b/>
          <w:bCs/>
          <w:color w:val="auto"/>
          <w:sz w:val="30"/>
          <w:szCs w:val="30"/>
          <w:highlight w:val="none"/>
        </w:rPr>
        <w:br w:type="page"/>
      </w:r>
    </w:p>
    <w:p>
      <w:pPr>
        <w:pageBreakBefore w:val="0"/>
        <w:kinsoku/>
        <w:wordWrap/>
        <w:overflowPunct/>
        <w:topLinePunct w:val="0"/>
        <w:bidi w:val="0"/>
        <w:snapToGrid w:val="0"/>
        <w:spacing w:beforeAutospacing="0" w:afterAutospacing="0" w:line="500" w:lineRule="exact"/>
        <w:jc w:val="center"/>
        <w:textAlignment w:val="auto"/>
        <w:rPr>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eastAsia="宋体" w:cs="宋体"/>
                <w:color w:val="auto"/>
                <w:kern w:val="0"/>
                <w:szCs w:val="21"/>
                <w:highlight w:val="none"/>
              </w:rPr>
              <w:t>自</w:t>
            </w:r>
            <w:r>
              <w:rPr>
                <w:rFonts w:hint="eastAsia" w:ascii="宋体" w:hAnsi="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三十</w:t>
            </w:r>
            <w:r>
              <w:rPr>
                <w:rFonts w:hint="eastAsia" w:ascii="宋体" w:hAnsi="宋体" w:eastAsia="宋体" w:cs="宋体"/>
                <w:color w:val="auto"/>
                <w:kern w:val="0"/>
                <w:szCs w:val="21"/>
                <w:highlight w:val="none"/>
              </w:rPr>
              <w:t>个</w:t>
            </w:r>
            <w:r>
              <w:rPr>
                <w:rFonts w:hint="eastAsia" w:ascii="宋体" w:hAnsi="宋体" w:eastAsia="宋体" w:cs="宋体"/>
                <w:color w:val="auto"/>
                <w:kern w:val="0"/>
                <w:szCs w:val="21"/>
                <w:highlight w:val="none"/>
                <w:lang w:val="en-US" w:eastAsia="zh-CN"/>
              </w:rPr>
              <w:t>日历日</w:t>
            </w:r>
            <w:r>
              <w:rPr>
                <w:rFonts w:hint="eastAsia" w:ascii="宋体" w:hAnsi="宋体" w:eastAsia="宋体" w:cs="宋体"/>
                <w:color w:val="auto"/>
                <w:kern w:val="0"/>
                <w:szCs w:val="21"/>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default"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lang w:val="en-US" w:eastAsia="zh-CN"/>
              </w:rPr>
              <w:t>交货期</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lang w:val="en-US" w:eastAsia="zh-CN"/>
              </w:rPr>
              <w:t>合同签订后30日内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以供货合同签订为准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售后技术服务要求、售后服务保障要求</w:t>
            </w:r>
          </w:p>
        </w:tc>
        <w:tc>
          <w:tcPr>
            <w:tcW w:w="70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中标人须提供后期服务保障和技术支持。</w:t>
            </w:r>
          </w:p>
        </w:tc>
      </w:tr>
    </w:tbl>
    <w:p>
      <w:pPr>
        <w:pageBreakBefore w:val="0"/>
        <w:kinsoku/>
        <w:wordWrap/>
        <w:overflowPunct/>
        <w:topLinePunct w:val="0"/>
        <w:bidi w:val="0"/>
        <w:snapToGrid w:val="0"/>
        <w:spacing w:beforeAutospacing="0" w:afterAutospacing="0" w:line="500" w:lineRule="exact"/>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2"/>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776" w:hRule="atLeast"/>
        </w:trPr>
        <w:tc>
          <w:tcPr>
            <w:tcW w:w="205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pageBreakBefore w:val="0"/>
              <w:widowControl/>
              <w:numPr>
                <w:ilvl w:val="0"/>
                <w:numId w:val="1"/>
              </w:numPr>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rFonts w:hint="eastAsia"/>
          <w:b/>
          <w:bCs/>
          <w:color w:val="auto"/>
          <w:sz w:val="32"/>
          <w:szCs w:val="32"/>
          <w:highlight w:val="none"/>
        </w:rPr>
      </w:pPr>
      <w:bookmarkStart w:id="40" w:name="_Toc14504"/>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2"/>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487" w:type="dxa"/>
            <w:tcBorders>
              <w:top w:val="single" w:color="auto" w:sz="8"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驻马店市中心医院遥测监护系统采购项目</w:t>
            </w:r>
            <w:r>
              <w:rPr>
                <w:rFonts w:hint="eastAsia" w:ascii="宋体" w:hAnsi="宋体" w:eastAsia="宋体" w:cs="宋体"/>
                <w:color w:val="auto"/>
                <w:sz w:val="24"/>
                <w:szCs w:val="24"/>
                <w:highlight w:val="none"/>
                <w:lang w:val="en-US" w:eastAsia="zh-CN"/>
              </w:rPr>
              <w:t>。</w:t>
            </w:r>
          </w:p>
          <w:p>
            <w:pPr>
              <w:widowControl/>
              <w:snapToGrid w:val="0"/>
              <w:spacing w:line="440" w:lineRule="exact"/>
              <w:jc w:val="left"/>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采购人名称：</w:t>
            </w:r>
            <w:r>
              <w:rPr>
                <w:rFonts w:hint="eastAsia" w:ascii="宋体" w:hAnsi="宋体" w:eastAsia="宋体" w:cs="宋体"/>
                <w:sz w:val="24"/>
                <w:szCs w:val="24"/>
                <w:highlight w:val="none"/>
              </w:rPr>
              <w:t>驻马店市中心医院</w:t>
            </w:r>
            <w:r>
              <w:rPr>
                <w:rFonts w:hint="eastAsia" w:ascii="宋体" w:hAnsi="宋体" w:eastAsia="宋体" w:cs="宋体"/>
                <w:sz w:val="24"/>
                <w:szCs w:val="24"/>
                <w:highlight w:val="none"/>
                <w:lang w:eastAsia="zh-CN"/>
              </w:rPr>
              <w:t>。</w:t>
            </w:r>
          </w:p>
          <w:p>
            <w:pPr>
              <w:widowControl/>
              <w:snapToGrid w:val="0"/>
              <w:spacing w:line="440" w:lineRule="exact"/>
              <w:jc w:val="left"/>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采购范围：详</w:t>
            </w:r>
            <w:r>
              <w:rPr>
                <w:rFonts w:hint="eastAsia" w:ascii="宋体" w:hAnsi="宋体" w:eastAsia="宋体" w:cs="宋体"/>
                <w:color w:val="auto"/>
                <w:sz w:val="24"/>
                <w:szCs w:val="24"/>
                <w:highlight w:val="none"/>
                <w:lang w:val="en-US" w:eastAsia="zh-CN"/>
              </w:rPr>
              <w:t>见第二章采购</w:t>
            </w:r>
            <w:r>
              <w:rPr>
                <w:rFonts w:hint="eastAsia" w:ascii="宋体" w:hAnsi="宋体" w:eastAsia="宋体" w:cs="宋体"/>
                <w:color w:val="auto"/>
                <w:sz w:val="24"/>
                <w:szCs w:val="24"/>
                <w:highlight w:val="none"/>
              </w:rPr>
              <w:t>需求</w:t>
            </w:r>
            <w:r>
              <w:rPr>
                <w:rFonts w:hint="eastAsia" w:ascii="宋体" w:hAnsi="宋体" w:eastAsia="宋体" w:cs="宋体"/>
                <w:color w:val="auto"/>
                <w:sz w:val="24"/>
                <w:szCs w:val="24"/>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合格投标人：具备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采购预算（最高投标限价）：</w:t>
            </w:r>
            <w:r>
              <w:rPr>
                <w:rFonts w:hint="eastAsia" w:ascii="宋体" w:hAnsi="宋体" w:cs="宋体"/>
                <w:color w:val="auto"/>
                <w:kern w:val="0"/>
                <w:sz w:val="24"/>
                <w:szCs w:val="24"/>
                <w:highlight w:val="none"/>
                <w:lang w:val="en-US" w:eastAsia="zh-CN"/>
              </w:rPr>
              <w:t>46</w:t>
            </w:r>
            <w:r>
              <w:rPr>
                <w:rFonts w:hint="eastAsia" w:ascii="宋体" w:hAnsi="宋体" w:eastAsia="宋体" w:cs="宋体"/>
                <w:color w:val="auto"/>
                <w:kern w:val="0"/>
                <w:sz w:val="24"/>
                <w:szCs w:val="24"/>
                <w:highlight w:val="none"/>
                <w:lang w:val="en-US" w:eastAsia="zh-CN"/>
              </w:rPr>
              <w:t>万</w:t>
            </w:r>
            <w:r>
              <w:rPr>
                <w:rFonts w:hint="eastAsia" w:ascii="宋体" w:hAnsi="宋体" w:eastAsia="宋体" w:cs="宋体"/>
                <w:color w:val="auto"/>
                <w:kern w:val="0"/>
                <w:sz w:val="24"/>
                <w:szCs w:val="24"/>
                <w:highlight w:val="none"/>
              </w:rPr>
              <w:t>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其中A包27.5万元；B包18.5万元）</w:t>
            </w:r>
            <w:r>
              <w:rPr>
                <w:rFonts w:hint="eastAsia" w:ascii="宋体" w:hAnsi="宋体" w:eastAsia="宋体" w:cs="宋体"/>
                <w:color w:val="auto"/>
                <w:kern w:val="0"/>
                <w:sz w:val="24"/>
                <w:szCs w:val="24"/>
                <w:highlight w:val="none"/>
                <w:lang w:eastAsia="zh-CN"/>
              </w:rPr>
              <w:t>。</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本项目投标以人民币报价。</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供应商的报价超过采购预算，采购人不能支付的，按废标处理。</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 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投标文件组成：纸质投标文件正本1份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副本2份</w:t>
            </w:r>
            <w:r>
              <w:rPr>
                <w:rFonts w:hint="eastAsia" w:ascii="宋体" w:hAnsi="宋体" w:eastAsia="宋体" w:cs="宋体"/>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投标截止时间</w:t>
            </w:r>
            <w:r>
              <w:rPr>
                <w:rFonts w:hint="eastAsia" w:ascii="宋体" w:hAnsi="宋体" w:eastAsia="宋体" w:cs="宋体"/>
                <w:color w:val="auto"/>
                <w:kern w:val="0"/>
                <w:sz w:val="24"/>
                <w:szCs w:val="24"/>
                <w:highlight w:val="none"/>
                <w:lang w:val="en-US" w:eastAsia="zh-CN"/>
              </w:rPr>
              <w:t>及开标时间</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投标文件递交地点</w:t>
            </w:r>
            <w:r>
              <w:rPr>
                <w:rFonts w:hint="eastAsia" w:ascii="宋体" w:hAnsi="宋体" w:eastAsia="宋体" w:cs="宋体"/>
                <w:color w:val="auto"/>
                <w:kern w:val="0"/>
                <w:sz w:val="24"/>
                <w:szCs w:val="24"/>
                <w:highlight w:val="none"/>
                <w:lang w:val="en-US" w:eastAsia="zh-CN"/>
              </w:rPr>
              <w:t>及开标地点</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及以上单数</w:t>
            </w:r>
            <w:r>
              <w:rPr>
                <w:rFonts w:hint="eastAsia" w:ascii="宋体" w:hAnsi="宋体" w:eastAsia="宋体" w:cs="宋体"/>
                <w:color w:val="auto"/>
                <w:kern w:val="0"/>
                <w:sz w:val="24"/>
                <w:szCs w:val="24"/>
                <w:highlight w:val="none"/>
              </w:rPr>
              <w:t>。</w:t>
            </w:r>
          </w:p>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由采购人</w:t>
            </w:r>
            <w:r>
              <w:rPr>
                <w:rFonts w:hint="eastAsia" w:ascii="宋体" w:hAnsi="宋体" w:eastAsia="宋体" w:cs="宋体"/>
                <w:color w:val="auto"/>
                <w:kern w:val="0"/>
                <w:sz w:val="24"/>
                <w:szCs w:val="24"/>
                <w:highlight w:val="none"/>
                <w:lang w:val="en-US" w:eastAsia="zh-CN"/>
              </w:rPr>
              <w:t>抽取相关的技术人员组成</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及</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：由采购人授权评标委员会确定一名中标人并推荐两名中标候选人。评审结束后</w:t>
            </w:r>
            <w:r>
              <w:rPr>
                <w:rFonts w:hint="eastAsia" w:ascii="宋体" w:hAnsi="宋体" w:eastAsia="宋体" w:cs="宋体"/>
                <w:color w:val="auto"/>
                <w:kern w:val="0"/>
                <w:sz w:val="24"/>
                <w:szCs w:val="24"/>
                <w:highlight w:val="none"/>
                <w:lang w:val="en-US" w:eastAsia="zh-CN"/>
              </w:rPr>
              <w:t>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驻马店市中心医院网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上发布</w:t>
            </w:r>
            <w:r>
              <w:rPr>
                <w:rFonts w:hint="eastAsia" w:ascii="宋体" w:hAnsi="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向中标人发出</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签订合同：自</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w:t>
            </w:r>
            <w:r>
              <w:rPr>
                <w:rFonts w:hint="eastAsia" w:ascii="宋体" w:hAnsi="宋体" w:eastAsia="宋体" w:cs="宋体"/>
                <w:color w:val="auto"/>
                <w:kern w:val="0"/>
                <w:sz w:val="24"/>
                <w:szCs w:val="24"/>
                <w:highlight w:val="none"/>
                <w:lang w:val="en-US" w:eastAsia="zh-CN"/>
              </w:rPr>
              <w:t>三十</w:t>
            </w:r>
            <w:r>
              <w:rPr>
                <w:rFonts w:hint="eastAsia" w:ascii="宋体" w:hAnsi="宋体" w:eastAsia="宋体" w:cs="宋体"/>
                <w:color w:val="auto"/>
                <w:kern w:val="0"/>
                <w:sz w:val="24"/>
                <w:szCs w:val="24"/>
                <w:highlight w:val="none"/>
              </w:rPr>
              <w:t>个</w:t>
            </w:r>
            <w:r>
              <w:rPr>
                <w:rFonts w:hint="eastAsia" w:ascii="宋体" w:hAnsi="宋体" w:eastAsia="宋体" w:cs="宋体"/>
                <w:color w:val="auto"/>
                <w:kern w:val="0"/>
                <w:sz w:val="24"/>
                <w:szCs w:val="24"/>
                <w:highlight w:val="none"/>
                <w:lang w:val="en-US" w:eastAsia="zh-CN"/>
              </w:rPr>
              <w:t>日历</w:t>
            </w:r>
            <w:r>
              <w:rPr>
                <w:rFonts w:hint="eastAsia" w:ascii="宋体" w:hAnsi="宋体" w:eastAsia="宋体" w:cs="宋体"/>
                <w:color w:val="auto"/>
                <w:kern w:val="0"/>
                <w:sz w:val="24"/>
                <w:szCs w:val="24"/>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11</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付款方式：详见第二章</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投标文件有效期：投标</w:t>
            </w:r>
            <w:r>
              <w:rPr>
                <w:rFonts w:hint="eastAsia" w:ascii="宋体" w:hAnsi="宋体" w:eastAsia="宋体" w:cs="宋体"/>
                <w:color w:val="auto"/>
                <w:kern w:val="0"/>
                <w:sz w:val="24"/>
                <w:szCs w:val="24"/>
                <w:highlight w:val="none"/>
                <w:lang w:val="en-US" w:eastAsia="zh-CN"/>
              </w:rPr>
              <w:t>文件递交</w:t>
            </w:r>
            <w:r>
              <w:rPr>
                <w:rFonts w:hint="eastAsia" w:ascii="宋体" w:hAnsi="宋体" w:eastAsia="宋体" w:cs="宋体"/>
                <w:color w:val="auto"/>
                <w:kern w:val="0"/>
                <w:sz w:val="24"/>
                <w:szCs w:val="24"/>
                <w:highlight w:val="none"/>
              </w:rPr>
              <w:t>截止期结束后</w:t>
            </w:r>
            <w:r>
              <w:rPr>
                <w:rFonts w:hint="eastAsia" w:ascii="宋体" w:hAnsi="宋体" w:eastAsia="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 w:val="24"/>
                <w:szCs w:val="24"/>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质疑和投诉：供应商认为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解释：1、构成本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文件中有特殊规定外，仅适用于招标投标阶段的规定，按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 “投标人”系指</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 “投标人代表”系指代表投标人参加本次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 “货物”系指投标人按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 “相关服务”系指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3.本次采购预算（最高限价）为</w:t>
      </w:r>
      <w:r>
        <w:rPr>
          <w:rFonts w:hint="eastAsia" w:ascii="宋体" w:hAnsi="宋体" w:cs="宋体"/>
          <w:b/>
          <w:bCs/>
          <w:color w:val="auto"/>
          <w:kern w:val="0"/>
          <w:sz w:val="24"/>
          <w:szCs w:val="24"/>
          <w:highlight w:val="none"/>
          <w:lang w:val="en-US" w:eastAsia="zh-CN"/>
        </w:rPr>
        <w:t>46</w:t>
      </w:r>
      <w:r>
        <w:rPr>
          <w:rFonts w:hint="eastAsia" w:ascii="宋体" w:hAnsi="宋体" w:eastAsia="宋体" w:cs="宋体"/>
          <w:b/>
          <w:bCs/>
          <w:color w:val="auto"/>
          <w:kern w:val="0"/>
          <w:sz w:val="24"/>
          <w:szCs w:val="24"/>
          <w:highlight w:val="none"/>
          <w:lang w:val="en-US" w:eastAsia="zh-CN"/>
        </w:rPr>
        <w:t>万</w:t>
      </w:r>
      <w:r>
        <w:rPr>
          <w:rFonts w:hint="eastAsia" w:ascii="宋体" w:hAnsi="宋体" w:eastAsia="宋体" w:cs="宋体"/>
          <w:b/>
          <w:bCs/>
          <w:color w:val="auto"/>
          <w:kern w:val="0"/>
          <w:sz w:val="24"/>
          <w:szCs w:val="24"/>
          <w:highlight w:val="none"/>
        </w:rPr>
        <w:t>元</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其中A包27.5万元；B包18.5万元）</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4.投标人应提交的证明文件</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供应商应提供2021年度或2022年度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具有履行合同所必需的设备和专业技术能力（提供书面声明函）。</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参加本采购活动前三年内，在经营活动中没有重大违法记录（提供书面声明函）。</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符合法律、行政法规规定的其他条件。</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6</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 w:val="24"/>
          <w:szCs w:val="24"/>
          <w:highlight w:val="none"/>
          <w:lang w:val="en-US" w:eastAsia="zh-CN"/>
        </w:rPr>
        <w:t>。</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10.质疑和投诉</w:t>
      </w:r>
    </w:p>
    <w:p>
      <w:pPr>
        <w:keepNext w:val="0"/>
        <w:keepLines w:val="0"/>
        <w:pageBreakBefore w:val="0"/>
        <w:widowControl/>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pPr>
        <w:keepNext w:val="0"/>
        <w:keepLines w:val="0"/>
        <w:pageBreakBefore w:val="0"/>
        <w:widowControl/>
        <w:shd w:val="clear" w:color="auto"/>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投标人没有按照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文件要求提供全部资料，或者投标人没有对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12.</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文件的构成。本</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文件由以下部分组成：</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12.1 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需求</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12.3 投标人须知</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12.4 评标办法</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12.5 </w:t>
      </w:r>
      <w:r>
        <w:rPr>
          <w:rFonts w:hint="eastAsia" w:ascii="宋体" w:hAnsi="宋体" w:cs="宋体"/>
          <w:color w:val="auto"/>
          <w:kern w:val="0"/>
          <w:sz w:val="24"/>
          <w:szCs w:val="24"/>
          <w:highlight w:val="none"/>
          <w:lang w:eastAsia="zh-CN"/>
        </w:rPr>
        <w:t>采购</w:t>
      </w:r>
      <w:r>
        <w:rPr>
          <w:rFonts w:hint="eastAsia" w:ascii="宋体" w:hAnsi="宋体" w:cs="宋体"/>
          <w:color w:val="auto"/>
          <w:kern w:val="0"/>
          <w:sz w:val="24"/>
          <w:szCs w:val="24"/>
          <w:highlight w:val="none"/>
        </w:rPr>
        <w:t>合同</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12.6 投标文件格式</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13.</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文件的澄清与修改</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13.1 </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对已发出的</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文件进行必要澄清、修改或补充的，应当在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文件要求提交投标文件截止时间</w:t>
      </w:r>
      <w:r>
        <w:rPr>
          <w:rFonts w:hint="eastAsia" w:ascii="宋体" w:hAnsi="宋体" w:cs="宋体"/>
          <w:color w:val="auto"/>
          <w:kern w:val="0"/>
          <w:sz w:val="24"/>
          <w:szCs w:val="24"/>
          <w:highlight w:val="none"/>
          <w:lang w:val="en-US" w:eastAsia="zh-CN"/>
        </w:rPr>
        <w:t>3</w:t>
      </w:r>
      <w:r>
        <w:rPr>
          <w:rFonts w:hint="eastAsia" w:ascii="宋体" w:hAnsi="宋体" w:cs="宋体"/>
          <w:bCs/>
          <w:color w:val="auto"/>
          <w:kern w:val="0"/>
          <w:sz w:val="24"/>
          <w:szCs w:val="24"/>
          <w:highlight w:val="none"/>
        </w:rPr>
        <w:t>日</w:t>
      </w:r>
      <w:r>
        <w:rPr>
          <w:rFonts w:hint="eastAsia" w:ascii="宋体" w:hAnsi="宋体" w:cs="宋体"/>
          <w:color w:val="auto"/>
          <w:kern w:val="0"/>
          <w:sz w:val="24"/>
          <w:szCs w:val="24"/>
          <w:highlight w:val="none"/>
        </w:rPr>
        <w:t>前，在</w:t>
      </w:r>
      <w:r>
        <w:rPr>
          <w:rFonts w:hint="eastAsia" w:ascii="宋体" w:hAnsi="宋体" w:cs="宋体"/>
          <w:color w:val="auto"/>
          <w:kern w:val="0"/>
          <w:sz w:val="24"/>
          <w:szCs w:val="24"/>
          <w:highlight w:val="none"/>
          <w:lang w:val="en-US" w:eastAsia="zh-CN"/>
        </w:rPr>
        <w:t>原采购公告发布</w:t>
      </w:r>
      <w:r>
        <w:rPr>
          <w:rFonts w:hint="eastAsia" w:ascii="宋体" w:hAnsi="宋体" w:cs="宋体"/>
          <w:color w:val="auto"/>
          <w:kern w:val="0"/>
          <w:sz w:val="24"/>
          <w:szCs w:val="24"/>
          <w:highlight w:val="none"/>
        </w:rPr>
        <w:t>相关媒体上发布更正公告或变更公告。</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文件公示期间对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文件澄清、修改或补充的内容为</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13.3 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文件的澄清、修改或补充都应以法定形式发布。采购人未对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13.4 </w:t>
      </w:r>
      <w:r>
        <w:rPr>
          <w:rFonts w:hint="eastAsia" w:ascii="宋体" w:hAnsi="宋体" w:cs="宋体"/>
          <w:bCs/>
          <w:color w:val="auto"/>
          <w:kern w:val="0"/>
          <w:sz w:val="24"/>
          <w:szCs w:val="24"/>
          <w:highlight w:val="none"/>
        </w:rPr>
        <w:t>采购人</w:t>
      </w:r>
      <w:r>
        <w:rPr>
          <w:rFonts w:hint="eastAsia" w:ascii="宋体" w:hAnsi="宋体" w:cs="宋体"/>
          <w:color w:val="auto"/>
          <w:kern w:val="0"/>
          <w:sz w:val="24"/>
          <w:szCs w:val="24"/>
          <w:highlight w:val="none"/>
        </w:rPr>
        <w:t>可以视招标具体情况延长投标截止时间和开标时间，但至少应当在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文件要求提交投标文件的截止时间3</w:t>
      </w:r>
      <w:r>
        <w:rPr>
          <w:rFonts w:hint="eastAsia" w:ascii="宋体" w:hAnsi="宋体" w:cs="宋体"/>
          <w:bCs/>
          <w:color w:val="auto"/>
          <w:kern w:val="0"/>
          <w:sz w:val="24"/>
          <w:szCs w:val="24"/>
          <w:highlight w:val="none"/>
        </w:rPr>
        <w:t>日</w:t>
      </w:r>
      <w:r>
        <w:rPr>
          <w:rFonts w:hint="eastAsia" w:ascii="宋体" w:hAnsi="宋体" w:cs="宋体"/>
          <w:color w:val="auto"/>
          <w:kern w:val="0"/>
          <w:sz w:val="24"/>
          <w:szCs w:val="24"/>
          <w:highlight w:val="none"/>
        </w:rPr>
        <w:t>前，将变更时间</w:t>
      </w:r>
      <w:r>
        <w:rPr>
          <w:rFonts w:hint="eastAsia" w:ascii="宋体" w:hAnsi="宋体" w:cs="宋体"/>
          <w:color w:val="auto"/>
          <w:kern w:val="0"/>
          <w:sz w:val="24"/>
          <w:szCs w:val="24"/>
          <w:highlight w:val="none"/>
          <w:lang w:val="en-US" w:eastAsia="zh-CN"/>
        </w:rPr>
        <w:t>通知所有潜在投标人</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三、投标文件的编制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14.要求</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14.1 投标人应仔细阅读</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文件的所有内容，按照</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文件提供的格式编写投标文件，不得缺少或留空任何</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文件要求填写的表格或提交的资料。</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文件提供格式的按格式填列，未提供格式的可自行拟定。投标文件应对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14.2 投标人应完整签署投标文件格式附件中《投标书》和《抵制商业贿赂承诺》，不得增减或修改内容。否则视为对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 关于投标计量单位，</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文件已有明确规定的，使用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文件规定的计量单位；</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文件没有规定的，应采用中华人民共和国法定计量单位。否则视为对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16.投标文件的组成</w:t>
      </w:r>
      <w:r>
        <w:rPr>
          <w:rFonts w:hint="eastAsia" w:ascii="宋体" w:hAnsi="宋体" w:cs="宋体"/>
          <w:color w:val="auto"/>
          <w:kern w:val="0"/>
          <w:sz w:val="24"/>
          <w:szCs w:val="24"/>
          <w:highlight w:val="none"/>
        </w:rPr>
        <w:t>。</w:t>
      </w:r>
      <w:r>
        <w:rPr>
          <w:rFonts w:hint="eastAsia" w:ascii="宋体" w:hAnsi="宋体" w:cs="宋体"/>
          <w:b/>
          <w:bCs/>
          <w:color w:val="auto"/>
          <w:kern w:val="0"/>
          <w:sz w:val="24"/>
          <w:szCs w:val="24"/>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16.1、投标书及开标一览表</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16.2、</w:t>
      </w:r>
      <w:r>
        <w:rPr>
          <w:rFonts w:hint="eastAsia" w:ascii="宋体" w:hAnsi="宋体" w:eastAsia="宋体" w:cs="宋体"/>
          <w:color w:val="auto"/>
          <w:kern w:val="0"/>
          <w:sz w:val="24"/>
          <w:szCs w:val="24"/>
          <w:highlight w:val="none"/>
        </w:rPr>
        <w:t>报价明细表</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color w:val="auto"/>
          <w:sz w:val="24"/>
          <w:highlight w:val="none"/>
        </w:rPr>
        <w:t>技术响应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color w:val="auto"/>
          <w:sz w:val="24"/>
          <w:highlight w:val="none"/>
        </w:rPr>
        <w:t>商务响应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、法定代表人身份证明</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、法定代表人授权书</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、证明文件</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w:t>
      </w:r>
      <w:r>
        <w:rPr>
          <w:rFonts w:hint="eastAsia"/>
          <w:color w:val="auto"/>
          <w:sz w:val="24"/>
          <w:highlight w:val="none"/>
        </w:rPr>
        <w:t>供应商承诺书</w:t>
      </w:r>
    </w:p>
    <w:p>
      <w:pPr>
        <w:pStyle w:val="10"/>
        <w:keepNext w:val="0"/>
        <w:keepLines w:val="0"/>
        <w:pageBreakBefore w:val="0"/>
        <w:kinsoku/>
        <w:wordWrap/>
        <w:overflowPunct/>
        <w:topLinePunct w:val="0"/>
        <w:bidi w:val="0"/>
        <w:snapToGrid w:val="0"/>
        <w:spacing w:beforeAutospacing="0" w:afterAutospacing="0" w:line="360" w:lineRule="auto"/>
        <w:rPr>
          <w:rFonts w:hint="eastAsia" w:ascii="Times New Roman" w:hAnsi="Times New Roman" w:eastAsia="宋体" w:cs="Times New Roman"/>
          <w:color w:val="auto"/>
          <w:sz w:val="24"/>
          <w:highlight w:val="none"/>
          <w:lang w:val="en-US" w:eastAsia="zh-CN"/>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Times New Roman" w:hAnsi="Times New Roman" w:eastAsia="宋体" w:cs="Times New Roman"/>
          <w:color w:val="auto"/>
          <w:sz w:val="24"/>
          <w:highlight w:val="none"/>
          <w:lang w:val="en-US" w:eastAsia="zh-CN"/>
        </w:rPr>
        <w:t>供应商信用承诺函</w:t>
      </w:r>
    </w:p>
    <w:p>
      <w:pPr>
        <w:pStyle w:val="10"/>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16.10、</w:t>
      </w:r>
      <w:r>
        <w:rPr>
          <w:rFonts w:hint="eastAsia" w:ascii="宋体" w:hAnsi="宋体" w:eastAsia="宋体" w:cs="宋体"/>
          <w:color w:val="auto"/>
          <w:sz w:val="24"/>
          <w:szCs w:val="24"/>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17.投标有效期</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17.1 投标文件从</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公告所规定的投标截止期之后开始生效，在</w:t>
      </w:r>
      <w:r>
        <w:rPr>
          <w:rFonts w:hint="eastAsia" w:ascii="宋体" w:hAnsi="宋体" w:cs="宋体"/>
          <w:bCs/>
          <w:color w:val="auto"/>
          <w:kern w:val="0"/>
          <w:sz w:val="24"/>
          <w:szCs w:val="24"/>
          <w:highlight w:val="none"/>
        </w:rPr>
        <w:t>投标人须知前附表</w:t>
      </w:r>
      <w:r>
        <w:rPr>
          <w:rFonts w:hint="eastAsia" w:ascii="宋体" w:hAnsi="宋体" w:cs="宋体"/>
          <w:color w:val="auto"/>
          <w:kern w:val="0"/>
          <w:sz w:val="24"/>
          <w:szCs w:val="24"/>
          <w:highlight w:val="none"/>
        </w:rPr>
        <w:t>第1</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17.2特殊情况下</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可于投标有效期满之前书面要求投标人同意延长有效期，投标人应在</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18.投标报价</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18.3 </w:t>
      </w:r>
      <w:r>
        <w:rPr>
          <w:rFonts w:hint="eastAsia" w:ascii="宋体" w:hAnsi="宋体" w:cs="宋体"/>
          <w:color w:val="auto"/>
          <w:spacing w:val="10"/>
          <w:kern w:val="0"/>
          <w:sz w:val="24"/>
          <w:szCs w:val="24"/>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18.5 </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77" w:firstLineChars="198"/>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19.投标保证金（详见采购公告）</w:t>
      </w:r>
    </w:p>
    <w:p>
      <w:pPr>
        <w:keepNext w:val="0"/>
        <w:keepLines w:val="0"/>
        <w:pageBreakBefore w:val="0"/>
        <w:widowControl/>
        <w:kinsoku/>
        <w:wordWrap/>
        <w:overflowPunct/>
        <w:topLinePunct w:val="0"/>
        <w:bidi w:val="0"/>
        <w:snapToGrid w:val="0"/>
        <w:spacing w:line="360" w:lineRule="auto"/>
        <w:ind w:firstLine="477" w:firstLineChars="198"/>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rPr>
        <w:t>20.投标文件的签署</w:t>
      </w:r>
      <w:r>
        <w:rPr>
          <w:rFonts w:hint="eastAsia" w:ascii="宋体" w:hAnsi="宋体" w:cs="宋体"/>
          <w:b/>
          <w:color w:val="auto"/>
          <w:kern w:val="0"/>
          <w:sz w:val="24"/>
          <w:szCs w:val="24"/>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.2 投标文件应当对</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文件有关</w:t>
      </w:r>
      <w:r>
        <w:rPr>
          <w:rFonts w:hint="eastAsia" w:ascii="宋体" w:hAnsi="宋体" w:cs="宋体"/>
          <w:color w:val="auto"/>
          <w:kern w:val="0"/>
          <w:sz w:val="24"/>
          <w:szCs w:val="24"/>
          <w:highlight w:val="none"/>
          <w:lang w:val="en-US" w:eastAsia="zh-CN"/>
        </w:rPr>
        <w:t>交货</w:t>
      </w:r>
      <w:r>
        <w:rPr>
          <w:rFonts w:hint="eastAsia" w:ascii="宋体" w:hAnsi="宋体" w:eastAsia="宋体" w:cs="宋体"/>
          <w:color w:val="auto"/>
          <w:kern w:val="0"/>
          <w:sz w:val="24"/>
          <w:szCs w:val="24"/>
          <w:highlight w:val="none"/>
        </w:rPr>
        <w:t>期、投标有效期、质量要求、技术标准和要求、</w:t>
      </w:r>
      <w:r>
        <w:rPr>
          <w:rFonts w:hint="eastAsia" w:ascii="宋体" w:hAnsi="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77" w:firstLineChars="198"/>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21. 投标文件的密封、标记</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21.1响应文件应密封包装，并在封套的封口处加盖供应商单位章或由供应商的法定代表人（单位负责人）或其授权的代理人签字。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21.2 投标文件的封套上应清楚地标记“正本”或“副本”字样，封套上应写明的其他内容见投标人须知前附表</w:t>
      </w:r>
      <w:r>
        <w:rPr>
          <w:rFonts w:hint="eastAsia" w:ascii="宋体" w:hAnsi="宋体" w:cs="宋体"/>
          <w:color w:val="auto"/>
          <w:kern w:val="0"/>
          <w:sz w:val="24"/>
          <w:szCs w:val="24"/>
          <w:highlight w:val="none"/>
          <w:lang w:eastAsia="zh-CN"/>
        </w:rPr>
        <w:t>。</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sz w:val="24"/>
          <w:szCs w:val="24"/>
          <w:highlight w:val="none"/>
          <w:lang w:eastAsia="zh-CN"/>
        </w:rPr>
      </w:pPr>
      <w:r>
        <w:rPr>
          <w:rFonts w:hint="eastAsia"/>
          <w:sz w:val="24"/>
          <w:szCs w:val="24"/>
          <w:highlight w:val="none"/>
          <w:lang w:eastAsia="zh-CN"/>
        </w:rPr>
        <w:t>2</w:t>
      </w:r>
      <w:r>
        <w:rPr>
          <w:rFonts w:hint="eastAsia"/>
          <w:sz w:val="24"/>
          <w:szCs w:val="24"/>
          <w:highlight w:val="none"/>
          <w:lang w:val="en-US" w:eastAsia="zh-CN"/>
        </w:rPr>
        <w:t>1</w:t>
      </w:r>
      <w:r>
        <w:rPr>
          <w:rFonts w:hint="eastAsia"/>
          <w:sz w:val="24"/>
          <w:szCs w:val="24"/>
          <w:highlight w:val="none"/>
          <w:lang w:eastAsia="zh-CN"/>
        </w:rPr>
        <w:t>.3 未按本章第2</w:t>
      </w:r>
      <w:r>
        <w:rPr>
          <w:rFonts w:hint="eastAsia"/>
          <w:sz w:val="24"/>
          <w:szCs w:val="24"/>
          <w:highlight w:val="none"/>
          <w:lang w:val="en-US" w:eastAsia="zh-CN"/>
        </w:rPr>
        <w:t>1</w:t>
      </w:r>
      <w:r>
        <w:rPr>
          <w:rFonts w:hint="eastAsia"/>
          <w:sz w:val="24"/>
          <w:szCs w:val="24"/>
          <w:highlight w:val="none"/>
          <w:lang w:eastAsia="zh-CN"/>
        </w:rPr>
        <w:t>.1项或第2</w:t>
      </w:r>
      <w:r>
        <w:rPr>
          <w:rFonts w:hint="eastAsia"/>
          <w:sz w:val="24"/>
          <w:szCs w:val="24"/>
          <w:highlight w:val="none"/>
          <w:lang w:val="en-US" w:eastAsia="zh-CN"/>
        </w:rPr>
        <w:t>1</w:t>
      </w:r>
      <w:r>
        <w:rPr>
          <w:rFonts w:hint="eastAsia"/>
          <w:sz w:val="24"/>
          <w:szCs w:val="24"/>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.1 投标人应在规定的投标截止时间前</w:t>
      </w:r>
      <w:r>
        <w:rPr>
          <w:rFonts w:hint="eastAsia" w:ascii="宋体" w:hAnsi="宋体" w:cs="宋体"/>
          <w:color w:val="auto"/>
          <w:kern w:val="0"/>
          <w:sz w:val="24"/>
          <w:szCs w:val="24"/>
          <w:highlight w:val="none"/>
          <w:lang w:eastAsia="zh-CN"/>
        </w:rPr>
        <w:t>递交</w:t>
      </w:r>
      <w:r>
        <w:rPr>
          <w:rFonts w:hint="eastAsia" w:ascii="宋体" w:hAnsi="宋体" w:cs="宋体"/>
          <w:color w:val="auto"/>
          <w:kern w:val="0"/>
          <w:sz w:val="24"/>
          <w:szCs w:val="24"/>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23.1 投标人在投标截止时间前，可以对所提交的投标文件进行补充、修改或者撤回，并书面通知</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rPr>
        <w:t>. 组建评标委员会</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.1 评标委员会由采购人代表和评审专家组成。成员由</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人以上单数组成。</w:t>
      </w:r>
      <w:r>
        <w:rPr>
          <w:rFonts w:hint="eastAsia" w:ascii="宋体" w:hAnsi="宋体" w:cs="宋体"/>
          <w:color w:val="auto"/>
          <w:sz w:val="24"/>
          <w:szCs w:val="24"/>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.2评标委员会成员要依法独立评审，并对评审意见承担个人责任。</w:t>
      </w:r>
      <w:r>
        <w:rPr>
          <w:rFonts w:hint="eastAsia" w:ascii="宋体" w:hAnsi="宋体" w:cs="宋体"/>
          <w:color w:val="auto"/>
          <w:sz w:val="24"/>
          <w:szCs w:val="24"/>
          <w:highlight w:val="none"/>
        </w:rPr>
        <w:t>评标委员会成员对需要共同认定的事项存在争议的，按照少数服从多数的原则</w:t>
      </w:r>
      <w:r>
        <w:rPr>
          <w:rFonts w:hint="eastAsia" w:ascii="宋体" w:hAnsi="宋体" w:cs="宋体"/>
          <w:color w:val="auto"/>
          <w:kern w:val="0"/>
          <w:sz w:val="24"/>
          <w:szCs w:val="24"/>
          <w:highlight w:val="none"/>
        </w:rPr>
        <w:t>做</w:t>
      </w:r>
      <w:r>
        <w:rPr>
          <w:rFonts w:hint="eastAsia" w:ascii="宋体" w:hAnsi="宋体" w:cs="宋体"/>
          <w:color w:val="auto"/>
          <w:sz w:val="24"/>
          <w:szCs w:val="24"/>
          <w:highlight w:val="none"/>
        </w:rPr>
        <w:t>出结论。持不同意见的评标委员会成员应当在评标报告上签署不同意见</w:t>
      </w:r>
      <w:r>
        <w:rPr>
          <w:rFonts w:hint="eastAsia" w:ascii="宋体" w:hAnsi="宋体" w:cs="宋体"/>
          <w:color w:val="auto"/>
          <w:kern w:val="0"/>
          <w:sz w:val="24"/>
          <w:szCs w:val="24"/>
          <w:highlight w:val="none"/>
        </w:rPr>
        <w:t>并说明</w:t>
      </w:r>
      <w:r>
        <w:rPr>
          <w:rFonts w:hint="eastAsia" w:ascii="宋体" w:hAnsi="宋体" w:cs="宋体"/>
          <w:color w:val="auto"/>
          <w:sz w:val="24"/>
          <w:szCs w:val="24"/>
          <w:highlight w:val="none"/>
        </w:rPr>
        <w:t>理由，否则视为同意。</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2</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 投标文件的初审</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.1对所有投标人的评估，都采用相同的程序和标准。评标过程将严格按照</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文件的要求和条件进行。</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 xml:space="preserve"> </w:t>
      </w:r>
      <w:r>
        <w:rPr>
          <w:rFonts w:hint="eastAsia"/>
          <w:color w:val="auto"/>
          <w:kern w:val="0"/>
          <w:sz w:val="24"/>
          <w:szCs w:val="24"/>
          <w:highlight w:val="none"/>
        </w:rPr>
        <w:t>投标文件报价出现前后不一致的，除</w:t>
      </w:r>
      <w:r>
        <w:rPr>
          <w:rFonts w:hint="eastAsia"/>
          <w:color w:val="auto"/>
          <w:kern w:val="0"/>
          <w:sz w:val="24"/>
          <w:szCs w:val="24"/>
          <w:highlight w:val="none"/>
          <w:lang w:val="en-US" w:eastAsia="zh-CN"/>
        </w:rPr>
        <w:t>采购</w:t>
      </w:r>
      <w:r>
        <w:rPr>
          <w:rFonts w:hint="eastAsia"/>
          <w:color w:val="auto"/>
          <w:kern w:val="0"/>
          <w:sz w:val="24"/>
          <w:szCs w:val="24"/>
          <w:highlight w:val="none"/>
        </w:rPr>
        <w:t>文件另有规定外，</w:t>
      </w:r>
      <w:r>
        <w:rPr>
          <w:rFonts w:hint="eastAsia" w:cs="宋体"/>
          <w:color w:val="auto"/>
          <w:kern w:val="0"/>
          <w:sz w:val="24"/>
          <w:szCs w:val="24"/>
          <w:highlight w:val="none"/>
        </w:rPr>
        <w:t>修正错误的原则如下：</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.3.1</w:t>
      </w:r>
      <w:r>
        <w:rPr>
          <w:rFonts w:hint="eastAsia" w:ascii="宋体" w:hAnsi="宋体" w:cs="宋体"/>
          <w:color w:val="auto"/>
          <w:sz w:val="24"/>
          <w:szCs w:val="24"/>
          <w:highlight w:val="none"/>
          <w:shd w:val="clear" w:color="auto" w:fill="FFFFFF"/>
        </w:rPr>
        <w:t>投标文件开标一览表（报价表）内容与投标文件中相应内容不一致的，以开标一览表（报价表）为准；</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.3.2</w:t>
      </w:r>
      <w:r>
        <w:rPr>
          <w:rFonts w:hint="eastAsia" w:ascii="宋体" w:hAnsi="宋体" w:cs="宋体"/>
          <w:color w:val="auto"/>
          <w:sz w:val="24"/>
          <w:szCs w:val="24"/>
          <w:highlight w:val="none"/>
          <w:shd w:val="clear" w:color="auto" w:fill="FFFFFF"/>
        </w:rPr>
        <w:t>大写金额</w:t>
      </w:r>
      <w:r>
        <w:rPr>
          <w:rFonts w:hint="eastAsia" w:ascii="宋体" w:hAnsi="宋体" w:cs="宋体"/>
          <w:color w:val="auto"/>
          <w:sz w:val="24"/>
          <w:szCs w:val="24"/>
          <w:highlight w:val="none"/>
        </w:rPr>
        <w:t>与</w:t>
      </w:r>
      <w:r>
        <w:rPr>
          <w:rFonts w:hint="eastAsia" w:ascii="宋体" w:hAnsi="宋体" w:cs="宋体"/>
          <w:color w:val="auto"/>
          <w:sz w:val="24"/>
          <w:szCs w:val="24"/>
          <w:highlight w:val="none"/>
          <w:shd w:val="clear" w:color="auto" w:fill="FFFFFF"/>
        </w:rPr>
        <w:t>小写金额不一致的，以大写金额为准；</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.3.3</w:t>
      </w:r>
      <w:r>
        <w:rPr>
          <w:rFonts w:hint="eastAsia" w:ascii="宋体" w:hAnsi="宋体" w:cs="宋体"/>
          <w:color w:val="auto"/>
          <w:sz w:val="24"/>
          <w:szCs w:val="24"/>
          <w:highlight w:val="none"/>
          <w:shd w:val="clear" w:color="auto" w:fill="FFFFFF"/>
        </w:rPr>
        <w:t>单价金额小数点或者百分比有明显错位的，以开标一览表的总价为准，并修改单价；</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.3.4</w:t>
      </w:r>
      <w:r>
        <w:rPr>
          <w:rFonts w:hint="eastAsia" w:ascii="宋体" w:hAnsi="宋体" w:cs="宋体"/>
          <w:color w:val="auto"/>
          <w:sz w:val="24"/>
          <w:szCs w:val="24"/>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.4.1</w:t>
      </w:r>
      <w:r>
        <w:rPr>
          <w:rFonts w:hint="eastAsia" w:ascii="宋体" w:hAnsi="宋体"/>
          <w:color w:val="auto"/>
          <w:sz w:val="24"/>
          <w:szCs w:val="24"/>
          <w:highlight w:val="none"/>
        </w:rPr>
        <w:t>资格性检查。依据法规政策和</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文件的规定，在对投标文件详细评估之前，采购人将依据投标人提交的投标文件按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公告第二项和</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文件所规定的资格标准或提供资格证明文件不全,其投标将被作为无效投标。</w:t>
      </w:r>
      <w:r>
        <w:rPr>
          <w:rFonts w:hint="eastAsia" w:ascii="宋体" w:hAnsi="宋体" w:cs="Lucida Sans Unicode"/>
          <w:color w:val="auto"/>
          <w:sz w:val="24"/>
          <w:szCs w:val="24"/>
          <w:highlight w:val="none"/>
        </w:rPr>
        <w:t>在审查过程中，采购人有权要求投标人按</w:t>
      </w:r>
      <w:r>
        <w:rPr>
          <w:rFonts w:hint="eastAsia" w:ascii="宋体" w:hAnsi="宋体" w:cs="Lucida Sans Unicode"/>
          <w:color w:val="auto"/>
          <w:sz w:val="24"/>
          <w:szCs w:val="24"/>
          <w:highlight w:val="none"/>
          <w:lang w:val="en-US" w:eastAsia="zh-CN"/>
        </w:rPr>
        <w:t>采购</w:t>
      </w:r>
      <w:r>
        <w:rPr>
          <w:rFonts w:hint="eastAsia" w:ascii="宋体" w:hAnsi="宋体" w:cs="Lucida Sans Unicode"/>
          <w:color w:val="auto"/>
          <w:sz w:val="24"/>
          <w:szCs w:val="24"/>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Lucida Sans Unicode"/>
          <w:color w:val="auto"/>
          <w:sz w:val="24"/>
          <w:szCs w:val="24"/>
          <w:highlight w:val="none"/>
        </w:rPr>
      </w:pPr>
      <w:r>
        <w:rPr>
          <w:rFonts w:hint="eastAsia" w:ascii="宋体" w:hAnsi="宋体" w:cs="Lucida Sans Unicode"/>
          <w:color w:val="auto"/>
          <w:sz w:val="24"/>
          <w:szCs w:val="24"/>
          <w:highlight w:val="none"/>
        </w:rPr>
        <w:t>2</w:t>
      </w:r>
      <w:r>
        <w:rPr>
          <w:rFonts w:hint="eastAsia" w:ascii="宋体" w:hAnsi="宋体" w:cs="Lucida Sans Unicode"/>
          <w:color w:val="auto"/>
          <w:sz w:val="24"/>
          <w:szCs w:val="24"/>
          <w:highlight w:val="none"/>
          <w:lang w:val="en-US" w:eastAsia="zh-CN"/>
        </w:rPr>
        <w:t>5</w:t>
      </w:r>
      <w:r>
        <w:rPr>
          <w:rFonts w:hint="eastAsia" w:ascii="宋体" w:hAnsi="宋体" w:cs="Lucida Sans Unicode"/>
          <w:color w:val="auto"/>
          <w:sz w:val="24"/>
          <w:szCs w:val="24"/>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.4.3 符合性检查。依据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文件的规定，评标委员会将从投标文件的有效性、完整性和对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文件的响应程度进行审查，以确定是否符合对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（3）资格证明文件不全的，或不符合</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（4）投标有效期、交货时间、质保期等不满足</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（5）未按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（6）投标文件的实质性内容未使用中文表述，或意思表述不明确，或前后矛盾，或使用计量单位不符合</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olor w:val="auto"/>
          <w:sz w:val="24"/>
          <w:szCs w:val="24"/>
          <w:highlight w:val="none"/>
        </w:rPr>
        <w:t>（8）投标文件内容未按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（9）不符合</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.4.4 对资格性检查和符合性检查不合格的投标人，将</w:t>
      </w:r>
      <w:r>
        <w:rPr>
          <w:rFonts w:hint="eastAsia" w:ascii="宋体" w:hAnsi="宋体" w:cs="宋体"/>
          <w:color w:val="auto"/>
          <w:kern w:val="0"/>
          <w:sz w:val="24"/>
          <w:szCs w:val="24"/>
          <w:highlight w:val="none"/>
          <w:lang w:val="en-US" w:eastAsia="zh-CN"/>
        </w:rPr>
        <w:t>通过评标系统</w:t>
      </w:r>
      <w:r>
        <w:rPr>
          <w:rFonts w:hint="eastAsia" w:ascii="宋体" w:hAnsi="宋体" w:cs="宋体"/>
          <w:color w:val="auto"/>
          <w:kern w:val="0"/>
          <w:sz w:val="24"/>
          <w:szCs w:val="24"/>
          <w:highlight w:val="none"/>
        </w:rPr>
        <w:t>告知其理由。</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456" w:firstLineChars="190"/>
        <w:jc w:val="left"/>
        <w:textAlignment w:val="baseline"/>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6</w:t>
      </w:r>
      <w:r>
        <w:rPr>
          <w:rFonts w:hint="eastAsia" w:ascii="宋体" w:hAnsi="宋体" w:cs="宋体"/>
          <w:b/>
          <w:bCs/>
          <w:color w:val="auto"/>
          <w:kern w:val="0"/>
          <w:sz w:val="24"/>
          <w:szCs w:val="24"/>
          <w:highlight w:val="none"/>
        </w:rPr>
        <w:t>. 投标文件的澄清</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7</w:t>
      </w:r>
      <w:r>
        <w:rPr>
          <w:rFonts w:hint="eastAsia" w:ascii="宋体" w:hAnsi="宋体" w:cs="宋体"/>
          <w:b/>
          <w:bCs/>
          <w:color w:val="auto"/>
          <w:kern w:val="0"/>
          <w:sz w:val="24"/>
          <w:szCs w:val="24"/>
          <w:highlight w:val="none"/>
        </w:rPr>
        <w:t>. 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.1 评标委员会将按本</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文件规定的评标方法与标准，对资格性检查和符合性检查合格的投标文件进行商务和技术评估，综合比较与评价。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.2对漏（缺）报项的处理：</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文件中要求列入报价的费用（含配置、功能），漏（缺）报的视同已含在投标总价中。</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b/>
          <w:bCs/>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8</w:t>
      </w:r>
      <w:r>
        <w:rPr>
          <w:rFonts w:hint="eastAsia" w:ascii="宋体" w:hAnsi="宋体" w:cs="宋体"/>
          <w:b/>
          <w:bCs/>
          <w:color w:val="auto"/>
          <w:kern w:val="0"/>
          <w:sz w:val="24"/>
          <w:szCs w:val="24"/>
          <w:highlight w:val="none"/>
        </w:rPr>
        <w:t>. 评标过程及保密原则</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.1 凡与本次</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29</w:t>
      </w:r>
      <w:r>
        <w:rPr>
          <w:rFonts w:hint="eastAsia" w:ascii="宋体" w:hAnsi="宋体" w:cs="宋体"/>
          <w:b/>
          <w:color w:val="auto"/>
          <w:kern w:val="0"/>
          <w:sz w:val="24"/>
          <w:szCs w:val="24"/>
          <w:highlight w:val="none"/>
        </w:rPr>
        <w:t>.评标异议登记</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bCs/>
          <w:color w:val="auto"/>
          <w:kern w:val="0"/>
          <w:sz w:val="24"/>
          <w:szCs w:val="24"/>
          <w:highlight w:val="none"/>
        </w:rPr>
        <w:t>采购人</w:t>
      </w:r>
      <w:r>
        <w:rPr>
          <w:rFonts w:hint="eastAsia" w:ascii="宋体" w:hAnsi="宋体" w:cs="宋体"/>
          <w:color w:val="auto"/>
          <w:kern w:val="0"/>
          <w:sz w:val="24"/>
          <w:szCs w:val="24"/>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pPr>
        <w:keepNext w:val="0"/>
        <w:keepLines w:val="0"/>
        <w:pageBreakBefore w:val="0"/>
        <w:widowControl/>
        <w:kinsoku/>
        <w:wordWrap/>
        <w:overflowPunct/>
        <w:topLinePunct w:val="0"/>
        <w:bidi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0</w:t>
      </w:r>
      <w:r>
        <w:rPr>
          <w:rFonts w:hint="eastAsia" w:ascii="宋体" w:hAnsi="宋体" w:cs="宋体"/>
          <w:b/>
          <w:bCs/>
          <w:color w:val="auto"/>
          <w:kern w:val="0"/>
          <w:sz w:val="24"/>
          <w:szCs w:val="24"/>
          <w:highlight w:val="none"/>
        </w:rPr>
        <w:t>. 定标原则</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.2 确定实质上响应</w:t>
      </w:r>
      <w:r>
        <w:rPr>
          <w:rFonts w:hint="eastAsia" w:ascii="宋体" w:hAnsi="宋体" w:cs="宋体"/>
          <w:bCs/>
          <w:color w:val="auto"/>
          <w:kern w:val="0"/>
          <w:sz w:val="24"/>
          <w:szCs w:val="24"/>
          <w:highlight w:val="none"/>
          <w:lang w:val="en-US" w:eastAsia="zh-CN"/>
        </w:rPr>
        <w:t>采购</w:t>
      </w:r>
      <w:r>
        <w:rPr>
          <w:rFonts w:hint="eastAsia" w:ascii="宋体" w:hAnsi="宋体" w:cs="宋体"/>
          <w:bCs/>
          <w:color w:val="auto"/>
          <w:kern w:val="0"/>
          <w:sz w:val="24"/>
          <w:szCs w:val="24"/>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sz w:val="24"/>
          <w:szCs w:val="24"/>
          <w:highlight w:val="none"/>
        </w:rPr>
      </w:pPr>
      <w:bookmarkStart w:id="41" w:name="_Toc32200"/>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.2.1</w:t>
      </w:r>
      <w:bookmarkEnd w:id="41"/>
      <w:r>
        <w:rPr>
          <w:rFonts w:hint="eastAsia" w:ascii="宋体" w:hAnsi="宋体" w:cs="宋体"/>
          <w:bCs/>
          <w:color w:val="auto"/>
          <w:kern w:val="0"/>
          <w:sz w:val="24"/>
          <w:szCs w:val="24"/>
          <w:highlight w:val="none"/>
        </w:rPr>
        <w:t>本次评标采用</w:t>
      </w:r>
      <w:r>
        <w:rPr>
          <w:rFonts w:hint="eastAsia" w:ascii="宋体" w:hAnsi="宋体" w:cs="宋体"/>
          <w:color w:val="auto"/>
          <w:sz w:val="24"/>
          <w:szCs w:val="24"/>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采用综合评分法的，评标结果按评审后得分由高到低顺序排列。投标文件满足</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1</w:t>
      </w:r>
      <w:r>
        <w:rPr>
          <w:rFonts w:hint="eastAsia" w:ascii="宋体" w:hAnsi="宋体" w:cs="宋体"/>
          <w:b/>
          <w:bCs/>
          <w:color w:val="auto"/>
          <w:kern w:val="0"/>
          <w:sz w:val="24"/>
          <w:szCs w:val="24"/>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bCs/>
          <w:color w:val="auto"/>
          <w:kern w:val="0"/>
          <w:sz w:val="24"/>
          <w:szCs w:val="24"/>
          <w:highlight w:val="none"/>
        </w:rPr>
        <w:t>本项目由采购人授权评标委员会确定一名中标人并推荐两名中标候选人</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2</w:t>
      </w:r>
      <w:r>
        <w:rPr>
          <w:rFonts w:hint="eastAsia" w:ascii="宋体" w:hAnsi="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eastAsia="zh-CN"/>
        </w:rPr>
        <w:t>成交通知书</w:t>
      </w:r>
      <w:r>
        <w:rPr>
          <w:rFonts w:hint="eastAsia" w:ascii="宋体" w:hAnsi="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成交公告</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.1评审结束后，</w:t>
      </w:r>
      <w:r>
        <w:rPr>
          <w:rFonts w:hint="eastAsia" w:ascii="宋体" w:hAnsi="宋体" w:cs="宋体"/>
          <w:color w:val="auto"/>
          <w:kern w:val="0"/>
          <w:sz w:val="24"/>
          <w:szCs w:val="24"/>
          <w:highlight w:val="none"/>
          <w:lang w:eastAsia="zh-CN"/>
        </w:rPr>
        <w:t>采购</w:t>
      </w:r>
      <w:r>
        <w:rPr>
          <w:rFonts w:hint="eastAsia" w:ascii="宋体" w:hAnsi="宋体" w:cs="宋体"/>
          <w:color w:val="auto"/>
          <w:kern w:val="0"/>
          <w:sz w:val="24"/>
          <w:szCs w:val="24"/>
          <w:highlight w:val="none"/>
        </w:rPr>
        <w:t>人将中标候选人的情况在本</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项目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公告发布的同一媒介予以公示，公示</w:t>
      </w:r>
      <w:r>
        <w:rPr>
          <w:rFonts w:hint="eastAsia" w:ascii="宋体" w:hAnsi="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个工作日</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公示期结束后</w:t>
      </w:r>
      <w:r>
        <w:rPr>
          <w:rFonts w:hint="eastAsia" w:ascii="宋体" w:hAnsi="宋体" w:cs="宋体"/>
          <w:color w:val="auto"/>
          <w:kern w:val="0"/>
          <w:sz w:val="24"/>
          <w:szCs w:val="24"/>
          <w:highlight w:val="none"/>
        </w:rPr>
        <w:t>向中标人发出</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.2中标人在规定的时间内不领取</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对采购人和中标人具有同等法律效力。</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bCs/>
          <w:color w:val="auto"/>
          <w:kern w:val="0"/>
          <w:sz w:val="24"/>
          <w:szCs w:val="24"/>
          <w:highlight w:val="none"/>
        </w:rPr>
        <w:t>.4</w:t>
      </w:r>
      <w:r>
        <w:rPr>
          <w:rFonts w:hint="eastAsia" w:ascii="宋体" w:hAnsi="宋体" w:cs="宋体"/>
          <w:bCs/>
          <w:color w:val="auto"/>
          <w:kern w:val="0"/>
          <w:sz w:val="24"/>
          <w:szCs w:val="24"/>
          <w:highlight w:val="none"/>
          <w:lang w:eastAsia="zh-CN"/>
        </w:rPr>
        <w:t>成交通知书</w:t>
      </w:r>
      <w:r>
        <w:rPr>
          <w:rFonts w:hint="eastAsia" w:ascii="宋体" w:hAnsi="宋体" w:cs="宋体"/>
          <w:bCs/>
          <w:color w:val="auto"/>
          <w:kern w:val="0"/>
          <w:sz w:val="24"/>
          <w:szCs w:val="24"/>
          <w:highlight w:val="none"/>
        </w:rPr>
        <w:t>将作为签订合同的依据。合同签订后，</w:t>
      </w:r>
      <w:r>
        <w:rPr>
          <w:rFonts w:hint="eastAsia" w:ascii="宋体" w:hAnsi="宋体" w:cs="宋体"/>
          <w:bCs/>
          <w:color w:val="auto"/>
          <w:kern w:val="0"/>
          <w:sz w:val="24"/>
          <w:szCs w:val="24"/>
          <w:highlight w:val="none"/>
          <w:lang w:eastAsia="zh-CN"/>
        </w:rPr>
        <w:t>成交通知书</w:t>
      </w:r>
      <w:r>
        <w:rPr>
          <w:rFonts w:hint="eastAsia" w:ascii="宋体" w:hAnsi="宋体" w:cs="宋体"/>
          <w:bCs/>
          <w:color w:val="auto"/>
          <w:kern w:val="0"/>
          <w:sz w:val="24"/>
          <w:szCs w:val="24"/>
          <w:highlight w:val="none"/>
        </w:rPr>
        <w:t>成为合同的一部分。</w:t>
      </w:r>
    </w:p>
    <w:p>
      <w:pPr>
        <w:keepNext w:val="0"/>
        <w:keepLines w:val="0"/>
        <w:pageBreakBefore w:val="0"/>
        <w:widowControl/>
        <w:kinsoku/>
        <w:wordWrap/>
        <w:overflowPunct/>
        <w:topLinePunct w:val="0"/>
        <w:bidi w:val="0"/>
        <w:snapToGrid w:val="0"/>
        <w:spacing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3</w:t>
      </w:r>
      <w:r>
        <w:rPr>
          <w:rFonts w:hint="eastAsia" w:ascii="宋体" w:hAnsi="宋体" w:cs="宋体"/>
          <w:b/>
          <w:bCs/>
          <w:color w:val="auto"/>
          <w:kern w:val="0"/>
          <w:sz w:val="24"/>
          <w:szCs w:val="24"/>
          <w:highlight w:val="none"/>
        </w:rPr>
        <w:t>. 采购人宣布废标的权利</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.1.2投标人的报价均超过了</w:t>
      </w:r>
      <w:r>
        <w:rPr>
          <w:rFonts w:hint="eastAsia" w:ascii="宋体" w:hAnsi="宋体" w:cs="宋体"/>
          <w:bCs/>
          <w:color w:val="auto"/>
          <w:kern w:val="0"/>
          <w:sz w:val="24"/>
          <w:szCs w:val="24"/>
          <w:highlight w:val="none"/>
          <w:lang w:val="en-US" w:eastAsia="zh-CN"/>
        </w:rPr>
        <w:t>采购预算金额</w:t>
      </w:r>
      <w:r>
        <w:rPr>
          <w:rFonts w:hint="eastAsia" w:ascii="宋体" w:hAnsi="宋体" w:cs="宋体"/>
          <w:bCs/>
          <w:color w:val="auto"/>
          <w:kern w:val="0"/>
          <w:sz w:val="24"/>
          <w:szCs w:val="24"/>
          <w:highlight w:val="none"/>
        </w:rPr>
        <w:t>，采购人不能支付的。</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.1.3因重大变故，采购任务取消的。</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color w:val="auto"/>
          <w:kern w:val="0"/>
          <w:sz w:val="24"/>
          <w:szCs w:val="24"/>
          <w:highlight w:val="none"/>
        </w:rPr>
        <w:t xml:space="preserve">.2 </w:t>
      </w:r>
      <w:r>
        <w:rPr>
          <w:rFonts w:hint="eastAsia" w:ascii="宋体" w:hAnsi="宋体" w:cs="宋体"/>
          <w:color w:val="auto"/>
          <w:sz w:val="24"/>
          <w:szCs w:val="24"/>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80" w:firstLineChars="200"/>
        <w:rPr>
          <w:rFonts w:ascii="宋体" w:hAnsi="宋体" w:cs="宋体"/>
          <w:b/>
          <w:color w:val="auto"/>
          <w:kern w:val="0"/>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pPr>
        <w:keepNext w:val="0"/>
        <w:keepLines w:val="0"/>
        <w:pageBreakBefore w:val="0"/>
        <w:widowControl/>
        <w:kinsoku/>
        <w:wordWrap/>
        <w:overflowPunct/>
        <w:topLinePunct w:val="0"/>
        <w:bidi w:val="0"/>
        <w:snapToGrid w:val="0"/>
        <w:spacing w:line="360" w:lineRule="auto"/>
        <w:ind w:firstLine="540" w:firstLineChars="224"/>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rPr>
        <w:t>.合同签订</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u w:val="single"/>
        </w:rPr>
      </w:pPr>
      <w:bookmarkStart w:id="42" w:name="_Toc8594"/>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.1 采购人、中标人自</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发出之日起，在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文件第三章《投标人须知前附表》规定的时间内，根据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文件确定的事项和中标人投标文件签订合同。双方所签订的合同不得对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 xml:space="preserve">.2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.3 中标人</w:t>
      </w:r>
      <w:r>
        <w:rPr>
          <w:rFonts w:hint="eastAsia" w:cs="宋体"/>
          <w:color w:val="auto"/>
          <w:kern w:val="0"/>
          <w:sz w:val="24"/>
          <w:szCs w:val="24"/>
          <w:highlight w:val="none"/>
        </w:rPr>
        <w:t>放弃中标、因不可抗力不能履行合同、不按照</w:t>
      </w:r>
      <w:r>
        <w:rPr>
          <w:rFonts w:hint="eastAsia" w:cs="宋体"/>
          <w:color w:val="auto"/>
          <w:kern w:val="0"/>
          <w:sz w:val="24"/>
          <w:szCs w:val="24"/>
          <w:highlight w:val="none"/>
          <w:lang w:val="en-US" w:eastAsia="zh-CN"/>
        </w:rPr>
        <w:t>采购</w:t>
      </w:r>
      <w:r>
        <w:rPr>
          <w:rFonts w:hint="eastAsia" w:cs="宋体"/>
          <w:color w:val="auto"/>
          <w:kern w:val="0"/>
          <w:sz w:val="24"/>
          <w:szCs w:val="24"/>
          <w:highlight w:val="none"/>
        </w:rPr>
        <w:t>文件要求提交履约保证金，或者被查实存在影响中标结果的违法行为等情形，不符合中标条件的，</w:t>
      </w:r>
      <w:r>
        <w:rPr>
          <w:rFonts w:hint="eastAsia" w:ascii="宋体" w:hAnsi="宋体" w:cs="宋体"/>
          <w:color w:val="auto"/>
          <w:kern w:val="0"/>
          <w:sz w:val="24"/>
          <w:szCs w:val="24"/>
          <w:highlight w:val="none"/>
        </w:rPr>
        <w:t>采购人可以</w:t>
      </w:r>
      <w:r>
        <w:rPr>
          <w:rFonts w:hint="eastAsia" w:cs="宋体"/>
          <w:color w:val="auto"/>
          <w:kern w:val="0"/>
          <w:sz w:val="24"/>
          <w:szCs w:val="24"/>
          <w:highlight w:val="none"/>
        </w:rPr>
        <w:t>按照评标委员会提出的中标候选</w:t>
      </w:r>
      <w:r>
        <w:rPr>
          <w:rFonts w:hint="eastAsia" w:ascii="宋体" w:hAnsi="宋体" w:cs="宋体"/>
          <w:color w:val="auto"/>
          <w:kern w:val="0"/>
          <w:sz w:val="24"/>
          <w:szCs w:val="24"/>
          <w:highlight w:val="none"/>
        </w:rPr>
        <w:t>人</w:t>
      </w:r>
      <w:r>
        <w:rPr>
          <w:rFonts w:hint="eastAsia" w:cs="宋体"/>
          <w:color w:val="auto"/>
          <w:kern w:val="0"/>
          <w:sz w:val="24"/>
          <w:szCs w:val="24"/>
          <w:highlight w:val="none"/>
        </w:rPr>
        <w:t>名单排序依次确定其他中标候选</w:t>
      </w:r>
      <w:r>
        <w:rPr>
          <w:rFonts w:hint="eastAsia" w:ascii="宋体" w:hAnsi="宋体" w:cs="宋体"/>
          <w:color w:val="auto"/>
          <w:kern w:val="0"/>
          <w:sz w:val="24"/>
          <w:szCs w:val="24"/>
          <w:highlight w:val="none"/>
        </w:rPr>
        <w:t>人</w:t>
      </w:r>
      <w:r>
        <w:rPr>
          <w:rFonts w:hint="eastAsia" w:cs="宋体"/>
          <w:color w:val="auto"/>
          <w:kern w:val="0"/>
          <w:sz w:val="24"/>
          <w:szCs w:val="24"/>
          <w:highlight w:val="none"/>
        </w:rPr>
        <w:t>为中标</w:t>
      </w:r>
      <w:r>
        <w:rPr>
          <w:rFonts w:hint="eastAsia" w:ascii="宋体" w:hAnsi="宋体" w:cs="宋体"/>
          <w:color w:val="auto"/>
          <w:kern w:val="0"/>
          <w:sz w:val="24"/>
          <w:szCs w:val="24"/>
          <w:highlight w:val="none"/>
        </w:rPr>
        <w:t>人</w:t>
      </w:r>
      <w:r>
        <w:rPr>
          <w:rFonts w:hint="eastAsia" w:cs="宋体"/>
          <w:color w:val="auto"/>
          <w:kern w:val="0"/>
          <w:sz w:val="24"/>
          <w:szCs w:val="24"/>
          <w:highlight w:val="none"/>
        </w:rPr>
        <w:t>，也可以重新招标。</w:t>
      </w:r>
    </w:p>
    <w:bookmarkEnd w:id="42"/>
    <w:p>
      <w:pPr>
        <w:rPr>
          <w:rFonts w:hint="eastAsia" w:ascii="黑体" w:hAnsi="宋体" w:eastAsia="黑体" w:cs="宋体"/>
          <w:b/>
          <w:bCs/>
          <w:color w:val="auto"/>
          <w:kern w:val="0"/>
          <w:sz w:val="32"/>
          <w:szCs w:val="32"/>
          <w:highlight w:val="none"/>
        </w:rPr>
      </w:pPr>
      <w:bookmarkStart w:id="43" w:name="_Toc9022"/>
      <w:bookmarkStart w:id="44" w:name="_Toc4700"/>
      <w:bookmarkStart w:id="45" w:name="_Toc16669"/>
      <w:r>
        <w:rPr>
          <w:rFonts w:hint="eastAsia" w:ascii="黑体" w:hAnsi="宋体" w:eastAsia="黑体" w:cs="宋体"/>
          <w:b/>
          <w:bCs/>
          <w:color w:val="auto"/>
          <w:kern w:val="0"/>
          <w:sz w:val="32"/>
          <w:szCs w:val="32"/>
          <w:highlight w:val="none"/>
        </w:rPr>
        <w:br w:type="page"/>
      </w:r>
    </w:p>
    <w:p>
      <w:pPr>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第四章  评标办法及评分标准</w:t>
      </w:r>
      <w:bookmarkEnd w:id="43"/>
      <w:bookmarkEnd w:id="44"/>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（一）评标原则</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按照“公平、公正”的原则对待所有投标人</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按照</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）评标办法</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2．评标委员会按照</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.投标文件满足</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p>
      <w:pPr>
        <w:keepNext w:val="0"/>
        <w:keepLines w:val="0"/>
        <w:pageBreakBefore w:val="0"/>
        <w:numPr>
          <w:ilvl w:val="0"/>
          <w:numId w:val="3"/>
        </w:numPr>
        <w:kinsoku/>
        <w:overflowPunct/>
        <w:topLinePunct w:val="0"/>
        <w:bidi w:val="0"/>
        <w:snapToGrid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 (</w:t>
            </w:r>
            <w:r>
              <w:rPr>
                <w:rFonts w:hint="eastAsia" w:ascii="宋体" w:hAnsi="宋体" w:eastAsia="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rPr>
              <w:t>分)</w:t>
            </w:r>
          </w:p>
        </w:tc>
        <w:tc>
          <w:tcPr>
            <w:tcW w:w="8243" w:type="dxa"/>
            <w:gridSpan w:val="2"/>
            <w:vAlign w:val="center"/>
          </w:tcPr>
          <w:p>
            <w:pPr>
              <w:pStyle w:val="49"/>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9"/>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有效投标报价：投标报价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采购预算价的为有效投标报价。</w:t>
            </w:r>
          </w:p>
          <w:p>
            <w:pPr>
              <w:pStyle w:val="49"/>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投标报价得分=（评标基准价/有效投标报价）×</w:t>
            </w:r>
            <w:r>
              <w:rPr>
                <w:rFonts w:hint="eastAsia" w:ascii="宋体" w:hAnsi="宋体" w:eastAsia="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1239" w:type="dxa"/>
            <w:vMerge w:val="restart"/>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lang w:eastAsia="zh-CN"/>
              </w:rPr>
              <w:t>分）</w:t>
            </w:r>
          </w:p>
        </w:tc>
        <w:tc>
          <w:tcPr>
            <w:tcW w:w="2140" w:type="dxa"/>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1.产品技术参数（</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投标人对“第二章  采购需求”技术参数、性能及产品功能等的响应，所投内容全部满足磋商文件要求得30分，加★号一项不满足扣4分，不加★号的一项不满足扣2分，如得分为0，则投标无效。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1）供应商需提供参数偏离表，并标注偏离情况。</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2）提供相关证明文件，并对响应技术参数部分做出明显标注。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239" w:type="dxa"/>
            <w:vMerge w:val="continue"/>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lang w:val="en-US" w:eastAsia="zh-CN"/>
              </w:rPr>
            </w:pPr>
          </w:p>
        </w:tc>
        <w:tc>
          <w:tcPr>
            <w:tcW w:w="2140" w:type="dxa"/>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2.实施方案（10分）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供应商对项目实施方案的整体规划，包括设备对接方案、调试方案、交货期保证措施。</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以上措施详细、合理、可行的7-10分；基本详细、基本合理、基本可行的4-6分；基本详细度、合理性差、可行性差的1-3分；缺项得0分。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Merge w:val="restart"/>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商务</w:t>
            </w:r>
            <w:r>
              <w:rPr>
                <w:rFonts w:hint="eastAsia" w:ascii="宋体" w:hAnsi="宋体" w:eastAsia="宋体" w:cs="宋体"/>
                <w:b w:val="0"/>
                <w:bCs w:val="0"/>
                <w:color w:val="auto"/>
                <w:sz w:val="24"/>
                <w:szCs w:val="24"/>
                <w:highlight w:val="none"/>
              </w:rPr>
              <w:t>部分（</w:t>
            </w:r>
            <w:r>
              <w:rPr>
                <w:rFonts w:hint="eastAsia" w:ascii="宋体" w:hAnsi="宋体" w:cs="宋体"/>
                <w:b w:val="0"/>
                <w:bCs w:val="0"/>
                <w:color w:val="auto"/>
                <w:sz w:val="24"/>
                <w:szCs w:val="24"/>
                <w:highlight w:val="none"/>
                <w:lang w:val="en-US" w:eastAsia="zh-CN"/>
              </w:rPr>
              <w:t>25</w:t>
            </w:r>
            <w:r>
              <w:rPr>
                <w:rFonts w:hint="eastAsia" w:ascii="宋体" w:hAnsi="宋体" w:eastAsia="宋体" w:cs="宋体"/>
                <w:b w:val="0"/>
                <w:bCs w:val="0"/>
                <w:color w:val="auto"/>
                <w:sz w:val="24"/>
                <w:szCs w:val="24"/>
                <w:highlight w:val="none"/>
              </w:rPr>
              <w:t>分）</w:t>
            </w:r>
          </w:p>
        </w:tc>
        <w:tc>
          <w:tcPr>
            <w:tcW w:w="2140"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rPr>
              <w:t>质保期</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6分</w:t>
            </w:r>
            <w:r>
              <w:rPr>
                <w:rFonts w:hint="eastAsia" w:ascii="宋体" w:hAnsi="宋体" w:eastAsia="宋体" w:cs="宋体"/>
                <w:b w:val="0"/>
                <w:bCs w:val="0"/>
                <w:color w:val="auto"/>
                <w:kern w:val="0"/>
                <w:sz w:val="24"/>
                <w:szCs w:val="24"/>
                <w:highlight w:val="none"/>
                <w:lang w:eastAsia="zh-CN"/>
              </w:rPr>
              <w:t>）</w:t>
            </w:r>
          </w:p>
        </w:tc>
        <w:tc>
          <w:tcPr>
            <w:tcW w:w="6103" w:type="dxa"/>
            <w:vAlign w:val="top"/>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2140" w:type="dxa"/>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2.类似业绩（4分）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2140" w:type="dxa"/>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3.售后服务体系（15分）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根据投标人服务团队设立情况、备品备件供应、售后服务及时率、详细的维修时间和处理方案、售后服务承诺等内容进行综合对比评分。</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售后服务承诺内容具体、完善、合理性程度强得11-15分，具体、完善、合理性程度一般得6-10分，具体、完善、合理性程度差得1-5分，缺项得0分。</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5"/>
    <w:p>
      <w:pPr>
        <w:rPr>
          <w:color w:val="auto"/>
          <w:highlight w:val="none"/>
        </w:rPr>
      </w:pPr>
      <w:bookmarkStart w:id="46" w:name="_Toc1482"/>
      <w:bookmarkStart w:id="47" w:name="_Toc1947"/>
      <w:bookmarkStart w:id="48" w:name="_Toc256519703"/>
      <w:bookmarkStart w:id="49" w:name="_Toc326786897"/>
    </w:p>
    <w:p>
      <w:pPr>
        <w:jc w:val="center"/>
        <w:rPr>
          <w:rFonts w:hint="eastAsia" w:ascii="宋体" w:hAnsi="宋体" w:eastAsia="宋体" w:cs="宋体"/>
          <w:b/>
          <w:bCs/>
          <w:color w:val="auto"/>
          <w:kern w:val="44"/>
          <w:sz w:val="28"/>
          <w:szCs w:val="28"/>
          <w:highlight w:val="none"/>
          <w:lang w:val="en-US" w:eastAsia="zh-CN" w:bidi="ar-SA"/>
        </w:rPr>
      </w:pPr>
      <w:bookmarkStart w:id="50" w:name="_Toc28988"/>
      <w:r>
        <w:rPr>
          <w:rFonts w:hint="eastAsia" w:ascii="宋体" w:hAnsi="宋体" w:eastAsia="宋体" w:cs="宋体"/>
          <w:b/>
          <w:bCs/>
          <w:color w:val="auto"/>
          <w:kern w:val="44"/>
          <w:sz w:val="28"/>
          <w:szCs w:val="28"/>
          <w:highlight w:val="none"/>
          <w:lang w:val="en-US" w:eastAsia="zh-CN" w:bidi="ar-SA"/>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以实际合同为准</w:t>
      </w:r>
      <w:r>
        <w:rPr>
          <w:rFonts w:hint="eastAsia" w:ascii="宋体" w:hAnsi="宋体"/>
          <w:sz w:val="21"/>
          <w:szCs w:val="21"/>
          <w:highlight w:val="none"/>
          <w:lang w:eastAsia="zh-CN"/>
        </w:rPr>
        <w:t>）</w:t>
      </w:r>
    </w:p>
    <w:p>
      <w:pPr>
        <w:rPr>
          <w:color w:val="auto"/>
          <w:sz w:val="32"/>
          <w:szCs w:val="32"/>
          <w:highlight w:val="none"/>
        </w:rPr>
      </w:pPr>
    </w:p>
    <w:p>
      <w:pPr>
        <w:rPr>
          <w:color w:val="auto"/>
          <w:highlight w:val="none"/>
        </w:rPr>
      </w:pPr>
      <w:r>
        <w:rPr>
          <w:color w:val="auto"/>
          <w:highlight w:val="none"/>
        </w:rPr>
        <w:br w:type="page"/>
      </w:r>
    </w:p>
    <w:p>
      <w:pPr>
        <w:pStyle w:val="31"/>
        <w:rPr>
          <w:highlight w:val="none"/>
        </w:rPr>
      </w:pPr>
    </w:p>
    <w:p>
      <w:pPr>
        <w:jc w:val="center"/>
        <w:rPr>
          <w:rFonts w:hint="eastAsia" w:ascii="宋体" w:hAnsi="宋体" w:eastAsia="宋体" w:cs="宋体"/>
          <w:b/>
          <w:bCs/>
          <w:color w:val="auto"/>
          <w:kern w:val="44"/>
          <w:sz w:val="32"/>
          <w:szCs w:val="32"/>
          <w:highlight w:val="none"/>
          <w:lang w:val="en-US" w:eastAsia="zh-CN" w:bidi="ar-SA"/>
        </w:rPr>
      </w:pPr>
      <w:bookmarkStart w:id="51" w:name="_Toc2638"/>
      <w:r>
        <w:rPr>
          <w:rFonts w:hint="eastAsia" w:ascii="宋体" w:hAnsi="宋体" w:eastAsia="宋体" w:cs="宋体"/>
          <w:b/>
          <w:bCs/>
          <w:color w:val="auto"/>
          <w:kern w:val="44"/>
          <w:sz w:val="32"/>
          <w:szCs w:val="32"/>
          <w:highlight w:val="none"/>
          <w:lang w:val="en-US" w:eastAsia="zh-CN" w:bidi="ar-SA"/>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报价明细表（格式）</w:t>
      </w:r>
      <w:bookmarkEnd w:id="56"/>
    </w:p>
    <w:p>
      <w:pPr>
        <w:snapToGrid w:val="0"/>
        <w:spacing w:line="360" w:lineRule="auto"/>
        <w:ind w:firstLine="480" w:firstLineChars="200"/>
        <w:rPr>
          <w:rFonts w:hint="default" w:eastAsia="宋体"/>
          <w:color w:val="auto"/>
          <w:sz w:val="24"/>
          <w:highlight w:val="none"/>
          <w:lang w:val="en-US" w:eastAsia="zh-CN"/>
        </w:rPr>
      </w:pPr>
      <w:bookmarkStart w:id="57" w:name="_Toc28392"/>
      <w:r>
        <w:rPr>
          <w:rFonts w:hint="eastAsia"/>
          <w:color w:val="auto"/>
          <w:sz w:val="24"/>
          <w:highlight w:val="none"/>
        </w:rPr>
        <w:t>附件5</w:t>
      </w:r>
      <w:bookmarkEnd w:id="57"/>
      <w:r>
        <w:rPr>
          <w:rFonts w:hint="eastAsia"/>
          <w:color w:val="auto"/>
          <w:sz w:val="24"/>
          <w:highlight w:val="none"/>
        </w:rPr>
        <w:t>技术响应表</w:t>
      </w:r>
      <w:r>
        <w:rPr>
          <w:rFonts w:hint="eastAsia"/>
          <w:color w:val="auto"/>
          <w:sz w:val="24"/>
          <w:highlight w:val="none"/>
          <w:lang w:eastAsia="zh-CN"/>
        </w:rPr>
        <w:t>（</w:t>
      </w:r>
      <w:r>
        <w:rPr>
          <w:rFonts w:hint="eastAsia"/>
          <w:color w:val="auto"/>
          <w:sz w:val="24"/>
          <w:highlight w:val="none"/>
          <w:lang w:val="en-US" w:eastAsia="zh-CN"/>
        </w:rPr>
        <w:t>格式）</w:t>
      </w:r>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 xml:space="preserve">附件6 </w:t>
      </w:r>
      <w:bookmarkEnd w:id="58"/>
      <w:r>
        <w:rPr>
          <w:rFonts w:hint="eastAsia"/>
          <w:color w:val="auto"/>
          <w:sz w:val="24"/>
          <w:highlight w:val="none"/>
        </w:rPr>
        <w:t>商务响应</w:t>
      </w:r>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附件11 </w:t>
      </w:r>
      <w:r>
        <w:rPr>
          <w:rFonts w:hint="eastAsia" w:ascii="Times New Roman" w:hAnsi="Times New Roman" w:eastAsia="宋体" w:cs="Times New Roman"/>
          <w:color w:val="auto"/>
          <w:sz w:val="24"/>
          <w:highlight w:val="none"/>
          <w:lang w:val="en-US" w:eastAsia="zh-CN"/>
        </w:rPr>
        <w:t xml:space="preserve"> 供应商信用承诺函（格式）</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4"/>
        <w:rPr>
          <w:rFonts w:ascii="宋体" w:hAnsi="宋体" w:cs="宋体"/>
          <w:b/>
          <w:bCs/>
          <w:color w:val="auto"/>
          <w:kern w:val="0"/>
          <w:sz w:val="24"/>
          <w:highlight w:val="none"/>
        </w:rPr>
      </w:pPr>
    </w:p>
    <w:p>
      <w:pPr>
        <w:pStyle w:val="49"/>
        <w:rPr>
          <w:rFonts w:hAnsi="宋体"/>
          <w:b/>
          <w:bCs/>
          <w:color w:val="auto"/>
          <w:highlight w:val="none"/>
        </w:rPr>
      </w:pPr>
    </w:p>
    <w:p>
      <w:pPr>
        <w:pStyle w:val="49"/>
        <w:rPr>
          <w:rFonts w:hAnsi="宋体"/>
          <w:b/>
          <w:bCs/>
          <w:color w:val="auto"/>
          <w:highlight w:val="none"/>
        </w:rPr>
      </w:pPr>
    </w:p>
    <w:p>
      <w:pPr>
        <w:rPr>
          <w:color w:val="auto"/>
          <w:highlight w:val="none"/>
        </w:rPr>
      </w:pPr>
      <w:r>
        <w:rPr>
          <w:rFonts w:hint="eastAsia"/>
          <w:color w:val="auto"/>
          <w:highlight w:val="none"/>
        </w:rPr>
        <w:br w:type="page"/>
      </w:r>
    </w:p>
    <w:p>
      <w:pPr>
        <w:pStyle w:val="5"/>
        <w:rPr>
          <w:color w:val="auto"/>
          <w:highlight w:val="none"/>
        </w:rPr>
      </w:pPr>
    </w:p>
    <w:p>
      <w:pPr>
        <w:pStyle w:val="2"/>
        <w:rPr>
          <w:color w:val="auto"/>
          <w:highlight w:val="none"/>
        </w:rPr>
      </w:pPr>
      <w:bookmarkStart w:id="63" w:name="_Toc31798"/>
      <w:bookmarkStart w:id="64" w:name="_Toc24743"/>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default"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default" w:ascii="宋体" w:hAnsi="宋体" w:eastAsia="宋体" w:cs="宋体"/>
          <w:b/>
          <w:color w:val="auto"/>
          <w:spacing w:val="90"/>
          <w:sz w:val="36"/>
          <w:szCs w:val="36"/>
          <w:highlight w:val="none"/>
          <w:lang w:val="en-US" w:eastAsia="zh-CN"/>
        </w:rPr>
      </w:pPr>
      <w:r>
        <w:rPr>
          <w:rFonts w:hint="eastAsia" w:ascii="宋体" w:hAnsi="宋体" w:cs="宋体"/>
          <w:b/>
          <w:snapToGrid w:val="0"/>
          <w:color w:val="auto"/>
          <w:spacing w:val="0"/>
          <w:kern w:val="0"/>
          <w:sz w:val="36"/>
          <w:szCs w:val="36"/>
          <w:highlight w:val="none"/>
          <w:u w:val="single"/>
          <w:lang w:val="en-US" w:eastAsia="zh-CN"/>
        </w:rPr>
        <w:t xml:space="preserve">     </w:t>
      </w:r>
      <w:r>
        <w:rPr>
          <w:rFonts w:hint="eastAsia" w:ascii="宋体" w:hAnsi="宋体" w:cs="宋体"/>
          <w:b/>
          <w:snapToGrid w:val="0"/>
          <w:color w:val="auto"/>
          <w:spacing w:val="0"/>
          <w:kern w:val="0"/>
          <w:sz w:val="36"/>
          <w:szCs w:val="36"/>
          <w:highlight w:val="none"/>
          <w:u w:val="none"/>
          <w:lang w:val="en-US" w:eastAsia="zh-CN"/>
        </w:rPr>
        <w:t>（</w:t>
      </w:r>
      <w:r>
        <w:rPr>
          <w:rFonts w:hint="eastAsia" w:ascii="宋体" w:hAnsi="宋体" w:eastAsia="宋体" w:cs="宋体"/>
          <w:b/>
          <w:snapToGrid w:val="0"/>
          <w:color w:val="auto"/>
          <w:spacing w:val="0"/>
          <w:kern w:val="0"/>
          <w:sz w:val="36"/>
          <w:szCs w:val="36"/>
          <w:highlight w:val="none"/>
          <w:u w:val="none"/>
          <w:lang w:val="en-US" w:eastAsia="zh-CN"/>
        </w:rPr>
        <w:t>包</w:t>
      </w:r>
      <w:r>
        <w:rPr>
          <w:rFonts w:hint="eastAsia" w:ascii="宋体" w:hAnsi="宋体" w:cs="宋体"/>
          <w:b/>
          <w:snapToGrid w:val="0"/>
          <w:color w:val="auto"/>
          <w:spacing w:val="0"/>
          <w:kern w:val="0"/>
          <w:sz w:val="36"/>
          <w:szCs w:val="36"/>
          <w:highlight w:val="none"/>
          <w:u w:val="none"/>
          <w:lang w:val="en-US" w:eastAsia="zh-CN"/>
        </w:rPr>
        <w:t>号）</w:t>
      </w:r>
      <w:r>
        <w:rPr>
          <w:rFonts w:hint="eastAsia" w:ascii="宋体" w:hAnsi="宋体" w:cs="宋体"/>
          <w:b/>
          <w:snapToGrid w:val="0"/>
          <w:color w:val="auto"/>
          <w:spacing w:val="0"/>
          <w:kern w:val="0"/>
          <w:sz w:val="36"/>
          <w:szCs w:val="36"/>
          <w:highlight w:val="none"/>
          <w:u w:val="single"/>
          <w:lang w:val="en-US" w:eastAsia="zh-CN"/>
        </w:rPr>
        <w:t xml:space="preserve">        </w:t>
      </w:r>
      <w:r>
        <w:rPr>
          <w:rFonts w:hint="eastAsia" w:ascii="宋体" w:hAnsi="宋体" w:cs="宋体"/>
          <w:b/>
          <w:snapToGrid w:val="0"/>
          <w:color w:val="auto"/>
          <w:spacing w:val="0"/>
          <w:kern w:val="0"/>
          <w:sz w:val="36"/>
          <w:szCs w:val="36"/>
          <w:highlight w:val="none"/>
          <w:u w:val="none"/>
          <w:lang w:val="en-US" w:eastAsia="zh-CN"/>
        </w:rPr>
        <w:t>（包名称）</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4"/>
        <w:rPr>
          <w:rFonts w:ascii="宋体" w:hAnsi="宋体" w:cs="宋体"/>
          <w:b/>
          <w:color w:val="auto"/>
          <w:kern w:val="0"/>
          <w:sz w:val="24"/>
          <w:highlight w:val="none"/>
        </w:rPr>
      </w:pPr>
    </w:p>
    <w:p>
      <w:pPr>
        <w:rPr>
          <w:color w:val="auto"/>
          <w:highlight w:val="none"/>
        </w:rPr>
      </w:pPr>
      <w:r>
        <w:rPr>
          <w:rFonts w:hint="eastAsia" w:ascii="宋体" w:hAnsi="宋体" w:cs="宋体"/>
          <w:b/>
          <w:color w:val="auto"/>
          <w:kern w:val="0"/>
          <w:sz w:val="24"/>
          <w:highlight w:val="none"/>
        </w:rPr>
        <w:br w:type="page"/>
      </w:r>
    </w:p>
    <w:p>
      <w:pPr>
        <w:pStyle w:val="2"/>
        <w:rPr>
          <w:color w:val="auto"/>
          <w:highlight w:val="none"/>
        </w:rPr>
      </w:pPr>
      <w:bookmarkStart w:id="65" w:name="_Toc14560"/>
      <w:bookmarkStart w:id="66" w:name="_Toc8818"/>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2"/>
        <w:spacing w:before="20" w:after="20"/>
        <w:rPr>
          <w:rFonts w:hint="eastAsia" w:ascii="宋体" w:hAnsi="宋体" w:eastAsia="宋体" w:cs="宋体"/>
          <w:color w:val="auto"/>
          <w:highlight w:val="none"/>
        </w:rPr>
      </w:pPr>
      <w:bookmarkStart w:id="67" w:name="_Toc7838"/>
      <w:r>
        <w:rPr>
          <w:rFonts w:hint="eastAsia" w:ascii="宋体" w:hAnsi="宋体" w:eastAsia="宋体" w:cs="宋体"/>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widowControl/>
              <w:snapToGrid w:val="0"/>
              <w:spacing w:before="50" w:after="5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包号</w:t>
            </w:r>
          </w:p>
        </w:tc>
        <w:tc>
          <w:tcPr>
            <w:tcW w:w="7708" w:type="dxa"/>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widowControl/>
              <w:snapToGrid w:val="0"/>
              <w:spacing w:before="50" w:after="5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包名称</w:t>
            </w:r>
          </w:p>
        </w:tc>
        <w:tc>
          <w:tcPr>
            <w:tcW w:w="7708" w:type="dxa"/>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交货期</w:t>
            </w:r>
          </w:p>
        </w:tc>
        <w:tc>
          <w:tcPr>
            <w:tcW w:w="7708" w:type="dxa"/>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vAlign w:val="center"/>
          </w:tcPr>
          <w:p>
            <w:pPr>
              <w:pStyle w:val="20"/>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20877"/>
      <w:bookmarkStart w:id="69" w:name="_Toc11620"/>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625"/>
      <w:bookmarkStart w:id="71" w:name="_Toc12222"/>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9950"/>
      <w:bookmarkStart w:id="73" w:name="_Toc133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bookmarkEnd w:id="48"/>
    <w:bookmarkEnd w:id="49"/>
    <w:p>
      <w:pPr>
        <w:pStyle w:val="2"/>
        <w:spacing w:before="20" w:after="20"/>
        <w:rPr>
          <w:rFonts w:hint="eastAsia" w:ascii="宋体" w:hAnsi="宋体" w:eastAsia="宋体" w:cs="宋体"/>
          <w:color w:val="auto"/>
          <w:highlight w:val="none"/>
        </w:rPr>
      </w:pPr>
      <w:bookmarkStart w:id="74" w:name="_Toc24984"/>
      <w:bookmarkStart w:id="75" w:name="_Toc22004"/>
      <w:r>
        <w:rPr>
          <w:rFonts w:hint="eastAsia" w:ascii="宋体" w:hAnsi="宋体" w:eastAsia="宋体" w:cs="宋体"/>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2"/>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2"/>
        <w:rPr>
          <w:color w:val="auto"/>
          <w:highlight w:val="none"/>
        </w:rPr>
      </w:pPr>
      <w:r>
        <w:rPr>
          <w:rFonts w:hint="eastAsia"/>
          <w:color w:val="auto"/>
          <w:highlight w:val="none"/>
        </w:rPr>
        <w:br w:type="page"/>
      </w:r>
      <w:bookmarkStart w:id="76" w:name="_Toc15804"/>
      <w:bookmarkStart w:id="77" w:name="_Toc226"/>
      <w:r>
        <w:rPr>
          <w:rFonts w:hint="eastAsia" w:ascii="宋体" w:hAnsi="宋体" w:eastAsia="宋体" w:cs="宋体"/>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3"/>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3"/>
        <w:rPr>
          <w:bCs/>
          <w:color w:val="auto"/>
          <w:kern w:val="0"/>
          <w:highlight w:val="none"/>
        </w:rPr>
      </w:pPr>
    </w:p>
    <w:p>
      <w:pPr>
        <w:pStyle w:val="53"/>
        <w:rPr>
          <w:bCs/>
          <w:color w:val="auto"/>
          <w:kern w:val="0"/>
          <w:highlight w:val="none"/>
        </w:rPr>
      </w:pPr>
    </w:p>
    <w:p>
      <w:pPr>
        <w:pStyle w:val="53"/>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4"/>
          <w:szCs w:val="24"/>
          <w:highlight w:val="none"/>
          <w:lang w:val="en-US" w:eastAsia="zh-CN"/>
        </w:rPr>
      </w:pPr>
      <w:bookmarkStart w:id="78" w:name="_Toc20420"/>
      <w:bookmarkStart w:id="79" w:name="_Toc29960"/>
      <w:r>
        <w:rPr>
          <w:rFonts w:hint="eastAsia" w:ascii="Arial" w:hAnsi="Arial" w:eastAsia="新宋体"/>
          <w:b/>
          <w:color w:val="auto"/>
          <w:sz w:val="28"/>
          <w:highlight w:val="none"/>
        </w:rPr>
        <w:t xml:space="preserve">附件6              </w:t>
      </w:r>
      <w:bookmarkEnd w:id="78"/>
      <w:bookmarkEnd w:id="79"/>
      <w:r>
        <w:rPr>
          <w:rFonts w:hint="eastAsia" w:ascii="Arial" w:hAnsi="Arial" w:eastAsia="新宋体"/>
          <w:b/>
          <w:color w:val="auto"/>
          <w:sz w:val="24"/>
          <w:szCs w:val="24"/>
          <w:highlight w:val="none"/>
        </w:rPr>
        <w:t>商务响应</w:t>
      </w:r>
      <w:r>
        <w:rPr>
          <w:rFonts w:hint="eastAsia" w:ascii="Arial" w:hAnsi="Arial" w:eastAsia="新宋体"/>
          <w:b/>
          <w:color w:val="auto"/>
          <w:sz w:val="24"/>
          <w:szCs w:val="24"/>
          <w:highlight w:val="none"/>
          <w:lang w:val="en-US" w:eastAsia="zh-CN"/>
        </w:rPr>
        <w:t>部分</w:t>
      </w:r>
    </w:p>
    <w:p>
      <w:pPr>
        <w:widowControl/>
        <w:wordWrap w:val="0"/>
        <w:spacing w:line="460" w:lineRule="exact"/>
        <w:jc w:val="left"/>
        <w:rPr>
          <w:rFonts w:hint="eastAsia" w:ascii="宋体" w:hAnsi="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 xml:space="preserve">  </w:t>
      </w:r>
    </w:p>
    <w:p>
      <w:pPr>
        <w:widowControl/>
        <w:wordWrap w:val="0"/>
        <w:spacing w:line="460" w:lineRule="exact"/>
        <w:ind w:firstLine="482" w:firstLineChars="200"/>
        <w:jc w:val="left"/>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商务部分相关证明文件</w:t>
      </w:r>
    </w:p>
    <w:p>
      <w:pPr>
        <w:widowControl/>
        <w:wordWrap w:val="0"/>
        <w:snapToGrid w:val="0"/>
        <w:spacing w:line="460" w:lineRule="exact"/>
        <w:jc w:val="left"/>
        <w:outlineLvl w:val="0"/>
        <w:rPr>
          <w:rFonts w:ascii="Arial" w:hAnsi="Arial" w:eastAsia="新宋体"/>
          <w:b/>
          <w:color w:val="auto"/>
          <w:sz w:val="28"/>
          <w:highlight w:val="none"/>
        </w:rPr>
      </w:pPr>
    </w:p>
    <w:p>
      <w:pPr>
        <w:widowControl/>
        <w:wordWrap w:val="0"/>
        <w:snapToGrid w:val="0"/>
        <w:spacing w:before="50" w:afterLines="50"/>
        <w:jc w:val="left"/>
        <w:rPr>
          <w:rFonts w:cs="宋体"/>
          <w:color w:val="auto"/>
          <w:kern w:val="0"/>
          <w:sz w:val="24"/>
          <w:highlight w:val="none"/>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eastAsia="zh-CN"/>
        </w:rPr>
        <w:t xml:space="preserve"> </w:t>
      </w:r>
    </w:p>
    <w:p>
      <w:pPr>
        <w:widowControl/>
        <w:wordWrap w:val="0"/>
        <w:snapToGrid w:val="0"/>
        <w:spacing w:before="50" w:line="480" w:lineRule="auto"/>
        <w:jc w:val="left"/>
        <w:rPr>
          <w:rFonts w:ascii="仿宋_GB2312" w:cs="宋体"/>
          <w:color w:val="auto"/>
          <w:kern w:val="0"/>
          <w:sz w:val="24"/>
          <w:highlight w:val="none"/>
        </w:rPr>
      </w:pPr>
    </w:p>
    <w:p>
      <w:pPr>
        <w:rPr>
          <w:rFonts w:cs="宋体"/>
          <w:b/>
          <w:color w:val="auto"/>
          <w:kern w:val="0"/>
          <w:sz w:val="24"/>
          <w:highlight w:val="none"/>
        </w:rPr>
      </w:pPr>
      <w:r>
        <w:rPr>
          <w:rFonts w:cs="宋体"/>
          <w:b/>
          <w:color w:val="auto"/>
          <w:kern w:val="0"/>
          <w:sz w:val="24"/>
          <w:highlight w:val="none"/>
        </w:rPr>
        <w:br w:type="page"/>
      </w:r>
    </w:p>
    <w:p>
      <w:pPr>
        <w:pStyle w:val="31"/>
        <w:rPr>
          <w:highlight w:val="none"/>
        </w:rPr>
      </w:pPr>
    </w:p>
    <w:p>
      <w:pPr>
        <w:widowControl/>
        <w:wordWrap w:val="0"/>
        <w:spacing w:line="460" w:lineRule="exact"/>
        <w:jc w:val="left"/>
        <w:outlineLvl w:val="0"/>
        <w:rPr>
          <w:rFonts w:ascii="Arial" w:hAnsi="Arial" w:eastAsia="新宋体"/>
          <w:b/>
          <w:color w:val="auto"/>
          <w:sz w:val="28"/>
          <w:highlight w:val="none"/>
        </w:rPr>
      </w:pPr>
      <w:bookmarkStart w:id="80" w:name="_Toc28621"/>
      <w:bookmarkStart w:id="81" w:name="_Toc31526"/>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3"/>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30519"/>
      <w:bookmarkStart w:id="83" w:name="_Toc13976"/>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24693"/>
      <w:bookmarkStart w:id="85" w:name="_Toc18105"/>
      <w:r>
        <w:rPr>
          <w:rFonts w:hint="eastAsia" w:ascii="Arial" w:hAnsi="Arial" w:eastAsia="新宋体"/>
          <w:b/>
          <w:color w:val="auto"/>
          <w:sz w:val="28"/>
          <w:highlight w:val="none"/>
        </w:rPr>
        <w:t>附件9               证明文件</w:t>
      </w:r>
      <w:bookmarkEnd w:id="84"/>
      <w:bookmarkEnd w:id="85"/>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9"/>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9"/>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9"/>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2888"/>
      <w:bookmarkStart w:id="88" w:name="_Toc13726"/>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rPr>
          <w:highlight w:val="none"/>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val="en-US" w:eastAsia="zh-CN"/>
        </w:rPr>
        <w:t>公司名称</w:t>
      </w: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highlight w:val="none"/>
        </w:rPr>
      </w:pPr>
      <w:r>
        <w:rPr>
          <w:rFonts w:hint="eastAsia" w:ascii="宋体" w:hAnsi="宋体" w:eastAsia="宋体" w:cs="宋体"/>
          <w:sz w:val="24"/>
          <w:szCs w:val="24"/>
          <w:highlight w:val="none"/>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highlight w:val="none"/>
          <w:lang w:val="en-US" w:eastAsia="zh-CN"/>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highlight w:val="none"/>
        </w:rPr>
      </w:pPr>
      <w:r>
        <w:rPr>
          <w:rFonts w:hint="eastAsia" w:ascii="宋体" w:hAnsi="宋体" w:eastAsia="宋体" w:cs="宋体"/>
          <w:color w:val="auto"/>
          <w:sz w:val="24"/>
          <w:szCs w:val="24"/>
          <w:highlight w:val="none"/>
          <w:lang w:val="en-US" w:eastAsia="zh-CN"/>
        </w:rPr>
        <w:t>（四）有依法缴纳税收和社会保障资金的良好</w:t>
      </w:r>
      <w:r>
        <w:rPr>
          <w:rFonts w:hint="eastAsia" w:ascii="仿宋" w:hAnsi="仿宋" w:eastAsia="仿宋" w:cs="仿宋"/>
          <w:sz w:val="32"/>
          <w:szCs w:val="32"/>
          <w:highlight w:val="none"/>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2.供应商的法定代表人或者授权代表的签字或盖章应真实、有效，如由授权代表签字或盖章的，应提供“法定代表人授权书”。</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51"/>
        <w:rPr>
          <w:highlight w:val="none"/>
        </w:rPr>
      </w:pPr>
    </w:p>
    <w:p>
      <w:pPr>
        <w:widowControl/>
        <w:snapToGrid w:val="0"/>
        <w:spacing w:line="360" w:lineRule="auto"/>
        <w:jc w:val="center"/>
        <w:outlineLvl w:val="0"/>
        <w:rPr>
          <w:rFonts w:ascii="宋体" w:hAnsi="宋体" w:cs="Lucida Sans Unicode"/>
          <w:b/>
          <w:color w:val="auto"/>
          <w:kern w:val="0"/>
          <w:sz w:val="24"/>
          <w:highlight w:val="none"/>
        </w:rPr>
      </w:pPr>
      <w:bookmarkStart w:id="89" w:name="_Toc25094"/>
      <w:bookmarkStart w:id="90" w:name="_Toc233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lang w:val="en-US" w:eastAsia="zh-CN"/>
      </w:rPr>
      <w:t>驻马店市中心医院遥测监护系统采购项目采购文件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驻马店市中心医院遥测监护系统采购项目</w:t>
    </w:r>
    <w:r>
      <w:rPr>
        <w:rFonts w:hint="eastAsia"/>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000000"/>
    <w:rsid w:val="02D25290"/>
    <w:rsid w:val="097938F9"/>
    <w:rsid w:val="100D65BF"/>
    <w:rsid w:val="146A4213"/>
    <w:rsid w:val="1A856091"/>
    <w:rsid w:val="1C597898"/>
    <w:rsid w:val="23F57CC4"/>
    <w:rsid w:val="302F7A2C"/>
    <w:rsid w:val="350D171A"/>
    <w:rsid w:val="3D226758"/>
    <w:rsid w:val="48D10692"/>
    <w:rsid w:val="4C185248"/>
    <w:rsid w:val="5A295181"/>
    <w:rsid w:val="5C5D0112"/>
    <w:rsid w:val="5DD67A13"/>
    <w:rsid w:val="5E742597"/>
    <w:rsid w:val="5F0D70EB"/>
    <w:rsid w:val="62097280"/>
    <w:rsid w:val="62A3070C"/>
    <w:rsid w:val="64164898"/>
    <w:rsid w:val="65447343"/>
    <w:rsid w:val="707912DA"/>
    <w:rsid w:val="76076E1C"/>
    <w:rsid w:val="77520D58"/>
    <w:rsid w:val="7D2346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qFormat/>
    <w:uiPriority w:val="0"/>
    <w:pPr>
      <w:keepNext/>
      <w:keepLines/>
      <w:spacing w:before="340" w:after="330" w:line="576"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unhideWhenUsed/>
    <w:qFormat/>
    <w:uiPriority w:val="1"/>
  </w:style>
  <w:style w:type="table" w:default="1" w:styleId="32">
    <w:name w:val="Normal Table"/>
    <w:unhideWhenUsed/>
    <w:qFormat/>
    <w:uiPriority w:val="99"/>
    <w:tblPr>
      <w:tblCellMar>
        <w:top w:w="0" w:type="dxa"/>
        <w:left w:w="108" w:type="dxa"/>
        <w:bottom w:w="0" w:type="dxa"/>
        <w:right w:w="108" w:type="dxa"/>
      </w:tblCellMar>
    </w:tblPr>
  </w:style>
  <w:style w:type="paragraph" w:styleId="4">
    <w:name w:val="Body Text"/>
    <w:basedOn w:val="1"/>
    <w:next w:val="5"/>
    <w:link w:val="74"/>
    <w:qFormat/>
    <w:uiPriority w:val="0"/>
  </w:style>
  <w:style w:type="paragraph" w:styleId="5">
    <w:name w:val="Body Text 2"/>
    <w:basedOn w:val="1"/>
    <w:next w:val="4"/>
    <w:qFormat/>
    <w:uiPriority w:val="0"/>
    <w:pPr>
      <w:spacing w:line="480" w:lineRule="auto"/>
    </w:pPr>
  </w:style>
  <w:style w:type="paragraph" w:styleId="8">
    <w:name w:val="List Number"/>
    <w:basedOn w:val="1"/>
    <w:qFormat/>
    <w:uiPriority w:val="0"/>
    <w:pPr>
      <w:widowControl/>
      <w:spacing w:beforeAutospacing="1" w:afterAutospacing="1"/>
      <w:jc w:val="left"/>
    </w:pPr>
    <w:rPr>
      <w:rFonts w:ascii="宋体" w:hAnsi="宋体" w:cs="宋体"/>
      <w:kern w:val="0"/>
      <w:sz w:val="24"/>
    </w:rPr>
  </w:style>
  <w:style w:type="paragraph" w:styleId="9">
    <w:name w:val="Normal Indent"/>
    <w:basedOn w:val="1"/>
    <w:next w:val="10"/>
    <w:qFormat/>
    <w:uiPriority w:val="0"/>
    <w:pPr>
      <w:widowControl/>
      <w:spacing w:beforeAutospacing="1" w:afterAutospacing="1"/>
      <w:jc w:val="left"/>
    </w:pPr>
    <w:rPr>
      <w:rFonts w:ascii="宋体" w:hAnsi="宋体" w:cs="宋体"/>
      <w:kern w:val="0"/>
      <w:sz w:val="24"/>
    </w:rPr>
  </w:style>
  <w:style w:type="paragraph" w:styleId="10">
    <w:name w:val="Body Text First Indent 2"/>
    <w:basedOn w:val="11"/>
    <w:next w:val="1"/>
    <w:qFormat/>
    <w:uiPriority w:val="0"/>
    <w:pPr>
      <w:ind w:firstLine="420" w:firstLineChars="200"/>
    </w:pPr>
  </w:style>
  <w:style w:type="paragraph" w:styleId="11">
    <w:name w:val="Body Text Indent"/>
    <w:basedOn w:val="1"/>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qFormat/>
    <w:uiPriority w:val="0"/>
    <w:rPr>
      <w:rFonts w:ascii="宋体" w:hAnsi="Calibri"/>
      <w:sz w:val="18"/>
      <w:szCs w:val="18"/>
    </w:rPr>
  </w:style>
  <w:style w:type="paragraph" w:styleId="13">
    <w:name w:val="toa heading"/>
    <w:basedOn w:val="1"/>
    <w:next w:val="1"/>
    <w:qFormat/>
    <w:uiPriority w:val="0"/>
    <w:pPr>
      <w:spacing w:before="120"/>
    </w:pPr>
    <w:rPr>
      <w:rFonts w:ascii="Arial" w:hAnsi="Arial" w:cs="Arial"/>
      <w:sz w:val="24"/>
    </w:rPr>
  </w:style>
  <w:style w:type="paragraph" w:styleId="14">
    <w:name w:val="annotation text"/>
    <w:basedOn w:val="1"/>
    <w:qFormat/>
    <w:uiPriority w:val="0"/>
    <w:pPr>
      <w:jc w:val="left"/>
    </w:pPr>
  </w:style>
  <w:style w:type="paragraph" w:styleId="15">
    <w:name w:val="Body Text 3"/>
    <w:basedOn w:val="1"/>
    <w:qFormat/>
    <w:uiPriority w:val="0"/>
    <w:rPr>
      <w:sz w:val="16"/>
      <w:szCs w:val="16"/>
    </w:rPr>
  </w:style>
  <w:style w:type="paragraph" w:styleId="16">
    <w:name w:val="List 2"/>
    <w:basedOn w:val="1"/>
    <w:qFormat/>
    <w:uiPriority w:val="0"/>
    <w:pPr>
      <w:ind w:left="100" w:leftChars="200" w:hanging="200" w:hangingChars="200"/>
    </w:pPr>
  </w:style>
  <w:style w:type="paragraph" w:styleId="17">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qFormat/>
    <w:uiPriority w:val="0"/>
    <w:pPr>
      <w:tabs>
        <w:tab w:val="left" w:pos="709"/>
        <w:tab w:val="right" w:leader="dot" w:pos="8789"/>
      </w:tabs>
      <w:spacing w:line="400" w:lineRule="atLeast"/>
    </w:pPr>
    <w:rPr>
      <w:rFonts w:ascii="宋体"/>
      <w:kern w:val="0"/>
      <w:szCs w:val="20"/>
    </w:rPr>
  </w:style>
  <w:style w:type="paragraph" w:styleId="19">
    <w:name w:val="Plain Text"/>
    <w:basedOn w:val="1"/>
    <w:qFormat/>
    <w:uiPriority w:val="0"/>
    <w:pPr>
      <w:widowControl/>
      <w:spacing w:beforeAutospacing="1" w:afterAutospacing="1"/>
      <w:jc w:val="left"/>
    </w:pPr>
    <w:rPr>
      <w:rFonts w:ascii="宋体" w:hAnsi="宋体" w:cs="宋体"/>
      <w:kern w:val="0"/>
      <w:sz w:val="24"/>
    </w:rPr>
  </w:style>
  <w:style w:type="paragraph" w:styleId="20">
    <w:name w:val="Date"/>
    <w:basedOn w:val="1"/>
    <w:next w:val="1"/>
    <w:qFormat/>
    <w:uiPriority w:val="0"/>
    <w:pPr>
      <w:ind w:left="100" w:leftChars="2500"/>
    </w:pPr>
    <w:rPr>
      <w:rFonts w:ascii="宋体" w:hAnsi="宋体"/>
      <w:sz w:val="28"/>
    </w:rPr>
  </w:style>
  <w:style w:type="paragraph" w:styleId="21">
    <w:name w:val="Body Text Indent 2"/>
    <w:basedOn w:val="1"/>
    <w:qFormat/>
    <w:uiPriority w:val="0"/>
    <w:pPr>
      <w:spacing w:line="480" w:lineRule="auto"/>
      <w:ind w:left="420" w:leftChars="200"/>
    </w:p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envelope return"/>
    <w:basedOn w:val="1"/>
    <w:unhideWhenUsed/>
    <w:qFormat/>
    <w:uiPriority w:val="99"/>
    <w:pPr>
      <w:snapToGrid w:val="0"/>
    </w:pPr>
    <w:rPr>
      <w:rFonts w:ascii="Arial" w:hAnsi="Arial"/>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3"/>
    <w:next w:val="1"/>
    <w:qFormat/>
    <w:uiPriority w:val="0"/>
  </w:style>
  <w:style w:type="paragraph" w:styleId="26">
    <w:name w:val="List"/>
    <w:basedOn w:val="1"/>
    <w:qFormat/>
    <w:uiPriority w:val="0"/>
    <w:pPr>
      <w:ind w:left="200" w:hanging="200" w:hangingChars="200"/>
    </w:pPr>
  </w:style>
  <w:style w:type="paragraph" w:styleId="27">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qFormat/>
    <w:uiPriority w:val="99"/>
    <w:pPr>
      <w:spacing w:before="100" w:beforeAutospacing="1" w:after="100" w:afterAutospacing="1"/>
      <w:jc w:val="left"/>
    </w:pPr>
    <w:rPr>
      <w:kern w:val="0"/>
      <w:sz w:val="24"/>
    </w:rPr>
  </w:style>
  <w:style w:type="paragraph" w:styleId="30">
    <w:name w:val="Title"/>
    <w:basedOn w:val="1"/>
    <w:qFormat/>
    <w:uiPriority w:val="0"/>
    <w:pPr>
      <w:jc w:val="center"/>
      <w:outlineLvl w:val="0"/>
    </w:pPr>
    <w:rPr>
      <w:rFonts w:ascii="Arial" w:hAnsi="Arial" w:cs="Arial"/>
      <w:b/>
      <w:bCs/>
      <w:sz w:val="32"/>
      <w:szCs w:val="32"/>
    </w:rPr>
  </w:style>
  <w:style w:type="paragraph" w:styleId="31">
    <w:name w:val="Body Text First Indent"/>
    <w:basedOn w:val="4"/>
    <w:next w:val="10"/>
    <w:qFormat/>
    <w:uiPriority w:val="0"/>
    <w:pPr>
      <w:spacing w:line="360" w:lineRule="auto"/>
      <w:ind w:firstLine="420" w:firstLineChars="100"/>
    </w:pPr>
    <w:rPr>
      <w:szCs w:val="21"/>
    </w:r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49">
    <w:name w:val="Default"/>
    <w:next w:val="50"/>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大标题"/>
    <w:basedOn w:val="1"/>
    <w:next w:val="10"/>
    <w:qFormat/>
    <w:uiPriority w:val="0"/>
    <w:pPr>
      <w:jc w:val="center"/>
    </w:pPr>
    <w:rPr>
      <w:rFonts w:ascii="Arial" w:hAnsi="Arial"/>
      <w:b/>
      <w:sz w:val="28"/>
    </w:rPr>
  </w:style>
  <w:style w:type="paragraph" w:customStyle="1" w:styleId="51">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2">
    <w:name w:val="No Spacing1"/>
    <w:basedOn w:val="1"/>
    <w:qFormat/>
    <w:uiPriority w:val="0"/>
    <w:pPr>
      <w:spacing w:line="400" w:lineRule="exact"/>
    </w:pPr>
    <w:rPr>
      <w:sz w:val="24"/>
    </w:rPr>
  </w:style>
  <w:style w:type="paragraph" w:customStyle="1" w:styleId="53">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qFormat/>
    <w:uiPriority w:val="0"/>
  </w:style>
  <w:style w:type="paragraph" w:customStyle="1" w:styleId="55">
    <w:name w:val="正文缩进1"/>
    <w:basedOn w:val="1"/>
    <w:qFormat/>
    <w:uiPriority w:val="0"/>
    <w:pPr>
      <w:widowControl/>
      <w:ind w:firstLine="420"/>
      <w:jc w:val="left"/>
    </w:pPr>
    <w:rPr>
      <w:kern w:val="0"/>
      <w:szCs w:val="20"/>
    </w:rPr>
  </w:style>
  <w:style w:type="paragraph" w:customStyle="1" w:styleId="56">
    <w:name w:val="列出段落2"/>
    <w:basedOn w:val="1"/>
    <w:qFormat/>
    <w:uiPriority w:val="34"/>
    <w:pPr>
      <w:ind w:firstLine="420" w:firstLineChars="200"/>
    </w:pPr>
  </w:style>
  <w:style w:type="paragraph" w:customStyle="1" w:styleId="57">
    <w:name w:val="plaintext"/>
    <w:basedOn w:val="1"/>
    <w:qFormat/>
    <w:uiPriority w:val="0"/>
    <w:pPr>
      <w:widowControl/>
      <w:spacing w:beforeAutospacing="1" w:afterAutospacing="1"/>
      <w:jc w:val="left"/>
    </w:pPr>
    <w:rPr>
      <w:rFonts w:ascii="宋体" w:hAnsi="宋体" w:cs="宋体"/>
      <w:kern w:val="0"/>
      <w:sz w:val="24"/>
    </w:rPr>
  </w:style>
  <w:style w:type="paragraph" w:customStyle="1" w:styleId="58">
    <w:name w:val="1"/>
    <w:basedOn w:val="1"/>
    <w:qFormat/>
    <w:uiPriority w:val="0"/>
    <w:pPr>
      <w:widowControl/>
      <w:spacing w:beforeAutospacing="1" w:afterAutospacing="1"/>
      <w:jc w:val="left"/>
    </w:pPr>
    <w:rPr>
      <w:rFonts w:ascii="宋体" w:hAnsi="宋体" w:cs="宋体"/>
      <w:kern w:val="0"/>
      <w:sz w:val="24"/>
    </w:rPr>
  </w:style>
  <w:style w:type="paragraph" w:customStyle="1" w:styleId="59">
    <w:name w:val="No Spacing"/>
    <w:qFormat/>
    <w:uiPriority w:val="1"/>
    <w:rPr>
      <w:rFonts w:ascii="Calibri" w:hAnsi="Calibri" w:eastAsia="宋体" w:cs="Times New Roman"/>
      <w:sz w:val="22"/>
      <w:szCs w:val="22"/>
      <w:lang w:val="en-US" w:eastAsia="zh-CN" w:bidi="ar-SA"/>
    </w:rPr>
  </w:style>
  <w:style w:type="paragraph" w:customStyle="1" w:styleId="60">
    <w:name w:val="_Style 2"/>
    <w:basedOn w:val="1"/>
    <w:qFormat/>
    <w:uiPriority w:val="34"/>
    <w:pPr>
      <w:ind w:firstLine="420" w:firstLineChars="200"/>
    </w:pPr>
    <w:rPr>
      <w:rFonts w:ascii="Calibri" w:hAnsi="Calibri"/>
    </w:rPr>
  </w:style>
  <w:style w:type="paragraph" w:customStyle="1" w:styleId="61">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qFormat/>
    <w:uiPriority w:val="0"/>
  </w:style>
  <w:style w:type="paragraph" w:customStyle="1" w:styleId="64">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qFormat/>
    <w:uiPriority w:val="1"/>
    <w:pPr>
      <w:jc w:val="left"/>
    </w:pPr>
    <w:rPr>
      <w:rFonts w:ascii="宋体" w:hAnsi="宋体" w:cs="宋体"/>
      <w:kern w:val="0"/>
      <w:sz w:val="22"/>
      <w:szCs w:val="22"/>
      <w:lang w:eastAsia="en-US"/>
    </w:rPr>
  </w:style>
  <w:style w:type="paragraph" w:customStyle="1" w:styleId="66">
    <w:name w:val="无间隔1"/>
    <w:basedOn w:val="1"/>
    <w:qFormat/>
    <w:uiPriority w:val="1"/>
    <w:pPr>
      <w:spacing w:line="400" w:lineRule="exact"/>
    </w:pPr>
    <w:rPr>
      <w:sz w:val="24"/>
    </w:rPr>
  </w:style>
  <w:style w:type="paragraph" w:customStyle="1" w:styleId="67">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qFormat/>
    <w:uiPriority w:val="34"/>
    <w:pPr>
      <w:ind w:firstLine="420" w:firstLineChars="200"/>
    </w:pPr>
  </w:style>
  <w:style w:type="paragraph" w:customStyle="1" w:styleId="70">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qFormat/>
    <w:uiPriority w:val="0"/>
    <w:pPr>
      <w:widowControl/>
      <w:spacing w:beforeAutospacing="1" w:afterAutospacing="1"/>
      <w:jc w:val="left"/>
    </w:pPr>
    <w:rPr>
      <w:rFonts w:ascii="宋体" w:hAnsi="宋体" w:cs="宋体"/>
      <w:kern w:val="0"/>
      <w:sz w:val="24"/>
    </w:rPr>
  </w:style>
  <w:style w:type="paragraph" w:customStyle="1" w:styleId="72">
    <w:name w:val="default"/>
    <w:basedOn w:val="1"/>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qFormat/>
    <w:uiPriority w:val="0"/>
    <w:pPr>
      <w:ind w:firstLine="420" w:firstLineChars="200"/>
    </w:pPr>
    <w:rPr>
      <w:rFonts w:ascii="Calibri" w:hAnsi="Calibri"/>
      <w:szCs w:val="22"/>
    </w:rPr>
  </w:style>
  <w:style w:type="character" w:customStyle="1" w:styleId="74">
    <w:name w:val="正文文本 Char"/>
    <w:basedOn w:val="34"/>
    <w:link w:val="4"/>
    <w:qFormat/>
    <w:uiPriority w:val="0"/>
  </w:style>
  <w:style w:type="character" w:customStyle="1" w:styleId="75">
    <w:name w:val="apple-converted-space"/>
    <w:basedOn w:val="34"/>
    <w:qFormat/>
    <w:uiPriority w:val="0"/>
  </w:style>
  <w:style w:type="character" w:customStyle="1" w:styleId="76">
    <w:name w:val="文档结构图 Char"/>
    <w:link w:val="12"/>
    <w:qFormat/>
    <w:uiPriority w:val="0"/>
    <w:rPr>
      <w:rFonts w:ascii="宋体"/>
      <w:kern w:val="2"/>
      <w:sz w:val="18"/>
      <w:szCs w:val="18"/>
    </w:rPr>
  </w:style>
  <w:style w:type="character" w:customStyle="1" w:styleId="77">
    <w:name w:val="不明显强调1"/>
    <w:qFormat/>
    <w:uiPriority w:val="19"/>
    <w:rPr>
      <w:i/>
      <w:iCs/>
      <w:color w:val="7F7F7F"/>
      <w:szCs w:val="24"/>
    </w:rPr>
  </w:style>
  <w:style w:type="character" w:customStyle="1" w:styleId="78">
    <w:name w:val="font71"/>
    <w:qFormat/>
    <w:uiPriority w:val="0"/>
    <w:rPr>
      <w:rFonts w:hint="eastAsia" w:ascii="宋体" w:hAnsi="宋体" w:eastAsia="宋体" w:cs="宋体"/>
      <w:color w:val="000000"/>
      <w:sz w:val="28"/>
      <w:szCs w:val="28"/>
      <w:u w:val="none"/>
    </w:rPr>
  </w:style>
  <w:style w:type="character" w:customStyle="1" w:styleId="79">
    <w:name w:val="font21"/>
    <w:basedOn w:val="34"/>
    <w:qFormat/>
    <w:uiPriority w:val="0"/>
    <w:rPr>
      <w:rFonts w:hint="default" w:ascii="Calibri" w:hAnsi="Calibri" w:cs="Calibri"/>
      <w:color w:val="000000"/>
      <w:sz w:val="28"/>
      <w:szCs w:val="28"/>
      <w:u w:val="none"/>
    </w:rPr>
  </w:style>
  <w:style w:type="character" w:customStyle="1" w:styleId="80">
    <w:name w:val="17"/>
    <w:qFormat/>
    <w:uiPriority w:val="0"/>
    <w:rPr>
      <w:rFonts w:hint="eastAsia" w:ascii="宋体" w:hAnsi="宋体" w:eastAsia="宋体"/>
      <w:color w:val="000000"/>
    </w:rPr>
  </w:style>
  <w:style w:type="character" w:customStyle="1" w:styleId="81">
    <w:name w:val="font91"/>
    <w:qFormat/>
    <w:uiPriority w:val="0"/>
    <w:rPr>
      <w:rFonts w:hint="eastAsia" w:ascii="宋体" w:hAnsi="宋体" w:eastAsia="宋体" w:cs="宋体"/>
      <w:color w:val="FF0000"/>
      <w:sz w:val="28"/>
      <w:szCs w:val="28"/>
      <w:u w:val="none"/>
    </w:rPr>
  </w:style>
  <w:style w:type="paragraph" w:customStyle="1" w:styleId="82">
    <w:name w:val="p"/>
    <w:basedOn w:val="1"/>
    <w:qFormat/>
    <w:uiPriority w:val="0"/>
    <w:pPr>
      <w:widowControl/>
      <w:spacing w:line="432" w:lineRule="auto"/>
      <w:jc w:val="left"/>
    </w:pPr>
    <w:rPr>
      <w:rFonts w:ascii="宋体" w:hAnsi="宋体" w:cs="宋体"/>
      <w:kern w:val="0"/>
      <w:sz w:val="24"/>
    </w:rPr>
  </w:style>
  <w:style w:type="paragraph" w:customStyle="1" w:styleId="83">
    <w:name w:val="WPSOffice手动目录 1"/>
    <w:qFormat/>
    <w:uiPriority w:val="0"/>
    <w:rPr>
      <w:rFonts w:ascii="Times New Roman" w:hAnsi="Times New Roman" w:eastAsia="宋体" w:cs="Times New Roman"/>
      <w:lang w:val="en-US" w:eastAsia="zh-CN" w:bidi="ar-SA"/>
    </w:rPr>
  </w:style>
  <w:style w:type="paragraph" w:customStyle="1" w:styleId="84">
    <w:name w:val="*正文_1"/>
    <w:basedOn w:val="1"/>
    <w:next w:val="1"/>
    <w:qFormat/>
    <w:uiPriority w:val="0"/>
    <w:pPr>
      <w:widowControl/>
      <w:ind w:firstLine="482"/>
    </w:pPr>
    <w:rPr>
      <w:rFonts w:ascii="微软雅黑" w:hAnsi="微软雅黑" w:eastAsia="微软雅黑"/>
      <w:kern w:val="0"/>
      <w:szCs w:val="20"/>
    </w:rPr>
  </w:style>
  <w:style w:type="paragraph" w:customStyle="1" w:styleId="85">
    <w:name w:val="表格文字"/>
    <w:basedOn w:val="1"/>
    <w:next w:val="4"/>
    <w:qFormat/>
    <w:uiPriority w:val="0"/>
    <w:pPr>
      <w:adjustRightInd w:val="0"/>
      <w:spacing w:line="420" w:lineRule="atLeast"/>
      <w:jc w:val="left"/>
      <w:textAlignment w:val="baseline"/>
    </w:pPr>
    <w:rPr>
      <w:kern w:val="0"/>
      <w:szCs w:val="20"/>
    </w:rPr>
  </w:style>
  <w:style w:type="character" w:customStyle="1" w:styleId="86">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qFormat/>
    <w:uiPriority w:val="34"/>
    <w:pPr>
      <w:widowControl/>
      <w:ind w:firstLine="420"/>
      <w:jc w:val="left"/>
    </w:pPr>
    <w:rPr>
      <w:kern w:val="0"/>
    </w:rPr>
  </w:style>
  <w:style w:type="paragraph" w:customStyle="1" w:styleId="88">
    <w:name w:val="List Paragraph"/>
    <w:basedOn w:val="1"/>
    <w:qFormat/>
    <w:uiPriority w:val="34"/>
    <w:pPr>
      <w:ind w:firstLine="420" w:firstLineChars="200"/>
    </w:pPr>
  </w:style>
  <w:style w:type="character" w:customStyle="1" w:styleId="89">
    <w:name w:val="hover18"/>
    <w:basedOn w:val="34"/>
    <w:qFormat/>
    <w:uiPriority w:val="0"/>
  </w:style>
  <w:style w:type="character" w:customStyle="1" w:styleId="90">
    <w:name w:val="font41"/>
    <w:basedOn w:val="34"/>
    <w:qFormat/>
    <w:uiPriority w:val="0"/>
    <w:rPr>
      <w:rFonts w:hint="eastAsia" w:ascii="宋体" w:hAnsi="宋体" w:eastAsia="宋体" w:cs="宋体"/>
      <w:color w:val="000000"/>
      <w:sz w:val="21"/>
      <w:szCs w:val="21"/>
      <w:u w:val="none"/>
    </w:rPr>
  </w:style>
  <w:style w:type="character" w:customStyle="1" w:styleId="91">
    <w:name w:val="font51"/>
    <w:basedOn w:val="34"/>
    <w:qFormat/>
    <w:uiPriority w:val="0"/>
    <w:rPr>
      <w:rFonts w:hint="eastAsia" w:ascii="宋体" w:hAnsi="宋体" w:eastAsia="宋体" w:cs="宋体"/>
      <w:b/>
      <w:color w:val="000000"/>
      <w:sz w:val="21"/>
      <w:szCs w:val="21"/>
      <w:u w:val="none"/>
    </w:rPr>
  </w:style>
  <w:style w:type="character" w:customStyle="1" w:styleId="92">
    <w:name w:val="font31"/>
    <w:basedOn w:val="34"/>
    <w:qFormat/>
    <w:uiPriority w:val="0"/>
    <w:rPr>
      <w:rFonts w:hint="eastAsia" w:ascii="宋体" w:hAnsi="宋体" w:eastAsia="宋体" w:cs="宋体"/>
      <w:color w:val="000000"/>
      <w:sz w:val="20"/>
      <w:szCs w:val="20"/>
      <w:u w:val="none"/>
    </w:rPr>
  </w:style>
  <w:style w:type="character" w:customStyle="1" w:styleId="93">
    <w:name w:val="font11"/>
    <w:basedOn w:val="34"/>
    <w:qFormat/>
    <w:uiPriority w:val="0"/>
    <w:rPr>
      <w:rFonts w:hint="eastAsia" w:ascii="等线" w:hAnsi="等线" w:eastAsia="等线" w:cs="等线"/>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14904</Words>
  <Characters>15610</Characters>
  <Lines>50</Lines>
  <Paragraphs>68</Paragraphs>
  <TotalTime>0</TotalTime>
  <ScaleCrop>false</ScaleCrop>
  <LinksUpToDate>false</LinksUpToDate>
  <CharactersWithSpaces>16570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2012-11-07T10:07:00Z</dcterms:created>
  <dc:creator>微软用户</dc:creator>
  <cp:lastModifiedBy>梧桐叶落</cp:lastModifiedBy>
  <cp:lastPrinted>2023-02-08T08:43:00Z</cp:lastPrinted>
  <dcterms:modified xsi:type="dcterms:W3CDTF">2023-08-23T06:40:04Z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D753B99F23C34F7196CC3841D7C44AA1_13</vt:lpwstr>
  </property>
  <property fmtid="{D5CDD505-2E9C-101B-9397-08002B2CF9AE}" pid="4" name="commondata">
    <vt:lpwstr>eyJoZGlkIjoiYzIwMjRmYTY4OTJhZjc1NTA1MGQwNDc0NzZhNTkwMmUifQ==</vt:lpwstr>
  </property>
</Properties>
</file>