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驻马店市中心医院生活垃圾清运服务</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驻马店市中心医院生活垃圾清运服务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驻马店市中心医院生活垃圾清运服务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48</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1071"/>
      <w:bookmarkStart w:id="5" w:name="_Toc26079"/>
      <w:bookmarkStart w:id="6" w:name="_Toc19521"/>
      <w:bookmarkStart w:id="7" w:name="_Toc27913"/>
      <w:bookmarkStart w:id="8" w:name="_Toc24040"/>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三年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3626"/>
      <w:bookmarkStart w:id="10" w:name="_Toc16639"/>
      <w:bookmarkStart w:id="11" w:name="_Toc18607"/>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9562"/>
      <w:bookmarkStart w:id="14" w:name="_Toc7823"/>
      <w:bookmarkStart w:id="15" w:name="_Toc23395"/>
      <w:bookmarkStart w:id="16" w:name="_Toc30643"/>
      <w:bookmarkStart w:id="17"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17 </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11"/>
      <w:bookmarkStart w:id="19" w:name="_Toc27480"/>
      <w:bookmarkStart w:id="20" w:name="_Toc10738"/>
      <w:bookmarkStart w:id="21" w:name="_Toc15135"/>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20287"/>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27370"/>
      <w:bookmarkStart w:id="32" w:name="_Toc16291"/>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w:t>
      </w:r>
      <w:r>
        <w:rPr>
          <w:rFonts w:hint="eastAsia" w:ascii="宋体" w:hAnsi="宋体" w:cs="宋体"/>
          <w:color w:val="auto"/>
          <w:kern w:val="0"/>
          <w:sz w:val="21"/>
          <w:szCs w:val="21"/>
          <w:highlight w:val="none"/>
          <w:shd w:val="clear" w:color="auto" w:fill="FFFFFF"/>
          <w:lang w:val="en-US" w:eastAsia="zh-CN" w:bidi="ar-SA"/>
        </w:rPr>
        <w:t>6678</w:t>
      </w:r>
      <w:bookmarkStart w:id="91" w:name="_GoBack"/>
      <w:bookmarkEnd w:id="91"/>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驻马店市中心医院生活垃圾清运服务</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二、项目用途说明：生活垃圾清运服务合同即将到期，经医院同意重新进行招标。</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生活垃圾清运服务</w:t>
            </w:r>
          </w:p>
        </w:tc>
        <w:tc>
          <w:tcPr>
            <w:tcW w:w="1736"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16万元</w:t>
            </w:r>
          </w:p>
        </w:tc>
        <w:tc>
          <w:tcPr>
            <w:tcW w:w="1554"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4"/>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718"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rPr>
            </w:pPr>
          </w:p>
        </w:tc>
        <w:tc>
          <w:tcPr>
            <w:tcW w:w="1736"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w:t>
            </w:r>
          </w:p>
        </w:tc>
        <w:tc>
          <w:tcPr>
            <w:tcW w:w="1473" w:type="dxa"/>
            <w:tcBorders>
              <w:top w:val="single" w:color="auto" w:sz="4" w:space="0"/>
              <w:left w:val="nil"/>
              <w:bottom w:val="single" w:color="auto" w:sz="4" w:space="0"/>
              <w:right w:val="single" w:color="auto" w:sz="4" w:space="0"/>
            </w:tcBorders>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48万元</w:t>
            </w:r>
          </w:p>
        </w:tc>
        <w:tc>
          <w:tcPr>
            <w:tcW w:w="1554" w:type="dxa"/>
            <w:tcBorders>
              <w:top w:val="single" w:color="auto" w:sz="4" w:space="0"/>
              <w:left w:val="nil"/>
              <w:bottom w:val="single" w:color="auto" w:sz="4" w:space="0"/>
              <w:right w:val="single" w:color="auto" w:sz="4" w:space="0"/>
            </w:tcBorders>
          </w:tcPr>
          <w:p>
            <w:pPr>
              <w:pStyle w:val="14"/>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本次合同服务期限为一年，合同到期后，经甲方同意可续签一年，最多可续签两年。</w:t>
            </w:r>
          </w:p>
        </w:tc>
      </w:tr>
    </w:tbl>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spacing w:line="360" w:lineRule="auto"/>
        <w:jc w:val="center"/>
        <w:rPr>
          <w:rFonts w:ascii="宋体" w:hAnsi="宋体" w:eastAsia="宋体"/>
          <w:b/>
          <w:sz w:val="24"/>
          <w:szCs w:val="24"/>
        </w:rPr>
      </w:pPr>
      <w:r>
        <w:rPr>
          <w:rFonts w:hint="eastAsia" w:ascii="宋体" w:hAnsi="宋体" w:eastAsia="宋体"/>
          <w:b/>
          <w:sz w:val="24"/>
          <w:szCs w:val="24"/>
        </w:rPr>
        <w:t>服务要求</w:t>
      </w:r>
    </w:p>
    <w:p>
      <w:pPr>
        <w:pStyle w:val="14"/>
        <w:keepNext w:val="0"/>
        <w:keepLines w:val="0"/>
        <w:pageBreakBefore w:val="0"/>
        <w:widowControl w:val="0"/>
        <w:numPr>
          <w:ilvl w:val="0"/>
          <w:numId w:val="1"/>
        </w:numPr>
        <w:kinsoku/>
        <w:wordWrap/>
        <w:overflowPunct/>
        <w:topLinePunct w:val="0"/>
        <w:autoSpaceDE/>
        <w:autoSpaceDN/>
        <w:bidi w:val="0"/>
        <w:adjustRightInd/>
        <w:spacing w:beforeAutospacing="0" w:afterAutospacing="0" w:line="500" w:lineRule="exact"/>
        <w:ind w:left="0" w:leftChars="0" w:firstLine="422" w:firstLineChars="200"/>
        <w:contextualSpacing/>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服务范围</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中心院区（含康复中心、老卫校、发热门诊）生活垃圾清运服务。</w:t>
      </w:r>
      <w:r>
        <w:rPr>
          <w:rFonts w:hint="eastAsia" w:asciiTheme="minorEastAsia" w:hAnsiTheme="minorEastAsia" w:eastAsiaTheme="minorEastAsia" w:cstheme="minorEastAsia"/>
          <w:b w:val="0"/>
          <w:bCs w:val="0"/>
          <w:sz w:val="21"/>
          <w:szCs w:val="21"/>
          <w:vertAlign w:val="baseline"/>
          <w:lang w:val="en-US" w:eastAsia="zh-CN"/>
        </w:rPr>
        <w:t>生活垃圾</w:t>
      </w:r>
      <w:r>
        <w:rPr>
          <w:rFonts w:hint="eastAsia" w:asciiTheme="minorEastAsia" w:hAnsiTheme="minorEastAsia" w:eastAsiaTheme="minorEastAsia" w:cstheme="minorEastAsia"/>
          <w:sz w:val="21"/>
          <w:szCs w:val="21"/>
        </w:rPr>
        <w:t>每天清运1—2次。</w:t>
      </w:r>
      <w:r>
        <w:rPr>
          <w:rFonts w:hint="eastAsia" w:asciiTheme="minorEastAsia" w:hAnsiTheme="minorEastAsia" w:eastAsiaTheme="minorEastAsia" w:cstheme="minorEastAsia"/>
          <w:sz w:val="21"/>
          <w:szCs w:val="21"/>
          <w:lang w:val="en-US" w:eastAsia="zh-CN"/>
        </w:rPr>
        <w:t>清运时间为</w:t>
      </w:r>
      <w:r>
        <w:rPr>
          <w:rFonts w:hint="eastAsia" w:asciiTheme="minorEastAsia" w:hAnsiTheme="minorEastAsia" w:eastAsiaTheme="minorEastAsia" w:cstheme="minorEastAsia"/>
          <w:sz w:val="21"/>
          <w:szCs w:val="21"/>
        </w:rPr>
        <w:t>每天上午06：</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——07：</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下午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完成。</w:t>
      </w:r>
      <w:r>
        <w:rPr>
          <w:rFonts w:hint="eastAsia" w:asciiTheme="minorEastAsia" w:hAnsiTheme="minorEastAsia" w:eastAsiaTheme="minorEastAsia" w:cstheme="minorEastAsia"/>
          <w:sz w:val="21"/>
          <w:szCs w:val="21"/>
          <w:lang w:val="en-US" w:eastAsia="zh-CN"/>
        </w:rPr>
        <w:t>其余时间收到医院清运通知后2小时内完成清理。</w:t>
      </w:r>
    </w:p>
    <w:p>
      <w:pPr>
        <w:pStyle w:val="15"/>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1、使用封闭车辆</w:t>
      </w:r>
      <w:r>
        <w:rPr>
          <w:rFonts w:hint="eastAsia" w:asciiTheme="minorEastAsia" w:hAnsiTheme="minorEastAsia" w:eastAsiaTheme="minorEastAsia" w:cstheme="minorEastAsia"/>
          <w:sz w:val="21"/>
          <w:szCs w:val="21"/>
        </w:rPr>
        <w:t>保质保量完成生活垃圾清运工作，做到垃圾日产日清。</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、燃油费、维修费</w:t>
      </w:r>
      <w:r>
        <w:rPr>
          <w:rFonts w:hint="eastAsia" w:asciiTheme="minorEastAsia" w:hAnsiTheme="minorEastAsia" w:eastAsiaTheme="minorEastAsia" w:cstheme="minorEastAsia"/>
          <w:sz w:val="21"/>
          <w:szCs w:val="21"/>
          <w:lang w:eastAsia="zh-CN"/>
        </w:rPr>
        <w:t>、日常清运工具</w:t>
      </w:r>
      <w:r>
        <w:rPr>
          <w:rFonts w:hint="eastAsia" w:asciiTheme="minorEastAsia" w:hAnsiTheme="minorEastAsia" w:eastAsiaTheme="minorEastAsia" w:cstheme="minorEastAsia"/>
          <w:sz w:val="21"/>
          <w:szCs w:val="21"/>
        </w:rPr>
        <w:t>和清运车辆等一切费用由乙方负责。</w:t>
      </w:r>
      <w:r>
        <w:rPr>
          <w:rFonts w:hint="eastAsia" w:asciiTheme="minorEastAsia" w:hAnsiTheme="minorEastAsia" w:eastAsiaTheme="minorEastAsia" w:cstheme="minorEastAsia"/>
          <w:sz w:val="21"/>
          <w:szCs w:val="21"/>
          <w:lang w:val="en-US" w:eastAsia="zh-CN"/>
        </w:rPr>
        <w:t>车辆必须符合环保标准和垃圾清运要求。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乙方在</w:t>
      </w:r>
      <w:r>
        <w:rPr>
          <w:rFonts w:hint="eastAsia" w:asciiTheme="minorEastAsia" w:hAnsiTheme="minorEastAsia" w:eastAsiaTheme="minorEastAsia" w:cstheme="minorEastAsia"/>
          <w:sz w:val="21"/>
          <w:szCs w:val="21"/>
          <w:lang w:eastAsia="zh-CN"/>
        </w:rPr>
        <w:t>生活</w:t>
      </w:r>
      <w:r>
        <w:rPr>
          <w:rFonts w:hint="eastAsia" w:asciiTheme="minorEastAsia" w:hAnsiTheme="minorEastAsia" w:eastAsiaTheme="minorEastAsia" w:cstheme="minorEastAsia"/>
          <w:sz w:val="21"/>
          <w:szCs w:val="21"/>
        </w:rPr>
        <w:t>垃圾清运工作时应做到安全、有序，自觉遵守</w:t>
      </w:r>
      <w:r>
        <w:rPr>
          <w:rFonts w:hint="eastAsia" w:asciiTheme="minorEastAsia" w:hAnsiTheme="minorEastAsia" w:eastAsiaTheme="minorEastAsia" w:cstheme="minorEastAsia"/>
          <w:sz w:val="21"/>
          <w:szCs w:val="21"/>
          <w:lang w:eastAsia="zh-CN"/>
        </w:rPr>
        <w:t>医院</w:t>
      </w:r>
      <w:r>
        <w:rPr>
          <w:rFonts w:hint="eastAsia" w:asciiTheme="minorEastAsia" w:hAnsiTheme="minorEastAsia" w:eastAsiaTheme="minorEastAsia" w:cstheme="minorEastAsia"/>
          <w:sz w:val="21"/>
          <w:szCs w:val="21"/>
        </w:rPr>
        <w:t>管理制度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不得影响医院的正常工作。</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4、装车完毕，清运人员清扫现场后方可离开，要保证现场的卫生。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5、垃圾清运过程，要注意爱护现场的所有公共设施设备，如系人为损坏，照价赔偿。</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驻马店市中心医院生活垃圾清运服务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48万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48万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default" w:eastAsia="宋体"/>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元/年</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D0F97CA"/>
    <w:multiLevelType w:val="singleLevel"/>
    <w:tmpl w:val="DD0F97CA"/>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B07617A"/>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1B6AE2"/>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476A4D"/>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2"/>
    <w:qFormat/>
    <w:uiPriority w:val="0"/>
  </w:style>
  <w:style w:type="character" w:customStyle="1" w:styleId="74">
    <w:name w:val="apple-converted-space"/>
    <w:basedOn w:val="33"/>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8</TotalTime>
  <ScaleCrop>false</ScaleCrop>
  <LinksUpToDate>false</LinksUpToDate>
  <CharactersWithSpaces>16376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2023-08-17T07:23:29Z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BABF91824EC1475297DB676B0F545D5A</vt:lpwstr>
  </property>
</Properties>
</file>