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驻马店市中心医院妇儿院区停车场集中充电设施安装项目</w:t>
      </w:r>
    </w:p>
    <w:p>
      <w:pPr>
        <w:pStyle w:val="22"/>
        <w:bidi w:val="0"/>
        <w:jc w:val="center"/>
        <w:rPr>
          <w:rStyle w:val="46"/>
          <w:rFonts w:hint="eastAsia" w:ascii="宋体" w:hAnsi="宋体" w:eastAsia="宋体" w:cs="宋体"/>
          <w:b/>
          <w:bCs/>
          <w:color w:val="auto"/>
          <w:sz w:val="48"/>
          <w:szCs w:val="48"/>
          <w:highlight w:val="none"/>
        </w:rPr>
      </w:pPr>
    </w:p>
    <w:p>
      <w:pPr>
        <w:pStyle w:val="22"/>
        <w:bidi w:val="0"/>
        <w:jc w:val="center"/>
        <w:rPr>
          <w:rStyle w:val="46"/>
          <w:rFonts w:hint="eastAsia" w:ascii="宋体" w:hAnsi="宋体" w:eastAsia="宋体" w:cs="宋体"/>
          <w:b/>
          <w:bCs/>
          <w:color w:val="auto"/>
          <w:sz w:val="48"/>
          <w:szCs w:val="48"/>
          <w:highlight w:val="none"/>
        </w:rPr>
      </w:pPr>
    </w:p>
    <w:p>
      <w:pPr>
        <w:pStyle w:val="22"/>
        <w:bidi w:val="0"/>
        <w:jc w:val="center"/>
        <w:rPr>
          <w:rStyle w:val="46"/>
          <w:rFonts w:hint="eastAsia" w:ascii="宋体" w:hAnsi="宋体" w:eastAsia="宋体" w:cs="宋体"/>
          <w:b/>
          <w:bCs/>
          <w:color w:val="auto"/>
          <w:szCs w:val="44"/>
          <w:highlight w:val="none"/>
        </w:rPr>
      </w:pPr>
      <w:r>
        <w:rPr>
          <w:rStyle w:val="46"/>
          <w:rFonts w:hint="eastAsia" w:cs="宋体"/>
          <w:b/>
          <w:bCs/>
          <w:color w:val="auto"/>
          <w:sz w:val="72"/>
          <w:szCs w:val="72"/>
          <w:highlight w:val="none"/>
          <w:lang w:val="en-US" w:eastAsia="zh-CN"/>
        </w:rPr>
        <w:t>采购</w:t>
      </w:r>
      <w:r>
        <w:rPr>
          <w:rStyle w:val="46"/>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34"/>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7</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7"/>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7"/>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u w:val="none"/>
          <w:lang w:val="en-US" w:eastAsia="zh-CN"/>
        </w:rPr>
      </w:pPr>
      <w:r>
        <w:rPr>
          <w:rFonts w:hint="eastAsia" w:ascii="黑体" w:hAnsi="黑体" w:eastAsia="黑体" w:cs="宋体"/>
          <w:bCs/>
          <w:color w:val="auto"/>
          <w:kern w:val="0"/>
          <w:sz w:val="28"/>
          <w:szCs w:val="28"/>
          <w:highlight w:val="none"/>
          <w:u w:val="none"/>
          <w:lang w:val="en-US" w:eastAsia="zh-CN"/>
        </w:rPr>
        <w:t>驻马店市中心医院妇儿院区停车场集中充电设施安装项目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妇儿院区停车场集中充电设施安装</w:t>
      </w:r>
      <w:r>
        <w:rPr>
          <w:rFonts w:hint="eastAsia" w:ascii="宋体" w:hAnsi="宋体" w:eastAsia="宋体" w:cs="宋体"/>
          <w:color w:val="auto"/>
          <w:sz w:val="24"/>
          <w:szCs w:val="28"/>
          <w:u w:val="single"/>
          <w:lang w:eastAsia="zh-CN"/>
        </w:rPr>
        <w:t>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驻马店市中心医院妇儿院区停车场集中充电设施安装项目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bookmarkStart w:id="8" w:name="_Toc26725"/>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1071"/>
      <w:bookmarkStart w:id="10" w:name="_Toc24040"/>
      <w:bookmarkStart w:id="11" w:name="_Toc26079"/>
      <w:bookmarkStart w:id="12" w:name="_Toc19521"/>
      <w:bookmarkStart w:id="13" w:name="_Toc27913"/>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、标段：共一个标段</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23626"/>
      <w:bookmarkStart w:id="16" w:name="_Toc16639"/>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2、供应商应提供2021年度或2022年度经审计的财务报告或者其基本开户银行出具的资信证明；采购活动前近三个月内或上个季度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7823"/>
      <w:bookmarkStart w:id="20" w:name="_Toc9562"/>
      <w:bookmarkStart w:id="21" w:name="_Toc23395"/>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FF0000"/>
          <w:sz w:val="24"/>
          <w:szCs w:val="24"/>
          <w:highlight w:val="none"/>
          <w:shd w:val="clear" w:color="auto" w:fill="FFFFFF"/>
        </w:rPr>
        <w:t>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日-202</w:t>
      </w:r>
      <w:r>
        <w:rPr>
          <w:rFonts w:hint="eastAsia" w:ascii="宋体" w:hAnsi="宋体" w:eastAsia="宋体" w:cs="宋体"/>
          <w:color w:val="FF0000"/>
          <w:sz w:val="24"/>
          <w:szCs w:val="24"/>
          <w:highlight w:val="none"/>
          <w:shd w:val="clear" w:color="auto" w:fill="FFFFFF"/>
          <w:lang w:val="en-US" w:eastAsia="zh-CN"/>
        </w:rPr>
        <w:t>3</w:t>
      </w:r>
      <w:r>
        <w:rPr>
          <w:rFonts w:hint="eastAsia" w:ascii="宋体" w:hAnsi="宋体" w:eastAsia="宋体" w:cs="宋体"/>
          <w:color w:val="FF0000"/>
          <w:sz w:val="24"/>
          <w:szCs w:val="24"/>
          <w:highlight w:val="none"/>
          <w:shd w:val="clear" w:color="auto" w:fill="FFFFFF"/>
        </w:rPr>
        <w:t>年</w:t>
      </w:r>
      <w:r>
        <w:rPr>
          <w:rFonts w:hint="eastAsia" w:ascii="宋体" w:hAnsi="宋体" w:cs="宋体"/>
          <w:color w:val="FF0000"/>
          <w:sz w:val="24"/>
          <w:szCs w:val="24"/>
          <w:highlight w:val="none"/>
          <w:shd w:val="clear" w:color="auto" w:fill="FFFFFF"/>
          <w:lang w:val="en-US" w:eastAsia="zh-CN"/>
        </w:rPr>
        <w:t>8</w:t>
      </w:r>
      <w:r>
        <w:rPr>
          <w:rFonts w:hint="eastAsia" w:ascii="宋体" w:hAnsi="宋体" w:eastAsia="宋体" w:cs="宋体"/>
          <w:color w:val="FF0000"/>
          <w:sz w:val="24"/>
          <w:szCs w:val="24"/>
          <w:highlight w:val="none"/>
          <w:shd w:val="clear" w:color="auto" w:fill="FFFFFF"/>
        </w:rPr>
        <w:t>月</w:t>
      </w:r>
      <w:r>
        <w:rPr>
          <w:rFonts w:hint="eastAsia" w:ascii="宋体" w:hAnsi="宋体" w:cs="宋体"/>
          <w:color w:val="FF0000"/>
          <w:sz w:val="24"/>
          <w:szCs w:val="24"/>
          <w:highlight w:val="none"/>
          <w:shd w:val="clear" w:color="auto" w:fill="FFFFFF"/>
          <w:lang w:val="en-US" w:eastAsia="zh-CN"/>
        </w:rPr>
        <w:t>7</w:t>
      </w:r>
      <w:r>
        <w:rPr>
          <w:rFonts w:hint="eastAsia" w:ascii="宋体" w:hAnsi="宋体" w:eastAsia="宋体" w:cs="宋体"/>
          <w:color w:val="FF0000"/>
          <w:sz w:val="24"/>
          <w:szCs w:val="24"/>
          <w:highlight w:val="none"/>
          <w:shd w:val="clear" w:color="auto" w:fill="FFFFFF"/>
        </w:rPr>
        <w:t>日，上</w:t>
      </w:r>
      <w:r>
        <w:rPr>
          <w:rFonts w:hint="eastAsia" w:ascii="宋体" w:hAnsi="宋体" w:eastAsia="宋体" w:cs="宋体"/>
          <w:color w:val="FF0000"/>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10738"/>
      <w:bookmarkStart w:id="25" w:name="_Toc15111"/>
      <w:bookmarkStart w:id="26" w:name="_Toc27480"/>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29784"/>
      <w:bookmarkStart w:id="30" w:name="_Toc30918"/>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27370"/>
      <w:bookmarkStart w:id="34" w:name="_Toc3604"/>
      <w:bookmarkStart w:id="35" w:name="_Toc31928"/>
      <w:bookmarkStart w:id="36" w:name="_Toc16291"/>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监督电话：0396-2725435</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rPr>
      </w:pPr>
      <w:r>
        <w:rPr>
          <w:rFonts w:hint="eastAsia" w:ascii="宋体" w:hAnsi="宋体" w:eastAsia="宋体" w:cs="宋体"/>
          <w:color w:val="FF0000"/>
          <w:kern w:val="0"/>
          <w:sz w:val="24"/>
          <w:szCs w:val="24"/>
          <w:shd w:val="clear" w:color="auto" w:fill="FFFFFF"/>
          <w:lang w:val="en-US" w:eastAsia="zh-CN" w:bidi="ar-SA"/>
        </w:rPr>
        <w:t>2023年</w:t>
      </w:r>
      <w:r>
        <w:rPr>
          <w:rFonts w:hint="eastAsia" w:ascii="宋体" w:hAnsi="宋体" w:cs="宋体"/>
          <w:color w:val="FF0000"/>
          <w:kern w:val="0"/>
          <w:sz w:val="24"/>
          <w:szCs w:val="24"/>
          <w:highlight w:val="none"/>
          <w:shd w:val="clear" w:color="auto" w:fill="FFFFFF"/>
          <w:lang w:val="en-US" w:eastAsia="zh-CN" w:bidi="ar-SA"/>
        </w:rPr>
        <w:t>8</w:t>
      </w:r>
      <w:r>
        <w:rPr>
          <w:rFonts w:hint="eastAsia" w:ascii="宋体" w:hAnsi="宋体" w:eastAsia="宋体" w:cs="宋体"/>
          <w:color w:val="FF0000"/>
          <w:kern w:val="0"/>
          <w:sz w:val="24"/>
          <w:szCs w:val="24"/>
          <w:highlight w:val="none"/>
          <w:shd w:val="clear" w:color="auto" w:fill="FFFFFF"/>
          <w:lang w:val="en-US" w:eastAsia="zh-CN" w:bidi="ar-SA"/>
        </w:rPr>
        <w:t>月</w:t>
      </w:r>
      <w:r>
        <w:rPr>
          <w:rFonts w:hint="eastAsia" w:ascii="宋体" w:hAnsi="宋体" w:cs="宋体"/>
          <w:color w:val="FF0000"/>
          <w:kern w:val="0"/>
          <w:sz w:val="24"/>
          <w:szCs w:val="24"/>
          <w:highlight w:val="none"/>
          <w:shd w:val="clear" w:color="auto" w:fill="FFFFFF"/>
          <w:lang w:val="en-US" w:eastAsia="zh-CN" w:bidi="ar-SA"/>
        </w:rPr>
        <w:t>2</w:t>
      </w:r>
      <w:bookmarkStart w:id="91" w:name="_GoBack"/>
      <w:bookmarkEnd w:id="91"/>
      <w:r>
        <w:rPr>
          <w:rFonts w:hint="eastAsia" w:ascii="宋体" w:hAnsi="宋体" w:eastAsia="宋体" w:cs="宋体"/>
          <w:color w:val="FF0000"/>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31536"/>
      <w:bookmarkStart w:id="38" w:name="_Toc23610"/>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cs="宋体"/>
          <w:b w:val="0"/>
          <w:bCs w:val="0"/>
          <w:color w:val="auto"/>
          <w:kern w:val="0"/>
          <w:sz w:val="21"/>
          <w:szCs w:val="21"/>
          <w:highlight w:val="none"/>
          <w:u w:val="single"/>
          <w:shd w:val="clear" w:color="auto" w:fill="FFFFFF"/>
          <w:lang w:val="en-US" w:eastAsia="zh-CN" w:bidi="ar-SA"/>
        </w:rPr>
        <w:t>妇儿院区停车场集中充电设施安装。</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Style w:val="7"/>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ascii="宋体" w:hAnsi="宋体" w:eastAsia="宋体" w:cs="宋体"/>
          <w:b w:val="0"/>
          <w:bCs w:val="0"/>
          <w:kern w:val="2"/>
          <w:sz w:val="21"/>
          <w:szCs w:val="21"/>
          <w:u w:val="single"/>
          <w:lang w:val="en-US" w:eastAsia="zh-CN" w:bidi="ar-SA"/>
        </w:rPr>
        <w:t>根据驻马店市机关事务中心《关于加快推进全市公共机构屋顶光伏发电开发及新能源汽车充电桩建设工作的通知》要求和医院班子会研究决定，在职工停车场安装集中充电装置，为职工提供优质的停车服务。</w:t>
      </w:r>
      <w:r>
        <w:rPr>
          <w:rFonts w:hint="eastAsia" w:ascii="宋体" w:hAnsi="宋体" w:eastAsia="宋体" w:cs="宋体"/>
          <w:kern w:val="2"/>
          <w:sz w:val="21"/>
          <w:szCs w:val="21"/>
          <w:lang w:val="en-US" w:eastAsia="zh-CN" w:bidi="ar-SA"/>
        </w:rPr>
        <w:t xml:space="preserve">         </w:t>
      </w:r>
    </w:p>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kern w:val="2"/>
          <w:sz w:val="21"/>
          <w:szCs w:val="21"/>
          <w:highlight w:val="none"/>
          <w:lang w:val="en-US" w:eastAsia="zh-CN" w:bidi="ar-SA"/>
        </w:rPr>
        <w:t>、详细技术参数及产品资料、配品配件等</w:t>
      </w:r>
      <w:r>
        <w:rPr>
          <w:rFonts w:hint="eastAsia" w:ascii="宋体" w:hAnsi="宋体" w:eastAsia="宋体" w:cs="宋体"/>
          <w:b/>
          <w:bCs/>
          <w:color w:val="auto"/>
          <w:kern w:val="0"/>
          <w:sz w:val="21"/>
          <w:szCs w:val="21"/>
          <w:highlight w:val="none"/>
          <w:shd w:val="clear" w:color="auto" w:fill="FFFFFF"/>
          <w:lang w:val="en-US" w:eastAsia="zh-CN" w:bidi="ar-SA"/>
        </w:rPr>
        <w:t>：</w:t>
      </w:r>
    </w:p>
    <w:bookmarkEnd w:id="6"/>
    <w:bookmarkEnd w:id="7"/>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p>
      <w:pPr>
        <w:pStyle w:val="24"/>
        <w:numPr>
          <w:ilvl w:val="0"/>
          <w:numId w:val="0"/>
        </w:numPr>
        <w:ind w:leftChars="0"/>
        <w:rPr>
          <w:rFonts w:hint="eastAsia"/>
          <w:b/>
          <w:bCs/>
          <w:sz w:val="24"/>
          <w:szCs w:val="24"/>
          <w:lang w:val="en-US" w:eastAsia="zh-CN"/>
        </w:rPr>
      </w:pPr>
      <w:r>
        <w:rPr>
          <w:rFonts w:hint="eastAsia"/>
          <w:b/>
          <w:bCs/>
          <w:sz w:val="24"/>
          <w:szCs w:val="24"/>
          <w:lang w:val="en-US" w:eastAsia="zh-CN"/>
        </w:rPr>
        <w:t>（一）需求数量清单</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1、新能源汽车充电快充装置5桩10枪（1桩2枪）10个充电位；</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2、新能源汽车充电装置18桩36枪（1桩2枪）36个充电位；</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3、普通电动车充电桩130个260个充电位；</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4、配套设施：新能源车场道闸2个，电动车不锈钢围栏数米等。</w:t>
      </w:r>
    </w:p>
    <w:p>
      <w:pPr>
        <w:pStyle w:val="24"/>
        <w:numPr>
          <w:ilvl w:val="0"/>
          <w:numId w:val="0"/>
        </w:numPr>
        <w:ind w:leftChars="0"/>
        <w:rPr>
          <w:rFonts w:hint="default"/>
          <w:b/>
          <w:bCs/>
          <w:sz w:val="24"/>
          <w:szCs w:val="24"/>
          <w:lang w:val="en-US" w:eastAsia="zh-CN"/>
        </w:rPr>
      </w:pPr>
      <w:r>
        <w:rPr>
          <w:rFonts w:hint="eastAsia"/>
          <w:b/>
          <w:bCs/>
          <w:sz w:val="24"/>
          <w:szCs w:val="24"/>
          <w:lang w:val="en-US" w:eastAsia="zh-CN"/>
        </w:rPr>
        <w:t>（二）服务要求</w:t>
      </w:r>
    </w:p>
    <w:p>
      <w:pPr>
        <w:pStyle w:val="8"/>
        <w:keepNext w:val="0"/>
        <w:keepLines w:val="0"/>
        <w:pageBreakBefore w:val="0"/>
        <w:kinsoku/>
        <w:wordWrap/>
        <w:overflowPunct/>
        <w:topLinePunct w:val="0"/>
        <w:autoSpaceDE/>
        <w:autoSpaceDN/>
        <w:bidi w:val="0"/>
        <w:adjustRightInd/>
        <w:spacing w:afterAutospacing="0" w:line="360" w:lineRule="auto"/>
        <w:ind w:firstLine="424" w:firstLineChars="202"/>
        <w:textAlignment w:val="auto"/>
        <w:rPr>
          <w:rFonts w:hint="eastAsia" w:ascii="宋体" w:hAnsi="宋体" w:eastAsia="宋体" w:cs="宋体"/>
          <w:sz w:val="21"/>
          <w:szCs w:val="21"/>
          <w:u w:val="single"/>
        </w:rPr>
      </w:pPr>
      <w:r>
        <w:rPr>
          <w:rFonts w:hint="eastAsia" w:ascii="宋体" w:hAnsi="宋体" w:eastAsia="宋体" w:cs="宋体"/>
          <w:sz w:val="21"/>
          <w:szCs w:val="21"/>
          <w:u w:val="single"/>
        </w:rPr>
        <w:t>医院提供场地，供应商负责对电表、充电设施及线路敷设等配套设施的安装，并向电业局缴纳电费。</w:t>
      </w:r>
    </w:p>
    <w:p>
      <w:pPr>
        <w:pStyle w:val="8"/>
        <w:keepNext w:val="0"/>
        <w:keepLines w:val="0"/>
        <w:pageBreakBefore w:val="0"/>
        <w:kinsoku/>
        <w:wordWrap/>
        <w:overflowPunct/>
        <w:topLinePunct w:val="0"/>
        <w:autoSpaceDE/>
        <w:autoSpaceDN/>
        <w:bidi w:val="0"/>
        <w:adjustRightInd/>
        <w:spacing w:afterAutospacing="0" w:line="360" w:lineRule="auto"/>
        <w:ind w:firstLine="424" w:firstLineChars="202"/>
        <w:textAlignment w:val="auto"/>
        <w:rPr>
          <w:rFonts w:hint="eastAsia" w:ascii="宋体" w:hAnsi="宋体" w:eastAsia="宋体" w:cs="宋体"/>
          <w:sz w:val="21"/>
          <w:szCs w:val="21"/>
          <w:u w:val="single"/>
        </w:rPr>
      </w:pPr>
      <w:r>
        <w:rPr>
          <w:rFonts w:hint="eastAsia" w:ascii="宋体" w:hAnsi="宋体" w:eastAsia="宋体" w:cs="宋体"/>
          <w:sz w:val="21"/>
          <w:szCs w:val="21"/>
          <w:u w:val="single"/>
        </w:rPr>
        <w:t>要求供应商本着方便职工使用的原则上，合理设置收费标准，实现双方共赢。</w:t>
      </w:r>
    </w:p>
    <w:p>
      <w:pPr>
        <w:pStyle w:val="8"/>
        <w:keepNext w:val="0"/>
        <w:keepLines w:val="0"/>
        <w:pageBreakBefore w:val="0"/>
        <w:kinsoku/>
        <w:wordWrap/>
        <w:overflowPunct/>
        <w:topLinePunct w:val="0"/>
        <w:autoSpaceDE/>
        <w:autoSpaceDN/>
        <w:bidi w:val="0"/>
        <w:adjustRightInd/>
        <w:spacing w:afterAutospacing="0" w:line="360" w:lineRule="auto"/>
        <w:ind w:firstLine="424" w:firstLineChars="202"/>
        <w:textAlignment w:val="auto"/>
        <w:rPr>
          <w:rFonts w:hint="default" w:ascii="宋体" w:hAnsi="宋体" w:eastAsia="宋体" w:cs="宋体"/>
          <w:sz w:val="21"/>
          <w:szCs w:val="21"/>
          <w:u w:val="single"/>
          <w:lang w:val="en-US" w:eastAsia="zh-CN"/>
        </w:rPr>
      </w:pPr>
      <w:r>
        <w:rPr>
          <w:rFonts w:hint="eastAsia" w:ascii="宋体" w:hAnsi="宋体" w:cs="宋体"/>
          <w:sz w:val="21"/>
          <w:szCs w:val="21"/>
          <w:u w:val="single"/>
          <w:lang w:eastAsia="zh-CN"/>
        </w:rPr>
        <w:t>服务期限：</w:t>
      </w:r>
      <w:r>
        <w:rPr>
          <w:rFonts w:hint="eastAsia" w:ascii="宋体" w:hAnsi="宋体" w:cs="宋体"/>
          <w:sz w:val="21"/>
          <w:szCs w:val="21"/>
          <w:u w:val="single"/>
          <w:lang w:val="en-US" w:eastAsia="zh-CN"/>
        </w:rPr>
        <w:t>5年。</w:t>
      </w:r>
    </w:p>
    <w:p>
      <w:pPr>
        <w:keepNext w:val="0"/>
        <w:keepLines w:val="0"/>
        <w:pageBreakBefore w:val="0"/>
        <w:kinsoku/>
        <w:wordWrap/>
        <w:overflowPunct/>
        <w:topLinePunct w:val="0"/>
        <w:autoSpaceDE/>
        <w:autoSpaceDN/>
        <w:bidi w:val="0"/>
        <w:adjustRightInd/>
        <w:spacing w:afterAutospacing="0"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1、普通电动车充电收费不得高于以下标准（设备自动识别充电设备的功率）</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0-150w    0.17元/小时（即6小时/元）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151-220w  0.2元/小时（即5小时/元）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221-300w   0.33元/小时（即3小时/元）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301-400w  0.4元/小时（即2.5小时/元）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401-500w   0.5元/小时 （即2小时/元）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501-700w  0.67元/小时（即1.5小时/元）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701-1000w   1元/小时 （即1小时/元）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1001-1200w  1.25元/小时（即0.8小时/元）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1201-1500w  1.67元/小时（即0.6小时/元）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1501-2000w  2元/小时  （即0.5小时/元 ）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2001-2500w  2.5元/小时（即0.4 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2501-3000w  3.3元/小时（即0.3小时/元）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left"/>
        <w:textAlignment w:val="auto"/>
        <w:rPr>
          <w:rFonts w:hint="eastAsia" w:ascii="宋体" w:hAnsi="宋体" w:eastAsia="宋体" w:cs="宋体"/>
          <w:sz w:val="21"/>
          <w:szCs w:val="21"/>
        </w:rPr>
      </w:pPr>
      <w:r>
        <w:rPr>
          <w:rFonts w:hint="eastAsia" w:ascii="宋体" w:hAnsi="宋体" w:eastAsia="宋体" w:cs="宋体"/>
          <w:sz w:val="21"/>
          <w:szCs w:val="21"/>
        </w:rPr>
        <w:t>3001-3600w   4元/小时（即0.25小时/元）</w:t>
      </w:r>
    </w:p>
    <w:p>
      <w:pPr>
        <w:pStyle w:val="24"/>
        <w:numPr>
          <w:ilvl w:val="0"/>
          <w:numId w:val="0"/>
        </w:numPr>
        <w:ind w:leftChars="0"/>
        <w:rPr>
          <w:rFonts w:hint="default"/>
          <w:b/>
          <w:bCs/>
          <w:sz w:val="24"/>
          <w:szCs w:val="24"/>
          <w:lang w:val="en-US" w:eastAsia="zh-CN"/>
        </w:rPr>
      </w:pPr>
      <w:r>
        <w:rPr>
          <w:rFonts w:hint="eastAsia"/>
          <w:b/>
          <w:bCs/>
          <w:sz w:val="24"/>
          <w:szCs w:val="24"/>
          <w:lang w:val="en-US" w:eastAsia="zh-CN"/>
        </w:rPr>
        <w:t>（三）设备技术参数要求</w:t>
      </w:r>
    </w:p>
    <w:p>
      <w:pPr>
        <w:pStyle w:val="7"/>
        <w:spacing w:line="280" w:lineRule="exact"/>
        <w:jc w:val="left"/>
        <w:rPr>
          <w:rFonts w:hint="eastAsia" w:ascii="宋体" w:hAnsi="宋体" w:eastAsia="宋体" w:cs="宋体"/>
          <w:b/>
          <w:bCs/>
          <w:sz w:val="24"/>
          <w:szCs w:val="24"/>
          <w:u w:val="single"/>
        </w:rPr>
      </w:pPr>
      <w:r>
        <w:rPr>
          <w:rFonts w:hint="eastAsia" w:ascii="宋体" w:hAnsi="宋体" w:eastAsia="宋体" w:cs="宋体"/>
          <w:b/>
          <w:bCs/>
          <w:sz w:val="24"/>
          <w:szCs w:val="24"/>
        </w:rPr>
        <w:t>1.直流快充桩置配置参数</w:t>
      </w:r>
    </w:p>
    <w:tbl>
      <w:tblPr>
        <w:tblStyle w:val="36"/>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741"/>
        <w:gridCol w:w="1118"/>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输入电压</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AC220V±10%,50HZ~60HZ</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防护等级</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IP65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输出电流</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50-250A</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保护设计</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充电枪温度检测过压/欠压保护、短路保护过载保护、接地保护、过温/低温保护、防雷防漏电、急停保护、极性反接保护、绝缘检测保护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额定功率</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30-240KW</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冷却方式</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强迫风冷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限流保护值</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＞110%</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安装标准</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GB/T20234、GB/T18487、NB/T33008、NB/T27930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MTBF</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100000小时</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波纹系数</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显示屏</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7寸液晶显示屏</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安装方式</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消费方式</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刷卡、扫码</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通讯接口</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C以太网、4G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计算精度</w:t>
            </w:r>
          </w:p>
        </w:tc>
        <w:tc>
          <w:tcPr>
            <w:tcW w:w="2741"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计量0.5级，稳压≤±0.5%</w:t>
            </w:r>
          </w:p>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b w:val="0"/>
                <w:bCs w:val="0"/>
                <w:kern w:val="2"/>
                <w:sz w:val="21"/>
                <w:szCs w:val="21"/>
              </w:rPr>
              <w:t>稳流＜±1%</w:t>
            </w:r>
          </w:p>
        </w:tc>
        <w:tc>
          <w:tcPr>
            <w:tcW w:w="1118"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规格尺寸</w:t>
            </w:r>
          </w:p>
        </w:tc>
        <w:tc>
          <w:tcPr>
            <w:tcW w:w="4104"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700*441.5*1499mm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适用环境</w:t>
            </w:r>
          </w:p>
        </w:tc>
        <w:tc>
          <w:tcPr>
            <w:tcW w:w="7963" w:type="dxa"/>
            <w:gridSpan w:val="3"/>
            <w:vAlign w:val="center"/>
          </w:tcPr>
          <w:p>
            <w:pPr>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户内；海拔&lt;3000m；&lt;95%相对湿度，无冷凝；-30°C~70°C</w:t>
            </w:r>
          </w:p>
        </w:tc>
      </w:tr>
    </w:tbl>
    <w:p>
      <w:pPr>
        <w:pStyle w:val="7"/>
        <w:spacing w:line="280" w:lineRule="exact"/>
        <w:jc w:val="left"/>
        <w:rPr>
          <w:rFonts w:hint="eastAsia" w:ascii="宋体" w:hAnsi="宋体" w:eastAsia="宋体" w:cs="宋体"/>
          <w:b/>
          <w:bCs/>
          <w:sz w:val="24"/>
          <w:szCs w:val="24"/>
        </w:rPr>
      </w:pPr>
      <w:r>
        <w:rPr>
          <w:rFonts w:hint="eastAsia" w:ascii="宋体" w:hAnsi="宋体" w:eastAsia="宋体" w:cs="宋体"/>
          <w:b/>
          <w:bCs/>
          <w:sz w:val="24"/>
          <w:szCs w:val="24"/>
        </w:rPr>
        <w:t>2. 7KW/14KW落地式新能源汽车交流桩置配置参数</w:t>
      </w:r>
    </w:p>
    <w:tbl>
      <w:tblPr>
        <w:tblStyle w:val="36"/>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741"/>
        <w:gridCol w:w="1118"/>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输入电压</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AC220V±10%,50HZ~60HZ</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防护等级</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IP65,防UV设计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输出电流</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单枪32A</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保护设计</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充电枪温度检测过压/欠压保护、短路保护过载保护、接地保护、过温/低温保护、防雷防漏电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输入频率</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50±1HZ</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冷却方式</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自然冷却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待机功耗</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3W</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安装标准</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GB/T20234、GB/T18487、NB/T33008、NB/T33002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MTBF</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100000小时</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安装组件</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枪座（标配）、落地立柱（选配）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显示屏</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液晶显示屏</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安装方式</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壁挂式/落地式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消费方式</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刷卡、扫码(需选配)</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走线方式</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单相三线式(L.N.PE/PG)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通讯接口</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CAN通讯</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线缆长度</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计算精度</w:t>
            </w:r>
          </w:p>
        </w:tc>
        <w:tc>
          <w:tcPr>
            <w:tcW w:w="2741"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1级</w:t>
            </w:r>
          </w:p>
        </w:tc>
        <w:tc>
          <w:tcPr>
            <w:tcW w:w="1118"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规格尺寸</w:t>
            </w:r>
          </w:p>
        </w:tc>
        <w:tc>
          <w:tcPr>
            <w:tcW w:w="4104"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重27KG，560*300*1350mm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适用环境</w:t>
            </w:r>
          </w:p>
        </w:tc>
        <w:tc>
          <w:tcPr>
            <w:tcW w:w="7963" w:type="dxa"/>
            <w:gridSpan w:val="3"/>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户内/户外；海拔&lt;2000m；&lt;95%相对湿度，无冷凝；30°C~70°C</w:t>
            </w:r>
          </w:p>
        </w:tc>
      </w:tr>
    </w:tbl>
    <w:p>
      <w:pPr>
        <w:pStyle w:val="7"/>
        <w:spacing w:line="280" w:lineRule="exact"/>
        <w:jc w:val="left"/>
        <w:rPr>
          <w:rFonts w:hint="eastAsia" w:ascii="宋体" w:hAnsi="宋体" w:eastAsia="宋体" w:cs="宋体"/>
          <w:b/>
          <w:bCs/>
          <w:sz w:val="24"/>
          <w:szCs w:val="24"/>
        </w:rPr>
      </w:pPr>
      <w:r>
        <w:rPr>
          <w:rFonts w:hint="eastAsia" w:ascii="宋体" w:hAnsi="宋体" w:eastAsia="宋体" w:cs="宋体"/>
          <w:b/>
          <w:bCs/>
          <w:sz w:val="24"/>
          <w:szCs w:val="24"/>
        </w:rPr>
        <w:t>3.全新智能电动车充电桩参数：</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工作电源：AC220V 50HZ   输出电压：220V</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输出最大电流：10A输出最大功率：2000W</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空载功率≤3W    取电方式：支持扫码或刷卡（扫码不充值，根据需求支付，剩余电量可回收）</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单码双孔，自动识别，联网方式：4G全网通   </w:t>
      </w:r>
    </w:p>
    <w:p>
      <w:pPr>
        <w:pStyle w:val="8"/>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不充电时插座不带电，充满自停（自动断电），过载保护，超时长充电保护，自动记录充电数据，自动继续充，手机实时控制开启或者关停充电，查询充电记录实时知道充电状态，实时功率变化，余额转让。</w:t>
      </w: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lang w:val="en-US" w:eastAsia="zh-CN"/>
        </w:rPr>
      </w:pPr>
    </w:p>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bCs/>
          <w:color w:val="auto"/>
          <w:sz w:val="21"/>
          <w:szCs w:val="21"/>
          <w:highlight w:val="none"/>
          <w:lang w:val="en-US" w:eastAsia="zh-CN"/>
        </w:rPr>
        <w:t>四、售后服务条件及交货日期（或工期）</w:t>
      </w:r>
      <w:r>
        <w:rPr>
          <w:rFonts w:hint="eastAsia"/>
          <w:b/>
          <w:bCs/>
          <w:color w:val="auto"/>
          <w:sz w:val="21"/>
          <w:szCs w:val="21"/>
          <w:highlight w:val="none"/>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rPr>
        <w:t>自合同签订之日起30天之内完成。设备应购买财产、责任等商业保险，并终身质保，人为及不可抗力因素不在质保范围。充电设备及线路符合国家相关安全标准和技术要求，定期维护保养，保证设备始终处于功能和安全状态。出现设备故障等问题2小时内到场解决，因设备问题导致的车辆受损和安全事故，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5"/>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5"/>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5"/>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驻马店市中心医院妇儿院区停车场集中充电设施安装项目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eastAsia="zh-CN"/>
              </w:rPr>
              <w:t>不得高于</w:t>
            </w:r>
            <w:r>
              <w:rPr>
                <w:rFonts w:hint="eastAsia" w:ascii="宋体" w:hAnsi="宋体" w:cs="宋体"/>
                <w:color w:val="auto"/>
                <w:kern w:val="0"/>
                <w:sz w:val="24"/>
                <w:szCs w:val="24"/>
                <w:highlight w:val="none"/>
                <w:lang w:val="en-US" w:eastAsia="zh-CN"/>
              </w:rPr>
              <w:t>采购文件规定的收费标准</w:t>
            </w:r>
            <w:r>
              <w:rPr>
                <w:rFonts w:hint="eastAsia" w:ascii="宋体" w:hAnsi="宋体" w:eastAsia="宋体" w:cs="宋体"/>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eastAsia="宋体" w:cs="宋体"/>
          <w:b/>
          <w:bCs/>
          <w:color w:val="auto"/>
          <w:kern w:val="0"/>
          <w:sz w:val="24"/>
          <w:szCs w:val="24"/>
          <w:highlight w:val="none"/>
          <w:lang w:eastAsia="zh-CN"/>
        </w:rPr>
        <w:t>不得高于</w:t>
      </w:r>
      <w:r>
        <w:rPr>
          <w:rFonts w:hint="eastAsia" w:ascii="宋体" w:hAnsi="宋体" w:eastAsia="宋体" w:cs="宋体"/>
          <w:b/>
          <w:bCs/>
          <w:color w:val="auto"/>
          <w:kern w:val="0"/>
          <w:sz w:val="24"/>
          <w:szCs w:val="24"/>
          <w:highlight w:val="none"/>
          <w:lang w:val="en-US" w:eastAsia="zh-CN"/>
        </w:rPr>
        <w:t>采购文件规定的收费标准</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2021年度或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6"/>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2"/>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（4）投标有效期、交货时间、质保期等不满足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1"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1"/>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2"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采购需求”技术参数、性能及产品功能等的响应，所投内容全部满足磋商文件要求得30分，加★号一项不满足扣4分，不加★号的一项不满足扣2分，如得分为0，则投标无效。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.售后服务体系（1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宋体" w:hAnsi="宋体" w:eastAsia="宋体" w:cs="宋体"/>
          <w:b/>
          <w:bCs/>
          <w:color w:val="auto"/>
          <w:kern w:val="44"/>
          <w:sz w:val="28"/>
          <w:szCs w:val="28"/>
          <w:highlight w:val="none"/>
          <w:lang w:val="en-US" w:eastAsia="zh-CN" w:bidi="ar-SA"/>
        </w:rPr>
      </w:pPr>
      <w:bookmarkStart w:id="50" w:name="_Toc28988"/>
      <w:r>
        <w:rPr>
          <w:rFonts w:hint="eastAsia" w:ascii="宋体" w:hAnsi="宋体" w:eastAsia="宋体" w:cs="宋体"/>
          <w:b/>
          <w:bCs/>
          <w:color w:val="auto"/>
          <w:kern w:val="44"/>
          <w:sz w:val="28"/>
          <w:szCs w:val="28"/>
          <w:highlight w:val="none"/>
          <w:lang w:val="en-US" w:eastAsia="zh-CN" w:bidi="ar-SA"/>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4"/>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9"/>
        <w:rPr>
          <w:color w:val="auto"/>
          <w:highlight w:val="none"/>
        </w:rPr>
      </w:pPr>
    </w:p>
    <w:p>
      <w:pPr>
        <w:pStyle w:val="10"/>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10"/>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10"/>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按照采购文件规定的收费标准下浮</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%收取充电费（详见报价明细表）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3"/>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10"/>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cs="宋体"/>
          <w:color w:val="auto"/>
          <w:kern w:val="0"/>
          <w:sz w:val="24"/>
          <w:highlight w:val="none"/>
          <w:vertAlign w:val="baseline"/>
          <w:lang w:val="en-US" w:eastAsia="zh-CN"/>
        </w:rPr>
      </w:pPr>
      <w:r>
        <w:rPr>
          <w:rFonts w:hint="eastAsia" w:cs="宋体"/>
          <w:color w:val="auto"/>
          <w:kern w:val="0"/>
          <w:sz w:val="24"/>
          <w:highlight w:val="none"/>
          <w:lang w:val="en-US" w:eastAsia="zh-CN"/>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widowControl/>
              <w:wordWrap w:val="0"/>
              <w:snapToGrid w:val="0"/>
              <w:spacing w:before="50" w:after="50"/>
              <w:ind w:right="-817" w:rightChars="-389"/>
              <w:jc w:val="both"/>
              <w:rPr>
                <w:rFonts w:hint="eastAsia" w:cs="宋体"/>
                <w:color w:val="auto"/>
                <w:kern w:val="0"/>
                <w:sz w:val="24"/>
                <w:highlight w:val="none"/>
                <w:vertAlign w:val="baseline"/>
                <w:lang w:val="en-US" w:eastAsia="zh-CN"/>
              </w:rPr>
            </w:pPr>
            <w:r>
              <w:rPr>
                <w:rFonts w:hint="eastAsia" w:cs="宋体"/>
                <w:color w:val="auto"/>
                <w:kern w:val="0"/>
                <w:sz w:val="24"/>
                <w:highlight w:val="none"/>
                <w:vertAlign w:val="baseline"/>
                <w:lang w:val="en-US" w:eastAsia="zh-CN"/>
              </w:rPr>
              <w:t>投标报价</w:t>
            </w:r>
          </w:p>
        </w:tc>
        <w:tc>
          <w:tcPr>
            <w:tcW w:w="7817" w:type="dxa"/>
            <w:vAlign w:val="center"/>
          </w:tcPr>
          <w:p>
            <w:pPr>
              <w:widowControl/>
              <w:wordWrap w:val="0"/>
              <w:snapToGrid w:val="0"/>
              <w:spacing w:before="50" w:after="50"/>
              <w:ind w:right="-817" w:rightChars="-389"/>
              <w:jc w:val="both"/>
              <w:rPr>
                <w:rFonts w:hint="eastAsia" w:cs="宋体"/>
                <w:color w:val="auto"/>
                <w:kern w:val="0"/>
                <w:sz w:val="24"/>
                <w:highlight w:val="none"/>
                <w:vertAlign w:val="baseline"/>
                <w:lang w:val="en-US" w:eastAsia="zh-CN"/>
              </w:rPr>
            </w:pPr>
            <w:r>
              <w:rPr>
                <w:rFonts w:hint="eastAsia" w:cs="宋体"/>
                <w:color w:val="auto"/>
                <w:kern w:val="0"/>
                <w:sz w:val="24"/>
                <w:highlight w:val="none"/>
                <w:vertAlign w:val="baseline"/>
                <w:lang w:val="en-US" w:eastAsia="zh-CN"/>
              </w:rPr>
              <w:t>按照采购文件规定的收费标准下浮</w:t>
            </w:r>
            <w:r>
              <w:rPr>
                <w:rFonts w:hint="eastAsia" w:cs="宋体"/>
                <w:color w:val="auto"/>
                <w:kern w:val="0"/>
                <w:sz w:val="24"/>
                <w:highlight w:val="none"/>
                <w:u w:val="single"/>
                <w:vertAlign w:val="baseline"/>
                <w:lang w:val="en-US" w:eastAsia="zh-CN"/>
              </w:rPr>
              <w:t xml:space="preserve">      </w:t>
            </w:r>
            <w:r>
              <w:rPr>
                <w:rFonts w:hint="eastAsia" w:cs="宋体"/>
                <w:color w:val="auto"/>
                <w:kern w:val="0"/>
                <w:sz w:val="24"/>
                <w:highlight w:val="none"/>
                <w:vertAlign w:val="baseline"/>
                <w:lang w:val="en-US" w:eastAsia="zh-CN"/>
              </w:rPr>
              <w:t>%收取充电费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widowControl/>
              <w:wordWrap w:val="0"/>
              <w:snapToGrid w:val="0"/>
              <w:spacing w:before="50" w:after="50"/>
              <w:ind w:right="-817" w:rightChars="-389"/>
              <w:jc w:val="both"/>
              <w:rPr>
                <w:rFonts w:hint="eastAsia" w:cs="宋体"/>
                <w:color w:val="auto"/>
                <w:kern w:val="0"/>
                <w:sz w:val="24"/>
                <w:highlight w:val="none"/>
                <w:vertAlign w:val="baseline"/>
                <w:lang w:val="en-US" w:eastAsia="zh-CN"/>
              </w:rPr>
            </w:pPr>
            <w:r>
              <w:rPr>
                <w:rFonts w:hint="eastAsia" w:cs="宋体"/>
                <w:color w:val="auto"/>
                <w:kern w:val="0"/>
                <w:sz w:val="24"/>
                <w:highlight w:val="none"/>
                <w:vertAlign w:val="baseline"/>
                <w:lang w:val="en-US" w:eastAsia="zh-CN"/>
              </w:rPr>
              <w:t>收费标准</w:t>
            </w:r>
          </w:p>
        </w:tc>
        <w:tc>
          <w:tcPr>
            <w:tcW w:w="7817" w:type="dxa"/>
            <w:vAlign w:val="center"/>
          </w:tcPr>
          <w:p>
            <w:pPr>
              <w:keepNext w:val="0"/>
              <w:keepLines w:val="0"/>
              <w:pageBreakBefore w:val="0"/>
              <w:kinsoku/>
              <w:wordWrap/>
              <w:overflowPunct/>
              <w:topLinePunct w:val="0"/>
              <w:autoSpaceDE/>
              <w:autoSpaceDN/>
              <w:bidi w:val="0"/>
              <w:adjustRightInd/>
              <w:spacing w:afterAutospacing="0" w:line="360" w:lineRule="auto"/>
              <w:ind w:firstLine="315" w:firstLineChars="150"/>
              <w:jc w:val="both"/>
              <w:textAlignment w:val="auto"/>
              <w:rPr>
                <w:rFonts w:hint="eastAsia" w:ascii="宋体" w:hAnsi="宋体" w:eastAsia="宋体" w:cs="宋体"/>
                <w:sz w:val="21"/>
                <w:szCs w:val="21"/>
              </w:rPr>
            </w:pPr>
            <w:r>
              <w:rPr>
                <w:rFonts w:hint="eastAsia" w:ascii="宋体" w:hAnsi="宋体" w:eastAsia="宋体" w:cs="宋体"/>
                <w:sz w:val="21"/>
                <w:szCs w:val="21"/>
              </w:rPr>
              <w:t>1、普通电动车充电收费不得高于以下标准（设备自动识别充电设备的功率）</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0-150w    0.17元/小时（即6小时/元）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151-220w  0.2元/小时（即5小时/元）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221-300w   0.33元/小时（即3小时/元）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301-400w  0.4元/小时（即2.5小时/元）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401-500w   0.5元/小时 （即2小时/元）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501-700w  0.67元/小时（即1.5小时/元）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701-1000w   1元/小时 （即1小时/元）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1001-1200w  1.25元/小时（即0.8小时/元）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1201-1500w  1.67元/小时（即0.6小时/元）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1501-2000w  2元/小时  （即0.5小时/元 ）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2001-2500w  2.5元/小时（即0.4 小时/元）</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2501-3000w  3.3元/小时（即0.3小时/元）   </w:t>
            </w:r>
          </w:p>
          <w:p>
            <w:pPr>
              <w:pStyle w:val="7"/>
              <w:keepNext w:val="0"/>
              <w:keepLines w:val="0"/>
              <w:pageBreakBefore w:val="0"/>
              <w:kinsoku/>
              <w:wordWrap/>
              <w:overflowPunct/>
              <w:topLinePunct w:val="0"/>
              <w:autoSpaceDE/>
              <w:autoSpaceDN/>
              <w:bidi w:val="0"/>
              <w:adjustRightInd/>
              <w:spacing w:before="0" w:beforeAutospacing="0" w:after="0" w:afterAutospacing="0" w:line="360" w:lineRule="auto"/>
              <w:ind w:left="0" w:leftChars="0" w:firstLine="279" w:firstLineChars="133"/>
              <w:jc w:val="both"/>
              <w:textAlignment w:val="auto"/>
              <w:rPr>
                <w:rFonts w:hint="eastAsia" w:cs="宋体"/>
                <w:color w:val="auto"/>
                <w:kern w:val="0"/>
                <w:sz w:val="24"/>
                <w:highlight w:val="none"/>
                <w:vertAlign w:val="baseline"/>
                <w:lang w:val="en-US" w:eastAsia="zh-CN"/>
              </w:rPr>
            </w:pPr>
            <w:r>
              <w:rPr>
                <w:rFonts w:hint="eastAsia" w:ascii="宋体" w:hAnsi="宋体" w:eastAsia="宋体" w:cs="宋体"/>
                <w:sz w:val="21"/>
                <w:szCs w:val="21"/>
              </w:rPr>
              <w:t>3001-3600w   4元/小时（即0.25小时/元）</w:t>
            </w:r>
          </w:p>
        </w:tc>
      </w:tr>
    </w:tbl>
    <w:p>
      <w:pPr>
        <w:widowControl/>
        <w:wordWrap w:val="0"/>
        <w:snapToGrid w:val="0"/>
        <w:spacing w:before="50" w:after="50"/>
        <w:ind w:left="-3" w:leftChars="-72" w:right="-817" w:rightChars="-389" w:hanging="148" w:hangingChars="62"/>
        <w:jc w:val="left"/>
        <w:rPr>
          <w:rFonts w:hint="eastAsia" w:cs="宋体"/>
          <w:color w:val="auto"/>
          <w:kern w:val="0"/>
          <w:sz w:val="24"/>
          <w:highlight w:val="none"/>
          <w:lang w:val="en-US" w:eastAsia="zh-CN"/>
        </w:rPr>
      </w:pPr>
    </w:p>
    <w:p>
      <w:pPr>
        <w:widowControl/>
        <w:wordWrap w:val="0"/>
        <w:snapToGrid w:val="0"/>
        <w:spacing w:before="50" w:after="50"/>
        <w:ind w:left="-3" w:leftChars="-72" w:right="-817" w:rightChars="-389" w:hanging="148" w:hangingChars="62"/>
        <w:jc w:val="left"/>
        <w:rPr>
          <w:rFonts w:hint="eastAsia" w:cs="宋体"/>
          <w:color w:val="auto"/>
          <w:kern w:val="0"/>
          <w:sz w:val="24"/>
          <w:highlight w:val="none"/>
          <w:lang w:val="en-US" w:eastAsia="zh-CN"/>
        </w:rPr>
      </w:pP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w:t>
      </w: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6"/>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4"/>
        <w:rPr>
          <w:highlight w:val="none"/>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4"/>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4"/>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4"/>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9"/>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5"/>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lang w:val="en-US" w:eastAsia="zh-CN"/>
      </w:rPr>
      <w:t>驻马店市中心医院妇儿院区停车场集中充电设施安装项目采购文件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default"/>
        <w:lang w:val="en-US" w:eastAsia="zh-CN"/>
      </w:rPr>
    </w:pPr>
    <w:r>
      <w:rPr>
        <w:rFonts w:hint="eastAsia" w:ascii="宋体" w:hAnsi="宋体" w:cs="宋体"/>
        <w:color w:val="auto"/>
        <w:szCs w:val="21"/>
        <w:highlight w:val="none"/>
        <w:shd w:val="clear" w:color="auto" w:fill="FFFFFF"/>
        <w:lang w:eastAsia="zh-CN"/>
      </w:rPr>
      <w:t>驻马店市中心医院妇儿院区停车场集中充电设施安装项目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2D25290"/>
    <w:rsid w:val="146A4213"/>
    <w:rsid w:val="1A856091"/>
    <w:rsid w:val="23F57CC4"/>
    <w:rsid w:val="31802CD2"/>
    <w:rsid w:val="3D226758"/>
    <w:rsid w:val="3DBF1931"/>
    <w:rsid w:val="563765A4"/>
    <w:rsid w:val="5A295181"/>
    <w:rsid w:val="5AE3311B"/>
    <w:rsid w:val="5E742597"/>
    <w:rsid w:val="6082276F"/>
    <w:rsid w:val="633D2D8F"/>
    <w:rsid w:val="65447343"/>
    <w:rsid w:val="6E9043D6"/>
    <w:rsid w:val="707912DA"/>
    <w:rsid w:val="76076E1C"/>
    <w:rsid w:val="77A82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9"/>
    <w:qFormat/>
    <w:uiPriority w:val="0"/>
    <w:pPr>
      <w:ind w:firstLine="420" w:firstLineChars="200"/>
    </w:pPr>
  </w:style>
  <w:style w:type="paragraph" w:styleId="7">
    <w:name w:val="Body Text Indent"/>
    <w:basedOn w:val="1"/>
    <w:next w:val="8"/>
    <w:qFormat/>
    <w:uiPriority w:val="0"/>
    <w:pPr>
      <w:widowControl/>
      <w:spacing w:beforeAutospacing="1" w:afterAutospacing="1"/>
      <w:jc w:val="left"/>
    </w:pPr>
    <w:rPr>
      <w:rFonts w:ascii="宋体" w:hAnsi="宋体" w:cs="宋体"/>
      <w:kern w:val="0"/>
      <w:sz w:val="24"/>
    </w:rPr>
  </w:style>
  <w:style w:type="paragraph" w:styleId="8">
    <w:name w:val="envelope return"/>
    <w:basedOn w:val="1"/>
    <w:unhideWhenUsed/>
    <w:qFormat/>
    <w:uiPriority w:val="99"/>
    <w:pPr>
      <w:snapToGrid w:val="0"/>
    </w:pPr>
    <w:rPr>
      <w:rFonts w:ascii="Arial" w:hAnsi="Arial"/>
    </w:r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next w:val="6"/>
    <w:qFormat/>
    <w:uiPriority w:val="0"/>
    <w:pPr>
      <w:widowControl/>
      <w:spacing w:beforeAutospacing="1" w:afterAutospacing="1"/>
      <w:jc w:val="left"/>
    </w:pPr>
    <w:rPr>
      <w:rFonts w:ascii="宋体" w:hAnsi="宋体" w:cs="宋体"/>
      <w:kern w:val="0"/>
      <w:sz w:val="24"/>
    </w:rPr>
  </w:style>
  <w:style w:type="paragraph" w:styleId="15">
    <w:name w:val="Document Map"/>
    <w:basedOn w:val="1"/>
    <w:link w:val="76"/>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qFormat/>
    <w:uiPriority w:val="0"/>
    <w:pPr>
      <w:jc w:val="left"/>
    </w:pPr>
  </w:style>
  <w:style w:type="paragraph" w:styleId="18">
    <w:name w:val="Body Text 3"/>
    <w:basedOn w:val="1"/>
    <w:qFormat/>
    <w:uiPriority w:val="0"/>
    <w:rPr>
      <w:sz w:val="16"/>
      <w:szCs w:val="16"/>
    </w:rPr>
  </w:style>
  <w:style w:type="paragraph" w:styleId="19">
    <w:name w:val="List 2"/>
    <w:basedOn w:val="1"/>
    <w:qFormat/>
    <w:uiPriority w:val="0"/>
    <w:pPr>
      <w:ind w:left="100" w:leftChars="200" w:hanging="200" w:hangingChars="200"/>
    </w:pPr>
  </w:style>
  <w:style w:type="paragraph" w:styleId="20">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qFormat/>
    <w:uiPriority w:val="0"/>
    <w:pPr>
      <w:tabs>
        <w:tab w:val="left" w:pos="709"/>
        <w:tab w:val="right" w:leader="dot" w:pos="8789"/>
      </w:tabs>
      <w:spacing w:line="400" w:lineRule="atLeast"/>
    </w:pPr>
    <w:rPr>
      <w:rFonts w:ascii="宋体"/>
      <w:kern w:val="0"/>
      <w:szCs w:val="20"/>
    </w:rPr>
  </w:style>
  <w:style w:type="paragraph" w:styleId="22">
    <w:name w:val="Plain Text"/>
    <w:basedOn w:val="1"/>
    <w:qFormat/>
    <w:uiPriority w:val="0"/>
    <w:pPr>
      <w:widowControl/>
      <w:spacing w:beforeAutospacing="1" w:afterAutospacing="1"/>
      <w:jc w:val="left"/>
    </w:pPr>
    <w:rPr>
      <w:rFonts w:ascii="宋体" w:hAnsi="宋体" w:cs="宋体"/>
      <w:kern w:val="0"/>
      <w:sz w:val="24"/>
    </w:rPr>
  </w:style>
  <w:style w:type="paragraph" w:styleId="23">
    <w:name w:val="Date"/>
    <w:basedOn w:val="1"/>
    <w:next w:val="1"/>
    <w:qFormat/>
    <w:uiPriority w:val="0"/>
    <w:pPr>
      <w:ind w:left="100" w:leftChars="2500"/>
    </w:pPr>
    <w:rPr>
      <w:rFonts w:ascii="宋体" w:hAnsi="宋体"/>
      <w:sz w:val="28"/>
    </w:rPr>
  </w:style>
  <w:style w:type="paragraph" w:styleId="24">
    <w:name w:val="Body Text Indent 2"/>
    <w:basedOn w:val="1"/>
    <w:qFormat/>
    <w:uiPriority w:val="0"/>
    <w:pPr>
      <w:spacing w:line="480" w:lineRule="auto"/>
      <w:ind w:left="420" w:leftChars="200"/>
    </w:p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6"/>
    <w:next w:val="1"/>
    <w:qFormat/>
    <w:uiPriority w:val="0"/>
  </w:style>
  <w:style w:type="paragraph" w:styleId="28">
    <w:name w:val="List"/>
    <w:basedOn w:val="1"/>
    <w:qFormat/>
    <w:uiPriority w:val="0"/>
    <w:pPr>
      <w:ind w:left="200" w:hanging="200" w:hangingChars="200"/>
    </w:pPr>
  </w:style>
  <w:style w:type="paragraph" w:styleId="29">
    <w:name w:val="Body Text 2"/>
    <w:basedOn w:val="1"/>
    <w:next w:val="3"/>
    <w:qFormat/>
    <w:uiPriority w:val="0"/>
    <w:pPr>
      <w:spacing w:line="480" w:lineRule="auto"/>
    </w:pPr>
  </w:style>
  <w:style w:type="paragraph" w:styleId="30">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qFormat/>
    <w:uiPriority w:val="99"/>
    <w:pPr>
      <w:spacing w:before="100" w:beforeAutospacing="1" w:after="100" w:afterAutospacing="1"/>
      <w:jc w:val="left"/>
    </w:pPr>
    <w:rPr>
      <w:kern w:val="0"/>
      <w:sz w:val="24"/>
    </w:rPr>
  </w:style>
  <w:style w:type="paragraph" w:styleId="33">
    <w:name w:val="Title"/>
    <w:basedOn w:val="1"/>
    <w:qFormat/>
    <w:uiPriority w:val="0"/>
    <w:pPr>
      <w:jc w:val="center"/>
      <w:outlineLvl w:val="0"/>
    </w:pPr>
    <w:rPr>
      <w:rFonts w:ascii="Arial" w:hAnsi="Arial" w:cs="Arial"/>
      <w:b/>
      <w:bCs/>
      <w:sz w:val="32"/>
      <w:szCs w:val="32"/>
    </w:rPr>
  </w:style>
  <w:style w:type="paragraph" w:styleId="34">
    <w:name w:val="Body Text First Indent"/>
    <w:basedOn w:val="3"/>
    <w:next w:val="6"/>
    <w:qFormat/>
    <w:uiPriority w:val="0"/>
    <w:pPr>
      <w:spacing w:line="360" w:lineRule="auto"/>
      <w:ind w:firstLine="420" w:firstLineChars="100"/>
    </w:pPr>
    <w:rPr>
      <w:szCs w:val="21"/>
    </w:rPr>
  </w:style>
  <w:style w:type="table" w:styleId="36">
    <w:name w:val="Table Grid"/>
    <w:basedOn w:val="3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szCs w:val="24"/>
    </w:rPr>
  </w:style>
  <w:style w:type="character" w:styleId="39">
    <w:name w:val="page number"/>
    <w:basedOn w:val="37"/>
    <w:qFormat/>
    <w:uiPriority w:val="0"/>
  </w:style>
  <w:style w:type="character" w:styleId="40">
    <w:name w:val="FollowedHyperlink"/>
    <w:qFormat/>
    <w:uiPriority w:val="0"/>
    <w:rPr>
      <w:color w:val="333333"/>
      <w:szCs w:val="24"/>
      <w:u w:val="none"/>
    </w:rPr>
  </w:style>
  <w:style w:type="character" w:styleId="41">
    <w:name w:val="Emphasis"/>
    <w:basedOn w:val="37"/>
    <w:qFormat/>
    <w:uiPriority w:val="0"/>
  </w:style>
  <w:style w:type="character" w:styleId="42">
    <w:name w:val="HTML Definition"/>
    <w:basedOn w:val="37"/>
    <w:qFormat/>
    <w:uiPriority w:val="0"/>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basedOn w:val="37"/>
    <w:qFormat/>
    <w:uiPriority w:val="0"/>
    <w:rPr>
      <w:color w:val="333333"/>
      <w:szCs w:val="24"/>
      <w:u w:val="none"/>
    </w:rPr>
  </w:style>
  <w:style w:type="character" w:styleId="47">
    <w:name w:val="HTML Code"/>
    <w:basedOn w:val="37"/>
    <w:qFormat/>
    <w:uiPriority w:val="0"/>
    <w:rPr>
      <w:rFonts w:ascii="monospace" w:hAnsi="monospace" w:eastAsia="monospace" w:cs="monospace"/>
      <w:sz w:val="20"/>
    </w:rPr>
  </w:style>
  <w:style w:type="character" w:styleId="48">
    <w:name w:val="HTML Cite"/>
    <w:basedOn w:val="37"/>
    <w:qFormat/>
    <w:uiPriority w:val="0"/>
  </w:style>
  <w:style w:type="character" w:styleId="49">
    <w:name w:val="HTML Keyboard"/>
    <w:basedOn w:val="37"/>
    <w:qFormat/>
    <w:uiPriority w:val="0"/>
    <w:rPr>
      <w:rFonts w:hint="default" w:ascii="monospace" w:hAnsi="monospace" w:eastAsia="monospace" w:cs="monospace"/>
      <w:sz w:val="20"/>
    </w:rPr>
  </w:style>
  <w:style w:type="character" w:styleId="50">
    <w:name w:val="HTML Sample"/>
    <w:basedOn w:val="37"/>
    <w:qFormat/>
    <w:uiPriority w:val="0"/>
    <w:rPr>
      <w:rFonts w:hint="default" w:ascii="monospace" w:hAnsi="monospace" w:eastAsia="monospace" w:cs="monospace"/>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customStyle="1"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7"/>
    <w:link w:val="3"/>
    <w:qFormat/>
    <w:uiPriority w:val="0"/>
  </w:style>
  <w:style w:type="character" w:customStyle="1" w:styleId="75">
    <w:name w:val="apple-converted-space"/>
    <w:basedOn w:val="37"/>
    <w:qFormat/>
    <w:uiPriority w:val="0"/>
  </w:style>
  <w:style w:type="character" w:customStyle="1" w:styleId="76">
    <w:name w:val="文档结构图 Char"/>
    <w:link w:val="15"/>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basedOn w:val="37"/>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customStyle="1" w:styleId="88">
    <w:name w:val="List Paragraph"/>
    <w:basedOn w:val="1"/>
    <w:qFormat/>
    <w:uiPriority w:val="34"/>
    <w:pPr>
      <w:ind w:firstLine="420" w:firstLineChars="200"/>
    </w:pPr>
  </w:style>
  <w:style w:type="character" w:customStyle="1" w:styleId="89">
    <w:name w:val="hover18"/>
    <w:basedOn w:val="37"/>
    <w:qFormat/>
    <w:uiPriority w:val="0"/>
  </w:style>
  <w:style w:type="character" w:customStyle="1" w:styleId="90">
    <w:name w:val="font41"/>
    <w:basedOn w:val="37"/>
    <w:qFormat/>
    <w:uiPriority w:val="0"/>
    <w:rPr>
      <w:rFonts w:hint="eastAsia" w:ascii="宋体" w:hAnsi="宋体" w:eastAsia="宋体" w:cs="宋体"/>
      <w:color w:val="000000"/>
      <w:sz w:val="21"/>
      <w:szCs w:val="21"/>
      <w:u w:val="none"/>
    </w:rPr>
  </w:style>
  <w:style w:type="character" w:customStyle="1" w:styleId="91">
    <w:name w:val="font51"/>
    <w:basedOn w:val="37"/>
    <w:qFormat/>
    <w:uiPriority w:val="0"/>
    <w:rPr>
      <w:rFonts w:hint="eastAsia" w:ascii="宋体" w:hAnsi="宋体" w:eastAsia="宋体" w:cs="宋体"/>
      <w:b/>
      <w:color w:val="000000"/>
      <w:sz w:val="21"/>
      <w:szCs w:val="21"/>
      <w:u w:val="none"/>
    </w:rPr>
  </w:style>
  <w:style w:type="character" w:customStyle="1" w:styleId="92">
    <w:name w:val="font31"/>
    <w:basedOn w:val="37"/>
    <w:qFormat/>
    <w:uiPriority w:val="0"/>
    <w:rPr>
      <w:rFonts w:hint="eastAsia" w:ascii="宋体" w:hAnsi="宋体" w:eastAsia="宋体" w:cs="宋体"/>
      <w:color w:val="000000"/>
      <w:sz w:val="20"/>
      <w:szCs w:val="20"/>
      <w:u w:val="none"/>
    </w:rPr>
  </w:style>
  <w:style w:type="character" w:customStyle="1" w:styleId="93">
    <w:name w:val="font11"/>
    <w:basedOn w:val="37"/>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15988</Words>
  <Characters>17214</Characters>
  <Lines>50</Lines>
  <Paragraphs>68</Paragraphs>
  <TotalTime>6</TotalTime>
  <ScaleCrop>false</ScaleCrop>
  <LinksUpToDate>false</LinksUpToDate>
  <CharactersWithSpaces>18276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2023-08-02T02:26:10Z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