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驻马店市中心医院卫校宿舍楼和规培基地南宿舍楼用电管理改造项目</w:t>
      </w:r>
    </w:p>
    <w:p>
      <w:pPr>
        <w:pStyle w:val="21"/>
        <w:bidi w:val="0"/>
        <w:jc w:val="center"/>
        <w:rPr>
          <w:rStyle w:val="44"/>
          <w:rFonts w:hint="eastAsia" w:ascii="宋体" w:hAnsi="宋体" w:eastAsia="宋体" w:cs="宋体"/>
          <w:b/>
          <w:bCs/>
          <w:color w:val="auto"/>
          <w:sz w:val="48"/>
          <w:szCs w:val="48"/>
          <w:highlight w:val="none"/>
        </w:rPr>
      </w:pPr>
    </w:p>
    <w:p>
      <w:pPr>
        <w:pStyle w:val="21"/>
        <w:bidi w:val="0"/>
        <w:jc w:val="center"/>
        <w:rPr>
          <w:rStyle w:val="44"/>
          <w:rFonts w:hint="eastAsia" w:ascii="宋体" w:hAnsi="宋体" w:eastAsia="宋体" w:cs="宋体"/>
          <w:b/>
          <w:bCs/>
          <w:color w:val="auto"/>
          <w:sz w:val="48"/>
          <w:szCs w:val="48"/>
          <w:highlight w:val="none"/>
        </w:rPr>
      </w:pPr>
    </w:p>
    <w:p>
      <w:pPr>
        <w:pStyle w:val="21"/>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2"/>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7</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7"/>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u w:val="none"/>
          <w:lang w:val="en-US" w:eastAsia="zh-CN"/>
        </w:rPr>
      </w:pPr>
      <w:r>
        <w:rPr>
          <w:rFonts w:hint="eastAsia" w:ascii="黑体" w:hAnsi="黑体" w:eastAsia="黑体" w:cs="宋体"/>
          <w:bCs/>
          <w:color w:val="auto"/>
          <w:kern w:val="0"/>
          <w:sz w:val="28"/>
          <w:szCs w:val="28"/>
          <w:highlight w:val="none"/>
          <w:u w:val="none"/>
          <w:lang w:val="en-US" w:eastAsia="zh-CN"/>
        </w:rPr>
        <w:t>驻马店市中心医院卫校宿舍楼和规培基地南宿舍楼用电管理改造项目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1"/>
          <w:szCs w:val="21"/>
        </w:rPr>
        <w:t>驻马店市中心医院现对</w:t>
      </w:r>
      <w:r>
        <w:rPr>
          <w:rFonts w:hint="eastAsia" w:ascii="宋体" w:hAnsi="宋体" w:eastAsia="宋体" w:cs="宋体"/>
          <w:color w:val="auto"/>
          <w:sz w:val="21"/>
          <w:szCs w:val="21"/>
          <w:u w:val="single"/>
          <w:lang w:val="en-US" w:eastAsia="zh-CN"/>
        </w:rPr>
        <w:t>卫校宿舍楼和规培基地南宿舍楼用电管理改造</w:t>
      </w:r>
      <w:r>
        <w:rPr>
          <w:rFonts w:hint="eastAsia" w:ascii="宋体" w:hAnsi="宋体" w:eastAsia="宋体" w:cs="宋体"/>
          <w:color w:val="auto"/>
          <w:sz w:val="21"/>
          <w:szCs w:val="21"/>
          <w:u w:val="single"/>
          <w:lang w:eastAsia="zh-CN"/>
        </w:rPr>
        <w:t>项目</w:t>
      </w:r>
      <w:r>
        <w:rPr>
          <w:rFonts w:hint="eastAsia" w:ascii="宋体" w:hAnsi="宋体" w:eastAsia="宋体" w:cs="宋体"/>
          <w:color w:val="auto"/>
          <w:sz w:val="21"/>
          <w:szCs w:val="21"/>
        </w:rPr>
        <w:t>进行院内</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采购，欢迎符合资格条件的供应商前来</w:t>
      </w:r>
      <w:r>
        <w:rPr>
          <w:rFonts w:hint="eastAsia" w:ascii="宋体" w:hAnsi="宋体" w:eastAsia="宋体" w:cs="宋体"/>
          <w:color w:val="auto"/>
          <w:sz w:val="21"/>
          <w:szCs w:val="21"/>
          <w:lang w:val="en-US" w:eastAsia="zh-CN"/>
        </w:rPr>
        <w:t>报名并</w:t>
      </w:r>
      <w:r>
        <w:rPr>
          <w:rFonts w:hint="eastAsia" w:ascii="宋体" w:hAnsi="宋体" w:eastAsia="宋体" w:cs="宋体"/>
          <w:color w:val="auto"/>
          <w:sz w:val="21"/>
          <w:szCs w:val="21"/>
        </w:rPr>
        <w:t>获取</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w:t>
      </w:r>
    </w:p>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yellow"/>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val="en-US" w:eastAsia="zh-CN"/>
        </w:rPr>
        <w:t>驻马店市中心医院卫校宿舍楼和规培基地南宿舍楼用电管理改造项目</w:t>
      </w:r>
      <w:r>
        <w:rPr>
          <w:rFonts w:hint="eastAsia" w:ascii="宋体" w:hAnsi="宋体" w:eastAsia="宋体" w:cs="宋体"/>
          <w:color w:val="auto"/>
          <w:sz w:val="21"/>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eastAsia="宋体" w:cs="宋体"/>
          <w:color w:val="auto"/>
          <w:sz w:val="21"/>
          <w:szCs w:val="21"/>
          <w:highlight w:val="none"/>
          <w:shd w:val="clear" w:color="auto" w:fill="FFFFFF"/>
        </w:rPr>
        <w:t>具体要求详见附件</w:t>
      </w:r>
      <w:r>
        <w:rPr>
          <w:rFonts w:hint="eastAsia" w:ascii="宋体" w:hAnsi="宋体" w:eastAsia="宋体" w:cs="宋体"/>
          <w:color w:val="auto"/>
          <w:sz w:val="21"/>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w:t>
      </w:r>
      <w:bookmarkStart w:id="8" w:name="_Toc26725"/>
      <w:r>
        <w:rPr>
          <w:rFonts w:hint="eastAsia" w:ascii="宋体" w:hAnsi="宋体" w:eastAsia="宋体" w:cs="宋体"/>
          <w:color w:val="auto"/>
          <w:sz w:val="21"/>
          <w:szCs w:val="21"/>
          <w:highlight w:val="none"/>
          <w:shd w:val="clear" w:color="auto" w:fill="FFFFFF"/>
        </w:rPr>
        <w:t>、预算金额：</w:t>
      </w:r>
      <w:r>
        <w:rPr>
          <w:rFonts w:hint="eastAsia" w:ascii="宋体" w:hAnsi="宋体" w:eastAsia="宋体" w:cs="宋体"/>
          <w:color w:val="auto"/>
          <w:sz w:val="21"/>
          <w:szCs w:val="21"/>
          <w:highlight w:val="none"/>
          <w:shd w:val="clear" w:color="auto" w:fill="FFFFFF"/>
          <w:lang w:val="en-US" w:eastAsia="zh-CN"/>
        </w:rPr>
        <w:t>28.99</w:t>
      </w:r>
      <w:r>
        <w:rPr>
          <w:rFonts w:hint="eastAsia" w:ascii="宋体" w:hAnsi="宋体" w:eastAsia="宋体" w:cs="宋体"/>
          <w:color w:val="auto"/>
          <w:kern w:val="0"/>
          <w:sz w:val="21"/>
          <w:szCs w:val="21"/>
          <w:highlight w:val="none"/>
          <w:u w:val="none"/>
          <w:lang w:val="en-US" w:eastAsia="zh-CN"/>
        </w:rPr>
        <w:t>万</w:t>
      </w:r>
      <w:r>
        <w:rPr>
          <w:rFonts w:hint="eastAsia" w:ascii="宋体" w:hAnsi="宋体" w:eastAsia="宋体" w:cs="宋体"/>
          <w:color w:val="auto"/>
          <w:kern w:val="0"/>
          <w:sz w:val="21"/>
          <w:szCs w:val="21"/>
          <w:highlight w:val="none"/>
        </w:rPr>
        <w:t>元</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4、</w:t>
      </w:r>
      <w:r>
        <w:rPr>
          <w:rFonts w:hint="eastAsia" w:ascii="宋体" w:hAnsi="宋体" w:eastAsia="宋体" w:cs="宋体"/>
          <w:color w:val="auto"/>
          <w:sz w:val="21"/>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bookmarkStart w:id="9" w:name="_Toc19521"/>
      <w:bookmarkStart w:id="10" w:name="_Toc26079"/>
      <w:bookmarkStart w:id="11" w:name="_Toc21071"/>
      <w:bookmarkStart w:id="12" w:name="_Toc24040"/>
      <w:bookmarkStart w:id="13" w:name="_Toc27913"/>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w:t>
      </w:r>
      <w:bookmarkEnd w:id="9"/>
      <w:bookmarkEnd w:id="10"/>
      <w:bookmarkEnd w:id="11"/>
      <w:bookmarkEnd w:id="12"/>
      <w:bookmarkEnd w:id="13"/>
      <w:r>
        <w:rPr>
          <w:rFonts w:hint="eastAsia" w:ascii="宋体" w:hAnsi="宋体" w:eastAsia="宋体" w:cs="宋体"/>
          <w:color w:val="auto"/>
          <w:sz w:val="21"/>
          <w:szCs w:val="21"/>
          <w:highlight w:val="none"/>
          <w:shd w:val="clear" w:color="auto" w:fill="FFFFFF"/>
          <w:lang w:val="en-US" w:eastAsia="zh-CN"/>
        </w:rPr>
        <w:t>质量要求：合格</w:t>
      </w:r>
      <w:r>
        <w:rPr>
          <w:rFonts w:hint="eastAsia" w:ascii="宋体" w:hAnsi="宋体" w:eastAsia="宋体" w:cs="宋体"/>
          <w:color w:val="auto"/>
          <w:sz w:val="21"/>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6、标段：共一个标段</w:t>
      </w:r>
    </w:p>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14" w:name="_Toc27704"/>
      <w:bookmarkStart w:id="15" w:name="_Toc18607"/>
      <w:bookmarkStart w:id="16" w:name="_Toc16639"/>
      <w:bookmarkStart w:id="17" w:name="_Toc23626"/>
      <w:r>
        <w:rPr>
          <w:rFonts w:hint="eastAsia" w:ascii="宋体" w:hAnsi="宋体" w:eastAsia="宋体" w:cs="宋体"/>
          <w:b/>
          <w:bCs/>
          <w:color w:val="auto"/>
          <w:kern w:val="2"/>
          <w:sz w:val="21"/>
          <w:szCs w:val="21"/>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1"/>
          <w:szCs w:val="21"/>
          <w:lang w:val="en-US" w:eastAsia="zh-CN" w:bidi="ar-SA"/>
        </w:rPr>
        <w:t>任一个月</w:t>
      </w:r>
      <w:r>
        <w:rPr>
          <w:rFonts w:hint="eastAsia" w:ascii="宋体" w:hAnsi="宋体" w:eastAsia="宋体" w:cs="宋体"/>
          <w:color w:val="auto"/>
          <w:kern w:val="2"/>
          <w:sz w:val="21"/>
          <w:szCs w:val="21"/>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、不接受联合体投标。</w:t>
      </w:r>
    </w:p>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auto"/>
          <w:kern w:val="2"/>
          <w:sz w:val="21"/>
          <w:szCs w:val="21"/>
          <w:lang w:val="en-US" w:eastAsia="zh-CN" w:bidi="ar-SA"/>
        </w:rPr>
      </w:pPr>
      <w:bookmarkStart w:id="18" w:name="_Toc7823"/>
      <w:bookmarkStart w:id="19" w:name="_Toc23395"/>
      <w:bookmarkStart w:id="20" w:name="_Toc9562"/>
      <w:bookmarkStart w:id="21" w:name="_Toc30643"/>
      <w:bookmarkStart w:id="22" w:name="_Toc30971"/>
      <w:r>
        <w:rPr>
          <w:rFonts w:hint="eastAsia" w:ascii="宋体" w:hAnsi="宋体" w:eastAsia="宋体" w:cs="宋体"/>
          <w:b/>
          <w:bCs/>
          <w:color w:val="auto"/>
          <w:kern w:val="2"/>
          <w:sz w:val="21"/>
          <w:szCs w:val="21"/>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auto"/>
          <w:sz w:val="21"/>
          <w:szCs w:val="21"/>
          <w:shd w:val="clear" w:color="auto" w:fill="FFFFFF"/>
        </w:rPr>
        <w:t>1</w:t>
      </w:r>
      <w:r>
        <w:rPr>
          <w:rFonts w:hint="eastAsia" w:ascii="宋体" w:hAnsi="宋体" w:cs="宋体"/>
          <w:color w:val="auto"/>
          <w:sz w:val="21"/>
          <w:szCs w:val="21"/>
          <w:shd w:val="clear" w:color="auto" w:fill="FFFFFF"/>
          <w:lang w:val="en-US" w:eastAsia="zh-CN"/>
        </w:rPr>
        <w:t>.</w:t>
      </w:r>
      <w:r>
        <w:rPr>
          <w:rFonts w:hint="eastAsia" w:ascii="宋体" w:hAnsi="宋体" w:eastAsia="宋体" w:cs="宋体"/>
          <w:color w:val="auto"/>
          <w:sz w:val="21"/>
          <w:szCs w:val="21"/>
          <w:shd w:val="clear" w:color="auto" w:fill="FFFFFF"/>
          <w:lang w:val="en-US" w:eastAsia="zh-CN"/>
        </w:rPr>
        <w:t>报</w:t>
      </w:r>
      <w:r>
        <w:rPr>
          <w:rFonts w:hint="eastAsia" w:ascii="宋体" w:hAnsi="宋体" w:eastAsia="宋体" w:cs="宋体"/>
          <w:color w:val="000000" w:themeColor="text1"/>
          <w:sz w:val="21"/>
          <w:szCs w:val="21"/>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1"/>
          <w:szCs w:val="21"/>
          <w:shd w:val="clear" w:color="auto" w:fill="FFFFFF"/>
          <w14:textFill>
            <w14:solidFill>
              <w14:schemeClr w14:val="tx1"/>
            </w14:solidFill>
          </w14:textFill>
        </w:rPr>
        <w:t>时间：</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3</w:t>
      </w:r>
      <w:r>
        <w:rPr>
          <w:rFonts w:hint="eastAsia" w:ascii="宋体" w:hAnsi="宋体" w:eastAsia="宋体" w:cs="宋体"/>
          <w:color w:val="FF0000"/>
          <w:sz w:val="21"/>
          <w:szCs w:val="21"/>
          <w:highlight w:val="none"/>
          <w:shd w:val="clear" w:color="auto" w:fill="FFFFFF"/>
        </w:rPr>
        <w:t>年</w:t>
      </w:r>
      <w:r>
        <w:rPr>
          <w:rFonts w:hint="eastAsia" w:ascii="宋体" w:hAnsi="宋体" w:eastAsia="宋体" w:cs="宋体"/>
          <w:color w:val="FF0000"/>
          <w:sz w:val="21"/>
          <w:szCs w:val="21"/>
          <w:highlight w:val="none"/>
          <w:shd w:val="clear" w:color="auto" w:fill="FFFFFF"/>
          <w:lang w:val="en-US" w:eastAsia="zh-CN"/>
        </w:rPr>
        <w:t>07</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18</w:t>
      </w:r>
      <w:r>
        <w:rPr>
          <w:rFonts w:hint="eastAsia" w:ascii="宋体" w:hAnsi="宋体" w:eastAsia="宋体" w:cs="宋体"/>
          <w:color w:val="FF0000"/>
          <w:sz w:val="21"/>
          <w:szCs w:val="21"/>
          <w:highlight w:val="none"/>
          <w:shd w:val="clear" w:color="auto" w:fill="FFFFFF"/>
          <w:lang w:val="en-US" w:eastAsia="zh-CN"/>
        </w:rPr>
        <w:t xml:space="preserve"> </w:t>
      </w:r>
      <w:r>
        <w:rPr>
          <w:rFonts w:hint="eastAsia" w:ascii="宋体" w:hAnsi="宋体" w:eastAsia="宋体" w:cs="宋体"/>
          <w:color w:val="FF0000"/>
          <w:sz w:val="21"/>
          <w:szCs w:val="21"/>
          <w:highlight w:val="none"/>
          <w:shd w:val="clear" w:color="auto" w:fill="FFFFFF"/>
        </w:rPr>
        <w:t>日-202</w:t>
      </w:r>
      <w:r>
        <w:rPr>
          <w:rFonts w:hint="eastAsia" w:ascii="宋体" w:hAnsi="宋体" w:eastAsia="宋体" w:cs="宋体"/>
          <w:color w:val="FF0000"/>
          <w:sz w:val="21"/>
          <w:szCs w:val="21"/>
          <w:highlight w:val="none"/>
          <w:shd w:val="clear" w:color="auto" w:fill="FFFFFF"/>
          <w:lang w:val="en-US" w:eastAsia="zh-CN"/>
        </w:rPr>
        <w:t>3</w:t>
      </w:r>
      <w:r>
        <w:rPr>
          <w:rFonts w:hint="eastAsia" w:ascii="宋体" w:hAnsi="宋体" w:eastAsia="宋体" w:cs="宋体"/>
          <w:color w:val="FF0000"/>
          <w:sz w:val="21"/>
          <w:szCs w:val="21"/>
          <w:highlight w:val="none"/>
          <w:shd w:val="clear" w:color="auto" w:fill="FFFFFF"/>
        </w:rPr>
        <w:t>年</w:t>
      </w:r>
      <w:r>
        <w:rPr>
          <w:rFonts w:hint="eastAsia" w:ascii="宋体" w:hAnsi="宋体" w:eastAsia="宋体" w:cs="宋体"/>
          <w:color w:val="FF0000"/>
          <w:sz w:val="21"/>
          <w:szCs w:val="21"/>
          <w:highlight w:val="none"/>
          <w:shd w:val="clear" w:color="auto" w:fill="FFFFFF"/>
          <w:lang w:val="en-US" w:eastAsia="zh-CN"/>
        </w:rPr>
        <w:t>07</w:t>
      </w:r>
      <w:r>
        <w:rPr>
          <w:rFonts w:hint="eastAsia" w:ascii="宋体" w:hAnsi="宋体" w:eastAsia="宋体" w:cs="宋体"/>
          <w:color w:val="FF0000"/>
          <w:sz w:val="21"/>
          <w:szCs w:val="21"/>
          <w:highlight w:val="none"/>
          <w:shd w:val="clear" w:color="auto" w:fill="FFFFFF"/>
        </w:rPr>
        <w:t>月</w:t>
      </w:r>
      <w:r>
        <w:rPr>
          <w:rFonts w:hint="eastAsia" w:ascii="宋体" w:hAnsi="宋体" w:eastAsia="宋体" w:cs="宋体"/>
          <w:color w:val="FF0000"/>
          <w:sz w:val="21"/>
          <w:szCs w:val="21"/>
          <w:highlight w:val="none"/>
          <w:shd w:val="clear" w:color="auto" w:fill="FFFFFF"/>
          <w:lang w:val="en-US" w:eastAsia="zh-CN"/>
        </w:rPr>
        <w:t xml:space="preserve"> </w:t>
      </w:r>
      <w:r>
        <w:rPr>
          <w:rFonts w:hint="eastAsia" w:ascii="宋体" w:hAnsi="宋体" w:cs="宋体"/>
          <w:color w:val="FF0000"/>
          <w:sz w:val="21"/>
          <w:szCs w:val="21"/>
          <w:highlight w:val="none"/>
          <w:shd w:val="clear" w:color="auto" w:fill="FFFFFF"/>
          <w:lang w:val="en-US" w:eastAsia="zh-CN"/>
        </w:rPr>
        <w:t>20</w:t>
      </w:r>
      <w:r>
        <w:rPr>
          <w:rFonts w:hint="eastAsia" w:ascii="宋体" w:hAnsi="宋体" w:eastAsia="宋体" w:cs="宋体"/>
          <w:color w:val="FF0000"/>
          <w:sz w:val="21"/>
          <w:szCs w:val="21"/>
          <w:highlight w:val="none"/>
          <w:shd w:val="clear" w:color="auto" w:fill="FFFFFF"/>
        </w:rPr>
        <w:t>日，上</w:t>
      </w:r>
      <w:r>
        <w:rPr>
          <w:rFonts w:hint="eastAsia" w:ascii="宋体" w:hAnsi="宋体" w:eastAsia="宋体" w:cs="宋体"/>
          <w:color w:val="FF0000"/>
          <w:sz w:val="21"/>
          <w:szCs w:val="21"/>
          <w:shd w:val="clear" w:color="auto" w:fill="FFFFFF"/>
        </w:rPr>
        <w:t>午8：30-11:30，下午14:30-17:30</w:t>
      </w:r>
      <w:r>
        <w:rPr>
          <w:rFonts w:hint="eastAsia" w:ascii="宋体" w:hAnsi="宋体" w:eastAsia="宋体" w:cs="宋体"/>
          <w:color w:val="000000" w:themeColor="text1"/>
          <w:sz w:val="21"/>
          <w:szCs w:val="21"/>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shd w:val="clear" w:color="auto" w:fill="FFFFFF"/>
          <w:lang w:val="en-US" w:eastAsia="zh-CN"/>
          <w14:textFill>
            <w14:solidFill>
              <w14:schemeClr w14:val="tx1"/>
            </w14:solidFill>
          </w14:textFill>
        </w:rPr>
        <w:t>报名费用：</w:t>
      </w:r>
      <w:r>
        <w:rPr>
          <w:rFonts w:hint="eastAsia" w:ascii="宋体" w:hAnsi="宋体" w:cs="宋体"/>
          <w:color w:val="000000" w:themeColor="text1"/>
          <w:sz w:val="2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000000" w:themeColor="text1"/>
          <w:kern w:val="0"/>
          <w:sz w:val="21"/>
          <w:szCs w:val="21"/>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60" w:lineRule="auto"/>
        <w:ind w:left="420" w:left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23" w:name="_Toc15111"/>
      <w:bookmarkStart w:id="24" w:name="_Toc27480"/>
      <w:bookmarkStart w:id="25" w:name="_Toc15135"/>
      <w:bookmarkStart w:id="26" w:name="_Toc25869"/>
      <w:bookmarkStart w:id="27" w:name="_Toc10738"/>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28" w:name="_Toc6523"/>
      <w:bookmarkStart w:id="29" w:name="_Toc30918"/>
      <w:bookmarkStart w:id="30" w:name="_Toc20287"/>
      <w:bookmarkStart w:id="31" w:name="_Toc2978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32" w:name="_Toc27370"/>
      <w:bookmarkStart w:id="33" w:name="_Toc16291"/>
      <w:bookmarkStart w:id="34" w:name="_Toc3604"/>
      <w:bookmarkStart w:id="35" w:name="_Toc31928"/>
      <w:bookmarkStart w:id="36" w:name="_Toc24274"/>
      <w:r>
        <w:rPr>
          <w:rFonts w:hint="eastAsia" w:ascii="宋体" w:hAnsi="宋体" w:cs="宋体"/>
          <w:b/>
          <w:bCs/>
          <w:color w:val="000000" w:themeColor="text1"/>
          <w:kern w:val="2"/>
          <w:sz w:val="21"/>
          <w:szCs w:val="21"/>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驻马店市中心医院采购科</w:t>
      </w:r>
    </w:p>
    <w:p>
      <w:pPr>
        <w:jc w:val="right"/>
        <w:rPr>
          <w:rFonts w:hint="eastAsia"/>
          <w:sz w:val="21"/>
          <w:szCs w:val="21"/>
        </w:rPr>
      </w:pPr>
      <w:r>
        <w:rPr>
          <w:rFonts w:hint="eastAsia" w:ascii="宋体" w:hAnsi="宋体" w:eastAsia="宋体" w:cs="宋体"/>
          <w:color w:val="FF0000"/>
          <w:kern w:val="0"/>
          <w:sz w:val="21"/>
          <w:szCs w:val="21"/>
          <w:shd w:val="clear" w:color="auto" w:fill="FFFFFF"/>
          <w:lang w:val="en-US" w:eastAsia="zh-CN" w:bidi="ar-SA"/>
        </w:rPr>
        <w:t>2023年</w:t>
      </w:r>
      <w:r>
        <w:rPr>
          <w:rFonts w:hint="eastAsia" w:ascii="宋体" w:hAnsi="宋体" w:eastAsia="宋体" w:cs="宋体"/>
          <w:color w:val="FF0000"/>
          <w:kern w:val="0"/>
          <w:sz w:val="21"/>
          <w:szCs w:val="21"/>
          <w:highlight w:val="none"/>
          <w:shd w:val="clear" w:color="auto" w:fill="FFFFFF"/>
          <w:lang w:val="en-US" w:eastAsia="zh-CN" w:bidi="ar-SA"/>
        </w:rPr>
        <w:t>07月</w:t>
      </w:r>
      <w:r>
        <w:rPr>
          <w:rFonts w:hint="eastAsia" w:ascii="宋体" w:hAnsi="宋体" w:cs="宋体"/>
          <w:color w:val="FF0000"/>
          <w:kern w:val="0"/>
          <w:sz w:val="21"/>
          <w:szCs w:val="21"/>
          <w:highlight w:val="none"/>
          <w:shd w:val="clear" w:color="auto" w:fill="FFFFFF"/>
          <w:lang w:val="en-US" w:eastAsia="zh-CN" w:bidi="ar-SA"/>
        </w:rPr>
        <w:t>17</w:t>
      </w:r>
      <w:bookmarkStart w:id="91" w:name="_GoBack"/>
      <w:bookmarkEnd w:id="91"/>
      <w:r>
        <w:rPr>
          <w:rFonts w:hint="eastAsia" w:ascii="宋体" w:hAnsi="宋体" w:eastAsia="宋体" w:cs="宋体"/>
          <w:color w:val="FF0000"/>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b w:val="0"/>
          <w:bCs w:val="0"/>
          <w:color w:val="auto"/>
          <w:kern w:val="0"/>
          <w:sz w:val="21"/>
          <w:szCs w:val="21"/>
          <w:highlight w:val="none"/>
          <w:u w:val="single"/>
          <w:shd w:val="clear" w:color="auto" w:fill="FFFFFF"/>
          <w:lang w:val="en-US" w:eastAsia="zh-CN" w:bidi="ar-SA"/>
        </w:rPr>
        <w:t>卫校宿舍楼和规培基地南宿舍楼用电管理改造</w:t>
      </w:r>
      <w:r>
        <w:rPr>
          <w:rFonts w:hint="eastAsia" w:ascii="宋体" w:hAnsi="宋体" w:cs="宋体"/>
          <w:b w:val="0"/>
          <w:bCs w:val="0"/>
          <w:color w:val="auto"/>
          <w:kern w:val="0"/>
          <w:sz w:val="21"/>
          <w:szCs w:val="21"/>
          <w:highlight w:val="none"/>
          <w:u w:val="single"/>
          <w:shd w:val="clear" w:color="auto" w:fill="FFFFFF"/>
          <w:lang w:val="en-US" w:eastAsia="zh-CN" w:bidi="ar-SA"/>
        </w:rPr>
        <w:t>。</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6"/>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ascii="宋体" w:hAnsi="宋体" w:eastAsia="宋体" w:cs="宋体"/>
          <w:b w:val="0"/>
          <w:bCs w:val="0"/>
          <w:kern w:val="2"/>
          <w:sz w:val="21"/>
          <w:szCs w:val="21"/>
          <w:u w:val="single"/>
          <w:lang w:val="en-US" w:eastAsia="zh-CN" w:bidi="ar-SA"/>
        </w:rPr>
        <w:t xml:space="preserve">按照医院工作安排，为加强对原卫校宿舍楼以及北区规培基地南楼宿舍楼的用电管理，实现安全用电监控（大功率电器、短路等）以及实现用电计量和充值等功能，现需对部分供电设备进行改造。 </w:t>
      </w:r>
      <w:r>
        <w:rPr>
          <w:rFonts w:hint="eastAsia" w:ascii="宋体" w:hAnsi="宋体" w:eastAsia="宋体" w:cs="宋体"/>
          <w:kern w:val="2"/>
          <w:sz w:val="21"/>
          <w:szCs w:val="21"/>
          <w:lang w:val="en-US" w:eastAsia="zh-CN" w:bidi="ar-SA"/>
        </w:rPr>
        <w:t xml:space="preserve">                      </w:t>
      </w:r>
    </w:p>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技术要求、参数及产品资料等：</w:t>
      </w:r>
    </w:p>
    <w:bookmarkEnd w:id="6"/>
    <w:bookmarkEnd w:id="7"/>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p>
      <w:pPr>
        <w:pStyle w:val="23"/>
        <w:numPr>
          <w:ilvl w:val="0"/>
          <w:numId w:val="0"/>
        </w:numPr>
        <w:ind w:leftChars="0"/>
        <w:rPr>
          <w:rFonts w:hint="eastAsia"/>
          <w:b/>
          <w:bCs/>
          <w:sz w:val="24"/>
          <w:szCs w:val="24"/>
          <w:lang w:val="en-US" w:eastAsia="zh-CN"/>
        </w:rPr>
      </w:pPr>
      <w:r>
        <w:rPr>
          <w:rFonts w:hint="eastAsia"/>
          <w:b/>
          <w:bCs/>
          <w:sz w:val="24"/>
          <w:szCs w:val="24"/>
          <w:lang w:val="en-US" w:eastAsia="zh-CN"/>
        </w:rPr>
        <w:t>（一）采购清单</w:t>
      </w:r>
    </w:p>
    <w:tbl>
      <w:tblPr>
        <w:tblStyle w:val="33"/>
        <w:tblW w:w="9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
        <w:gridCol w:w="2410"/>
        <w:gridCol w:w="1103"/>
        <w:gridCol w:w="1215"/>
        <w:gridCol w:w="1275"/>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93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sz w:val="21"/>
                <w:szCs w:val="21"/>
                <w:u w:val="none"/>
                <w:lang w:val="en-US" w:eastAsia="zh-CN"/>
              </w:rPr>
              <w:t>一、卫校宿舍楼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型号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2P带漏保智慧微断</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63A，含运行软件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25W电源模组</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含防雷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通讯模组</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4G通讯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一体式断路器250A</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剩余电流保护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一体式断路器630A</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剩余电流保护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塑壳专用通讯模块</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3P带漏保智慧微断</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380V，63A 含运行软件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4P智慧微断</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380V，63A 含运行软件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塑壳转换模块</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物联网卡/5年</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3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二、规培基地南宿舍楼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型号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25W电源模组</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含防雷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4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通讯模组</w:t>
            </w:r>
          </w:p>
        </w:tc>
        <w:tc>
          <w:tcPr>
            <w:tcW w:w="110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4G通讯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一体式断路器125A</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剩余电流保护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2P带漏保智慧微断</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63A，含运行软件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一体式断路器250A</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剩余电流保护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塑壳专用通讯模块</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一体式断路器400A</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剩余电流保护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2P 智慧微断</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32A，含运行软件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2P智慧微断</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63A，含运行软件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物联网卡/5年</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电箱</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3"/>
        <w:numPr>
          <w:ilvl w:val="0"/>
          <w:numId w:val="0"/>
        </w:numPr>
        <w:ind w:leftChars="0"/>
        <w:rPr>
          <w:rFonts w:hint="default"/>
          <w:sz w:val="21"/>
          <w:szCs w:val="21"/>
          <w:lang w:val="en-US" w:eastAsia="zh-CN"/>
        </w:rPr>
      </w:pPr>
      <w:r>
        <w:rPr>
          <w:rFonts w:hint="eastAsia"/>
          <w:sz w:val="21"/>
          <w:szCs w:val="21"/>
          <w:lang w:val="en-US" w:eastAsia="zh-CN"/>
        </w:rPr>
        <w:t>备注：投标人终身免费提供智慧用电监管平台使用权。</w:t>
      </w:r>
    </w:p>
    <w:p>
      <w:pPr>
        <w:pStyle w:val="23"/>
        <w:numPr>
          <w:ilvl w:val="0"/>
          <w:numId w:val="0"/>
        </w:numPr>
        <w:ind w:leftChars="0"/>
        <w:rPr>
          <w:rFonts w:hint="default"/>
          <w:b/>
          <w:bCs/>
          <w:sz w:val="24"/>
          <w:szCs w:val="24"/>
          <w:lang w:val="en-US" w:eastAsia="zh-CN"/>
        </w:rPr>
      </w:pPr>
      <w:r>
        <w:rPr>
          <w:rFonts w:hint="eastAsia"/>
          <w:b/>
          <w:bCs/>
          <w:sz w:val="24"/>
          <w:szCs w:val="24"/>
          <w:lang w:val="en-US" w:eastAsia="zh-CN"/>
        </w:rPr>
        <w:t>（二）技术参数</w:t>
      </w:r>
    </w:p>
    <w:tbl>
      <w:tblPr>
        <w:tblStyle w:val="33"/>
        <w:tblW w:w="9409"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170"/>
        <w:gridCol w:w="7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7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2P智慧微断</w:t>
            </w:r>
          </w:p>
        </w:tc>
        <w:tc>
          <w:tcPr>
            <w:tcW w:w="7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lang w:val="en-US" w:eastAsia="zh-CN" w:bidi="ar"/>
              </w:rPr>
              <w:t>1）</w:t>
            </w:r>
            <w:r>
              <w:rPr>
                <w:rStyle w:val="92"/>
                <w:rFonts w:hint="eastAsia" w:ascii="宋体" w:hAnsi="宋体" w:eastAsia="宋体" w:cs="宋体"/>
                <w:sz w:val="21"/>
                <w:szCs w:val="21"/>
                <w:lang w:val="en-US" w:eastAsia="zh-CN" w:bidi="ar"/>
              </w:rPr>
              <w:t>输入电压：AC220V,</w:t>
            </w:r>
            <w:r>
              <w:rPr>
                <w:rFonts w:hint="eastAsia" w:ascii="宋体" w:hAnsi="宋体" w:eastAsia="宋体" w:cs="宋体"/>
                <w:b w:val="0"/>
                <w:bCs w:val="0"/>
                <w:i w:val="0"/>
                <w:iCs w:val="0"/>
                <w:color w:val="000000"/>
                <w:kern w:val="0"/>
                <w:sz w:val="21"/>
                <w:szCs w:val="21"/>
                <w:u w:val="none"/>
                <w:lang w:val="en-US" w:eastAsia="zh-CN" w:bidi="ar"/>
              </w:rPr>
              <w:t>额定电流：6A-125A；</w:t>
            </w:r>
            <w:r>
              <w:rPr>
                <w:rFonts w:hint="eastAsia" w:ascii="宋体" w:hAnsi="宋体" w:eastAsia="宋体" w:cs="宋体"/>
                <w:b/>
                <w:bCs/>
                <w:i w:val="0"/>
                <w:iCs w:val="0"/>
                <w:color w:val="000000"/>
                <w:kern w:val="0"/>
                <w:sz w:val="21"/>
                <w:szCs w:val="21"/>
                <w:u w:val="none"/>
                <w:lang w:val="en-US" w:eastAsia="zh-CN" w:bidi="ar"/>
              </w:rPr>
              <w:t>（须提供符合GB10963.1-2020或者GB/T 16917.1-2014且带有“CNAS”标志的型式检测报告）</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2）检测对象：2P回路；</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3）分断能力：≥10KA；</w:t>
            </w:r>
            <w:r>
              <w:rPr>
                <w:rFonts w:hint="eastAsia" w:ascii="宋体" w:hAnsi="宋体" w:eastAsia="宋体" w:cs="宋体"/>
                <w:b/>
                <w:bCs/>
                <w:i w:val="0"/>
                <w:iCs w:val="0"/>
                <w:color w:val="000000"/>
                <w:kern w:val="0"/>
                <w:sz w:val="21"/>
                <w:szCs w:val="21"/>
                <w:highlight w:val="none"/>
                <w:u w:val="none"/>
                <w:lang w:val="en-US" w:eastAsia="zh-CN" w:bidi="ar"/>
              </w:rPr>
              <w:t>（须提供符合GB/T 10963.1-2005</w:t>
            </w:r>
            <w:r>
              <w:rPr>
                <w:rFonts w:hint="eastAsia" w:ascii="宋体" w:hAnsi="宋体" w:eastAsia="宋体" w:cs="宋体"/>
                <w:b/>
                <w:bCs/>
                <w:i w:val="0"/>
                <w:iCs w:val="0"/>
                <w:color w:val="000000"/>
                <w:kern w:val="0"/>
                <w:sz w:val="21"/>
                <w:szCs w:val="21"/>
                <w:u w:val="none"/>
                <w:lang w:val="en-US" w:eastAsia="zh-CN" w:bidi="ar"/>
              </w:rPr>
              <w:t xml:space="preserve">或者GB/T 16917.1-2014且带有“CNAS”标志的型式检测报告）                                                      </w:t>
            </w:r>
            <w:r>
              <w:rPr>
                <w:rStyle w:val="92"/>
                <w:rFonts w:hint="eastAsia" w:ascii="宋体" w:hAnsi="宋体" w:eastAsia="宋体" w:cs="宋体"/>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4)控制信号：支持WIFI控制、RS485控制、4G控制、网口控制等通讯协议；</w:t>
            </w:r>
            <w:r>
              <w:rPr>
                <w:rFonts w:hint="eastAsia" w:ascii="宋体" w:hAnsi="宋体" w:eastAsia="宋体" w:cs="宋体"/>
                <w:b/>
                <w:bCs/>
                <w:i w:val="0"/>
                <w:iCs w:val="0"/>
                <w:color w:val="000000"/>
                <w:kern w:val="0"/>
                <w:sz w:val="21"/>
                <w:szCs w:val="21"/>
                <w:u w:val="none"/>
                <w:lang w:val="en-US" w:eastAsia="zh-CN" w:bidi="ar"/>
              </w:rPr>
              <w:t>（须提供国家权威检测机构出具的带有“CQC”标志认证的试验报告）</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5）断路器需支持远程控制分闸或合闸功能：当本地锁定功能不启动时，支持在手机APP和PC客户端，可以远程控制分闸或合闸。</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6）支持手动分闸或合闸功能，一键分闸或合闸功能，可在手机和PC端显示状态信息。</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7）本地锁定功能：当手动分闸后，本地锁定功能启动，此时，断路器不能远程合闸。</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8）外壳防火等级：外壳采用防火阻燃材料、防火等级至少达到V0级；</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9）具有远程/本地断路器锁定功能：断路器无论是远程还是本地进入断路器锁定状态；本地及远程均无法合闸；</w:t>
            </w:r>
            <w:r>
              <w:rPr>
                <w:rFonts w:hint="eastAsia" w:ascii="宋体" w:hAnsi="宋体" w:eastAsia="宋体" w:cs="宋体"/>
                <w:b/>
                <w:bCs/>
                <w:i w:val="0"/>
                <w:iCs w:val="0"/>
                <w:color w:val="000000"/>
                <w:kern w:val="0"/>
                <w:sz w:val="21"/>
                <w:szCs w:val="21"/>
                <w:u w:val="none"/>
                <w:lang w:val="en-US" w:eastAsia="zh-CN" w:bidi="ar"/>
              </w:rPr>
              <w:t>（须提供带有“CNAS”标识的第三方检测机构出具的功能检测报告）</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10）电气寿命：合闸瞬时电流300A以上的带载环境下，断路器自动分合闸次数不得低于6000次。</w:t>
            </w:r>
            <w:r>
              <w:rPr>
                <w:rFonts w:hint="eastAsia" w:ascii="宋体" w:hAnsi="宋体" w:eastAsia="宋体" w:cs="宋体"/>
                <w:b/>
                <w:bCs/>
                <w:i w:val="0"/>
                <w:iCs w:val="0"/>
                <w:color w:val="000000"/>
                <w:kern w:val="0"/>
                <w:sz w:val="21"/>
                <w:szCs w:val="21"/>
                <w:u w:val="none"/>
                <w:lang w:val="en-US" w:eastAsia="zh-CN" w:bidi="ar"/>
              </w:rPr>
              <w:t xml:space="preserve">（需提供“CNAS”标志的第三方权威检测机构出具的检测报告）。                                                                          </w:t>
            </w:r>
            <w:r>
              <w:rPr>
                <w:rStyle w:val="92"/>
                <w:rFonts w:hint="eastAsia" w:ascii="宋体" w:hAnsi="宋体" w:eastAsia="宋体" w:cs="宋体"/>
                <w:sz w:val="21"/>
                <w:szCs w:val="21"/>
                <w:lang w:val="en-US" w:eastAsia="zh-CN" w:bidi="ar"/>
              </w:rPr>
              <w:t xml:space="preserve"> 11）内置计量芯片，电压及电流计量误差不超过1%。</w:t>
            </w:r>
            <w:r>
              <w:rPr>
                <w:rStyle w:val="92"/>
                <w:rFonts w:hint="eastAsia" w:ascii="宋体" w:hAnsi="宋体" w:eastAsia="宋体" w:cs="宋体"/>
                <w:b/>
                <w:bCs/>
                <w:sz w:val="21"/>
                <w:szCs w:val="21"/>
                <w:lang w:val="en-US" w:eastAsia="zh-CN" w:bidi="ar"/>
              </w:rPr>
              <w:t>（须提供地市级以上计量检测机构的校准报告）</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12）具备可靠性：整机高温运行环境最高</w:t>
            </w:r>
            <w:r>
              <w:rPr>
                <w:rFonts w:hint="default" w:ascii="Arial" w:hAnsi="Arial" w:eastAsia="宋体" w:cs="Arial"/>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60摄氏度，整机低温运行环境最低</w:t>
            </w:r>
            <w:r>
              <w:rPr>
                <w:rFonts w:hint="default" w:ascii="Arial" w:hAnsi="Arial" w:eastAsia="宋体" w:cs="Arial"/>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零下20摄氏度；静电放电抗扰度：空气放电不小于6KV,接触放电不小于8KV。</w:t>
            </w:r>
            <w:r>
              <w:rPr>
                <w:rFonts w:hint="eastAsia" w:ascii="宋体" w:hAnsi="宋体" w:eastAsia="宋体" w:cs="宋体"/>
                <w:b/>
                <w:bCs/>
                <w:i w:val="0"/>
                <w:iCs w:val="0"/>
                <w:color w:val="000000"/>
                <w:kern w:val="0"/>
                <w:sz w:val="21"/>
                <w:szCs w:val="21"/>
                <w:u w:val="none"/>
                <w:lang w:val="en-US" w:eastAsia="zh-CN" w:bidi="ar"/>
              </w:rPr>
              <w:t>(需提供带有“CNAS”标志及”CMA”标志的第三方权威检测机构出具的智慧空开检测报告）</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13)过温报警：端子温度超过过温报警值，10S内要触发过温报警；断路器设备应支持同时监测零线及火线的负载端温度，采集精度误差不超过1%。</w:t>
            </w:r>
            <w:r>
              <w:rPr>
                <w:rFonts w:hint="eastAsia" w:ascii="宋体" w:hAnsi="宋体" w:eastAsia="宋体" w:cs="宋体"/>
                <w:b/>
                <w:bCs/>
                <w:i w:val="0"/>
                <w:iCs w:val="0"/>
                <w:color w:val="000000"/>
                <w:kern w:val="0"/>
                <w:sz w:val="21"/>
                <w:szCs w:val="21"/>
                <w:u w:val="none"/>
                <w:lang w:val="en-US" w:eastAsia="zh-CN" w:bidi="ar"/>
              </w:rPr>
              <w:t xml:space="preserve">（须提供带有“CNAS”标识的第三方检测机构出具的功能检测报告）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14）检修模式：设备在手动分闸后，无需“加锁”设置，设备无法通过远程控制进行合闸操作；</w:t>
            </w:r>
            <w:r>
              <w:rPr>
                <w:rFonts w:hint="eastAsia" w:ascii="宋体" w:hAnsi="宋体" w:eastAsia="宋体" w:cs="宋体"/>
                <w:b/>
                <w:bCs/>
                <w:i w:val="0"/>
                <w:iCs w:val="0"/>
                <w:color w:val="000000"/>
                <w:kern w:val="0"/>
                <w:sz w:val="21"/>
                <w:szCs w:val="21"/>
                <w:u w:val="none"/>
                <w:lang w:val="en-US" w:eastAsia="zh-CN" w:bidi="ar"/>
              </w:rPr>
              <w:t>（须提供带有“CNAS”标识的第三方检测机构出具的功能检测报告）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3P智慧微断</w:t>
            </w:r>
          </w:p>
        </w:tc>
        <w:tc>
          <w:tcPr>
            <w:tcW w:w="7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1）输入电压：AC380V，</w:t>
            </w:r>
            <w:r>
              <w:rPr>
                <w:rFonts w:hint="eastAsia" w:ascii="宋体" w:hAnsi="宋体" w:eastAsia="宋体" w:cs="宋体"/>
                <w:b w:val="0"/>
                <w:bCs w:val="0"/>
                <w:i w:val="0"/>
                <w:iCs w:val="0"/>
                <w:color w:val="000000"/>
                <w:kern w:val="0"/>
                <w:sz w:val="21"/>
                <w:szCs w:val="21"/>
                <w:u w:val="none"/>
                <w:lang w:val="en-US" w:eastAsia="zh-CN" w:bidi="ar"/>
              </w:rPr>
              <w:t>额定电流：6A--125A；</w:t>
            </w:r>
            <w:r>
              <w:rPr>
                <w:rFonts w:hint="eastAsia" w:ascii="宋体" w:hAnsi="宋体" w:eastAsia="宋体" w:cs="宋体"/>
                <w:b/>
                <w:bCs/>
                <w:i w:val="0"/>
                <w:iCs w:val="0"/>
                <w:color w:val="000000"/>
                <w:kern w:val="0"/>
                <w:sz w:val="21"/>
                <w:szCs w:val="21"/>
                <w:u w:val="none"/>
                <w:lang w:val="en-US" w:eastAsia="zh-CN" w:bidi="ar"/>
              </w:rPr>
              <w:t>（须提供符合GB10963.1-2020且带有“CNAS”标志的型式检测报告）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2）检测对象：3P回路；</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3）分断能力：≥10KA；</w:t>
            </w:r>
            <w:r>
              <w:rPr>
                <w:rFonts w:hint="eastAsia" w:ascii="宋体" w:hAnsi="宋体" w:eastAsia="宋体" w:cs="宋体"/>
                <w:b/>
                <w:bCs/>
                <w:i w:val="0"/>
                <w:iCs w:val="0"/>
                <w:color w:val="000000"/>
                <w:kern w:val="0"/>
                <w:sz w:val="21"/>
                <w:szCs w:val="21"/>
                <w:u w:val="none"/>
                <w:lang w:val="en-US" w:eastAsia="zh-CN" w:bidi="ar"/>
              </w:rPr>
              <w:t xml:space="preserve">（须提供符合GB/T 10963.1-2020且带有“CNAS”标志的型式检测报告）                                                       </w:t>
            </w:r>
            <w:r>
              <w:rPr>
                <w:rStyle w:val="92"/>
                <w:rFonts w:hint="eastAsia" w:ascii="宋体" w:hAnsi="宋体" w:eastAsia="宋体" w:cs="宋体"/>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4)控制信号：支持WIFI控制、RS485控制、4G控制、网口控制等通讯协议；</w:t>
            </w:r>
            <w:r>
              <w:rPr>
                <w:rFonts w:hint="eastAsia" w:ascii="宋体" w:hAnsi="宋体" w:eastAsia="宋体" w:cs="宋体"/>
                <w:b/>
                <w:bCs/>
                <w:i w:val="0"/>
                <w:iCs w:val="0"/>
                <w:color w:val="000000"/>
                <w:kern w:val="0"/>
                <w:sz w:val="21"/>
                <w:szCs w:val="21"/>
                <w:u w:val="none"/>
                <w:lang w:val="en-US" w:eastAsia="zh-CN" w:bidi="ar"/>
              </w:rPr>
              <w:t>（须提供国家权威检测机构出具的带有“CQC”标志认证的试验报告）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5）断路器需支持远程控制分闸或合闸功能：当本地锁定功能不启动时，支持在手机APP和PC客户端，可以远程控制分闸或合闸。</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6）检修模式：设备在手动分闸后，无需“加锁”设置，设备无法通过远程控制进行合闸操作；</w:t>
            </w:r>
            <w:r>
              <w:rPr>
                <w:rFonts w:hint="eastAsia" w:ascii="宋体" w:hAnsi="宋体" w:eastAsia="宋体" w:cs="宋体"/>
                <w:b/>
                <w:bCs/>
                <w:i w:val="0"/>
                <w:iCs w:val="0"/>
                <w:color w:val="000000"/>
                <w:kern w:val="0"/>
                <w:sz w:val="21"/>
                <w:szCs w:val="21"/>
                <w:u w:val="none"/>
                <w:lang w:val="en-US" w:eastAsia="zh-CN" w:bidi="ar"/>
              </w:rPr>
              <w:t>（须提供带有“CNAS”标识的第三方检测机构出具的功能检测报告）</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7）具有远程/本地断路器锁定功能：断路器无论是远程还是本地进入断路器锁定状态；本地及远程均无法合闸；</w:t>
            </w:r>
            <w:r>
              <w:rPr>
                <w:rFonts w:hint="eastAsia" w:ascii="宋体" w:hAnsi="宋体" w:eastAsia="宋体" w:cs="宋体"/>
                <w:b/>
                <w:bCs/>
                <w:i w:val="0"/>
                <w:iCs w:val="0"/>
                <w:color w:val="000000"/>
                <w:kern w:val="0"/>
                <w:sz w:val="21"/>
                <w:szCs w:val="21"/>
                <w:u w:val="none"/>
                <w:lang w:val="en-US" w:eastAsia="zh-CN" w:bidi="ar"/>
              </w:rPr>
              <w:t>（须提供带有“CNAS”标识的第三方检测机构出具的功能检测报告）</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2"/>
                <w:rFonts w:hint="eastAsia" w:ascii="宋体" w:hAnsi="宋体" w:eastAsia="宋体" w:cs="宋体"/>
                <w:sz w:val="21"/>
                <w:szCs w:val="21"/>
                <w:lang w:val="en-US" w:eastAsia="zh-CN" w:bidi="ar"/>
              </w:rPr>
              <w:t>8）外壳防火等级：外壳采用防火阻燃材料、防火等级至少达到V0级。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4P智慧微断</w:t>
            </w:r>
          </w:p>
        </w:tc>
        <w:tc>
          <w:tcPr>
            <w:tcW w:w="7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1）输入电压：AC380V</w:t>
            </w:r>
            <w:r>
              <w:rPr>
                <w:rStyle w:val="92"/>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额定电流：6A-125A；</w:t>
            </w:r>
            <w:r>
              <w:rPr>
                <w:rFonts w:hint="eastAsia" w:ascii="宋体" w:hAnsi="宋体" w:eastAsia="宋体" w:cs="宋体"/>
                <w:b/>
                <w:bCs/>
                <w:i w:val="0"/>
                <w:iCs w:val="0"/>
                <w:color w:val="000000"/>
                <w:kern w:val="0"/>
                <w:sz w:val="21"/>
                <w:szCs w:val="21"/>
                <w:u w:val="none"/>
                <w:lang w:val="en-US" w:eastAsia="zh-CN" w:bidi="ar"/>
              </w:rPr>
              <w:t>（须提供符合GB10963.1-2020或者GB/T 16917.1-2014且带有“CNAS”标志的型式检测报告）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2）检测对象：4P回路；</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3）分断能力：≥10KA；</w:t>
            </w:r>
            <w:r>
              <w:rPr>
                <w:rFonts w:hint="eastAsia" w:ascii="宋体" w:hAnsi="宋体" w:eastAsia="宋体" w:cs="宋体"/>
                <w:b/>
                <w:bCs/>
                <w:i w:val="0"/>
                <w:iCs w:val="0"/>
                <w:color w:val="000000"/>
                <w:kern w:val="0"/>
                <w:sz w:val="21"/>
                <w:szCs w:val="21"/>
                <w:u w:val="none"/>
                <w:lang w:val="en-US" w:eastAsia="zh-CN" w:bidi="ar"/>
              </w:rPr>
              <w:t>（须提供符合GB10963.1-2005或者GB/T 16917.1-2014且带有“CNAS”标志的型式检测报告）</w:t>
            </w:r>
            <w:r>
              <w:rPr>
                <w:rStyle w:val="92"/>
                <w:rFonts w:hint="eastAsia" w:ascii="宋体" w:hAnsi="宋体" w:eastAsia="宋体" w:cs="宋体"/>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4）控制信号：支持WIFI控制、RS485控制、4G控制、网口控制等通讯协议；</w:t>
            </w:r>
            <w:r>
              <w:rPr>
                <w:rFonts w:hint="eastAsia" w:ascii="宋体" w:hAnsi="宋体" w:eastAsia="宋体" w:cs="宋体"/>
                <w:b/>
                <w:bCs/>
                <w:i w:val="0"/>
                <w:iCs w:val="0"/>
                <w:color w:val="000000"/>
                <w:kern w:val="0"/>
                <w:sz w:val="21"/>
                <w:szCs w:val="21"/>
                <w:u w:val="none"/>
                <w:lang w:val="en-US" w:eastAsia="zh-CN" w:bidi="ar"/>
              </w:rPr>
              <w:t>（须提供国家权威检测机构出具的带有“CQC”标志认证的试验报告）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5）断路器需支持远程控制分闸或合闸功能：当本地锁定功能不启动时，支持在手机APP和PC客户端，可以远程控制分闸或合闸。</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6）检修模式：设备在手动分闸后，无需“加锁”设置，设备无法通过远程控制进行合闸操作；</w:t>
            </w:r>
            <w:r>
              <w:rPr>
                <w:rFonts w:hint="eastAsia" w:ascii="宋体" w:hAnsi="宋体" w:eastAsia="宋体" w:cs="宋体"/>
                <w:b/>
                <w:bCs/>
                <w:i w:val="0"/>
                <w:iCs w:val="0"/>
                <w:color w:val="000000"/>
                <w:kern w:val="0"/>
                <w:sz w:val="21"/>
                <w:szCs w:val="21"/>
                <w:u w:val="none"/>
                <w:lang w:val="en-US" w:eastAsia="zh-CN" w:bidi="ar"/>
              </w:rPr>
              <w:t>（须提供带有“CNAS”标识的第三方检测机构出具的功能检测报告）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7）外壳防火等级：外壳采用防火阻燃材料、防火等级至少达到V0级。</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8）具有远程/本地断路器锁定功能：断路器无论是远程还是本地进入断路器锁定状态；本地及远程均无法合闸；</w:t>
            </w:r>
            <w:r>
              <w:rPr>
                <w:rFonts w:hint="eastAsia" w:ascii="宋体" w:hAnsi="宋体" w:eastAsia="宋体" w:cs="宋体"/>
                <w:b/>
                <w:bCs/>
                <w:i w:val="0"/>
                <w:iCs w:val="0"/>
                <w:color w:val="000000"/>
                <w:kern w:val="0"/>
                <w:sz w:val="21"/>
                <w:szCs w:val="21"/>
                <w:u w:val="none"/>
                <w:lang w:val="en-US" w:eastAsia="zh-CN" w:bidi="ar"/>
              </w:rPr>
              <w:t>（须提供带有“CNAS”标识的第三方检测机构出具的功能检测报告</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9）内置计量芯片，电压及电流计量误差不超过1%</w:t>
            </w:r>
            <w:r>
              <w:rPr>
                <w:rFonts w:hint="eastAsia" w:ascii="宋体" w:hAnsi="宋体" w:eastAsia="宋体" w:cs="宋体"/>
                <w:b/>
                <w:bCs/>
                <w:i w:val="0"/>
                <w:iCs w:val="0"/>
                <w:color w:val="000000"/>
                <w:kern w:val="0"/>
                <w:sz w:val="21"/>
                <w:szCs w:val="21"/>
                <w:u w:val="none"/>
                <w:lang w:val="en-US" w:eastAsia="zh-CN" w:bidi="ar"/>
              </w:rPr>
              <w:t>（须提供地市级以上计量检测机构的校准报告）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带漏电保护智慧微断</w:t>
            </w:r>
          </w:p>
        </w:tc>
        <w:tc>
          <w:tcPr>
            <w:tcW w:w="754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Style w:val="92"/>
                <w:rFonts w:hint="eastAsia" w:ascii="宋体" w:hAnsi="宋体" w:eastAsia="宋体" w:cs="宋体"/>
                <w:sz w:val="21"/>
                <w:szCs w:val="21"/>
                <w:highlight w:val="yellow"/>
                <w:lang w:val="en-US" w:eastAsia="zh-CN" w:bidi="ar"/>
              </w:rPr>
            </w:pPr>
            <w:r>
              <w:rPr>
                <w:rFonts w:hint="eastAsia" w:ascii="宋体" w:hAnsi="宋体" w:eastAsia="宋体" w:cs="宋体"/>
                <w:i w:val="0"/>
                <w:iCs w:val="0"/>
                <w:color w:val="000000"/>
                <w:kern w:val="2"/>
                <w:sz w:val="21"/>
                <w:szCs w:val="21"/>
                <w:lang w:val="en-US" w:eastAsia="zh-CN" w:bidi="ar"/>
              </w:rPr>
              <w:t>1）</w:t>
            </w:r>
            <w:r>
              <w:rPr>
                <w:rStyle w:val="92"/>
                <w:rFonts w:hint="eastAsia" w:ascii="宋体" w:hAnsi="宋体" w:eastAsia="宋体" w:cs="宋体"/>
                <w:sz w:val="21"/>
                <w:szCs w:val="21"/>
                <w:lang w:val="en-US" w:eastAsia="zh-CN" w:bidi="ar"/>
              </w:rPr>
              <w:t>漏电自检按钮：具备可自检模块漏电情况；</w:t>
            </w:r>
          </w:p>
          <w:p>
            <w:pPr>
              <w:widowControl w:val="0"/>
              <w:numPr>
                <w:ilvl w:val="0"/>
                <w:numId w:val="0"/>
              </w:numPr>
              <w:jc w:val="both"/>
              <w:rPr>
                <w:rStyle w:val="92"/>
                <w:rFonts w:hint="eastAsia" w:ascii="宋体" w:hAnsi="宋体" w:eastAsia="宋体" w:cs="宋体"/>
                <w:sz w:val="21"/>
                <w:szCs w:val="21"/>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2）可调漏电保护动作电流值：带漏电保护功能的设备应具备漏电保护动作电流值可调功能，至少提供30mA、50mA、100mA、1000mA四个档位，剩余电流的分断时间应能满足国标的要求；</w:t>
            </w:r>
            <w:r>
              <w:rPr>
                <w:rFonts w:hint="eastAsia" w:ascii="宋体" w:hAnsi="宋体" w:eastAsia="宋体" w:cs="宋体"/>
                <w:b/>
                <w:bCs/>
                <w:i w:val="0"/>
                <w:iCs w:val="0"/>
                <w:color w:val="000000"/>
                <w:kern w:val="0"/>
                <w:sz w:val="21"/>
                <w:szCs w:val="21"/>
                <w:u w:val="none"/>
                <w:lang w:val="en-US" w:eastAsia="zh-CN" w:bidi="ar"/>
              </w:rPr>
              <w:t>（带漏电保护产品须提供符合GB/T 16917.1-且带有“CNAS”及CQC标志认证的试验报告）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一体式断路器</w:t>
            </w:r>
          </w:p>
        </w:tc>
        <w:tc>
          <w:tcPr>
            <w:tcW w:w="7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1.额定电流：125A、250A、400A；（需提供符合GB/T14048.2-2020型式检验报告）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2.额定工作电压：AC400V；</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3.额定绝缘电压：AC1000V；</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4.频率：50/60Hz；</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5.极限分断能力：50kA;</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Style w:val="92"/>
                <w:rFonts w:hint="eastAsia" w:ascii="宋体" w:hAnsi="宋体" w:eastAsia="宋体" w:cs="宋体"/>
                <w:sz w:val="21"/>
                <w:szCs w:val="21"/>
                <w:lang w:val="en-US" w:eastAsia="zh-CN" w:bidi="ar"/>
              </w:rPr>
              <w:t>6</w:t>
            </w:r>
            <w:r>
              <w:rPr>
                <w:rStyle w:val="92"/>
                <w:rFonts w:hint="eastAsia" w:ascii="宋体" w:hAnsi="宋体" w:eastAsia="宋体" w:cs="宋体"/>
                <w:b/>
                <w:bCs/>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内置互感器、计量专用芯片等，有功电能及无功电能计量精度至少达0.5级（即误差不超过0.5%）；</w:t>
            </w:r>
            <w:r>
              <w:rPr>
                <w:rFonts w:hint="eastAsia" w:ascii="宋体" w:hAnsi="宋体" w:eastAsia="宋体" w:cs="宋体"/>
                <w:b/>
                <w:bCs/>
                <w:i w:val="0"/>
                <w:iCs w:val="0"/>
                <w:color w:val="000000"/>
                <w:kern w:val="0"/>
                <w:sz w:val="21"/>
                <w:szCs w:val="21"/>
                <w:u w:val="none"/>
                <w:lang w:val="en-US" w:eastAsia="zh-CN" w:bidi="ar"/>
              </w:rPr>
              <w:t>需提供地市级及以上检测机构出具的较准报告</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7.支持电能质量分析，可检测电网频率、电压/电流谐波等、支持各相电流/电压波形实时监测及显示；</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8.至少采用32位ARM微处理器，实时进行信号采集与处理；</w:t>
            </w:r>
          </w:p>
          <w:p>
            <w:pPr>
              <w:keepNext w:val="0"/>
              <w:keepLines w:val="0"/>
              <w:widowControl/>
              <w:suppressLineNumbers w:val="0"/>
              <w:jc w:val="left"/>
              <w:textAlignment w:val="center"/>
              <w:rPr>
                <w:rStyle w:val="92"/>
                <w:rFonts w:hint="eastAsia" w:ascii="宋体" w:hAnsi="宋体" w:eastAsia="宋体" w:cs="宋体"/>
                <w:sz w:val="21"/>
                <w:szCs w:val="21"/>
                <w:highlight w:val="none"/>
                <w:lang w:val="en-US" w:eastAsia="zh-CN" w:bidi="ar"/>
              </w:rPr>
            </w:pPr>
            <w:r>
              <w:rPr>
                <w:rStyle w:val="92"/>
                <w:rFonts w:hint="eastAsia" w:ascii="宋体" w:hAnsi="宋体" w:eastAsia="宋体" w:cs="宋体"/>
                <w:sz w:val="21"/>
                <w:szCs w:val="21"/>
                <w:lang w:val="en-US" w:eastAsia="zh-CN" w:bidi="ar"/>
              </w:rPr>
              <w:t>9.支持光伏并网保护功能：</w:t>
            </w:r>
            <w:r>
              <w:rPr>
                <w:rStyle w:val="92"/>
                <w:rFonts w:hint="eastAsia" w:ascii="宋体" w:hAnsi="宋体" w:eastAsia="宋体" w:cs="宋体"/>
                <w:sz w:val="21"/>
                <w:szCs w:val="21"/>
                <w:highlight w:val="none"/>
                <w:lang w:val="en-US" w:eastAsia="zh-CN" w:bidi="ar"/>
              </w:rPr>
              <w:t>孤岛识别、失压分断、监测电网状态等重合闸；</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10.支持尖峰平谷电能统计，支持双向电能统计等；</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11.本地液晶显示屏，支持多语言显示，可实时显示各项电参数，告警信息以及运行状态等。可自定义设置滚屏内容和滚屏内容驻留时间等；</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12.至少</w:t>
            </w:r>
            <w:r>
              <w:rPr>
                <w:rStyle w:val="92"/>
                <w:rFonts w:hint="eastAsia" w:ascii="宋体" w:hAnsi="宋体" w:eastAsia="宋体" w:cs="宋体"/>
                <w:sz w:val="21"/>
                <w:szCs w:val="21"/>
                <w:highlight w:val="none"/>
                <w:lang w:val="en-US" w:eastAsia="zh-CN" w:bidi="ar"/>
              </w:rPr>
              <w:t>双CPU双重保护电子式脱扣，</w:t>
            </w:r>
            <w:r>
              <w:rPr>
                <w:rStyle w:val="92"/>
                <w:rFonts w:hint="eastAsia" w:ascii="宋体" w:hAnsi="宋体" w:eastAsia="宋体" w:cs="宋体"/>
                <w:sz w:val="21"/>
                <w:szCs w:val="21"/>
                <w:lang w:val="en-US" w:eastAsia="zh-CN" w:bidi="ar"/>
              </w:rPr>
              <w:t>至少具备长延时、短延时和瞬时三段保护，线路电压异常时能可靠执行过流、短路保护功能，长延时支持电流反时限操作，确保线路保护可靠；</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13.报警及保护功能:过压、欠压、过流、过载、过温、短路、剩余电流、电压缺相、电流缺相、非平衡、逆相序、外部输入报警、孤岛识别、输出带电保护等，可自定义设置阈值和保护功能的开启关闭；</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14.额定剩余动作电流至少10个档位（50mA、100mA、200mA、300mA、400mA、500mA、600mA、700mA、800mA、900mA、1000mA、自动）可调；</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15.自动重合闸：当触发保护功能（过压、欠压、过流、过载、过温、剩余电流、电压缺相、电流缺相、非平衡、逆相序）动作跳闸后，20～60秒自动重合闸。各保护功能重合闸的开启关闭、重合闸的延时时间、重合闸总次数均可自定义设置；</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16.自动重合闸闭锁：闭锁时间</w:t>
            </w:r>
            <w:r>
              <w:rPr>
                <w:rStyle w:val="92"/>
                <w:rFonts w:hint="default" w:ascii="Arial" w:hAnsi="Arial" w:eastAsia="宋体" w:cs="Arial"/>
                <w:sz w:val="21"/>
                <w:szCs w:val="21"/>
                <w:highlight w:val="none"/>
                <w:lang w:val="en-US" w:eastAsia="zh-CN" w:bidi="ar"/>
              </w:rPr>
              <w:t>≤</w:t>
            </w:r>
            <w:r>
              <w:rPr>
                <w:rStyle w:val="92"/>
                <w:rFonts w:hint="eastAsia" w:ascii="宋体" w:hAnsi="宋体" w:eastAsia="宋体" w:cs="宋体"/>
                <w:sz w:val="21"/>
                <w:szCs w:val="21"/>
                <w:highlight w:val="none"/>
                <w:lang w:val="en-US" w:eastAsia="zh-CN" w:bidi="ar"/>
              </w:rPr>
              <w:t>5s</w:t>
            </w:r>
            <w:r>
              <w:rPr>
                <w:rStyle w:val="92"/>
                <w:rFonts w:hint="eastAsia" w:ascii="宋体" w:hAnsi="宋体" w:eastAsia="宋体" w:cs="宋体"/>
                <w:sz w:val="21"/>
                <w:szCs w:val="21"/>
                <w:lang w:val="en-US" w:eastAsia="zh-CN" w:bidi="ar"/>
              </w:rPr>
              <w:t>，当塑壳重合闸后 5s 内再次发生故障会进入闭锁状态，不可自动重合闸，必须人工操作合闸；当塑壳在重合闸后 5s 后再次发生故障，断路器在动作时间内跳闸不闭锁，经过 20～60 秒可再次自动重合闸；</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2"/>
                <w:rFonts w:hint="eastAsia" w:ascii="宋体" w:hAnsi="宋体" w:eastAsia="宋体" w:cs="宋体"/>
                <w:sz w:val="21"/>
                <w:szCs w:val="21"/>
                <w:lang w:val="en-US" w:eastAsia="zh-CN" w:bidi="ar"/>
              </w:rPr>
              <w:t>17.具备进线端与负载端两端的温度检测能力，精度±1℃，双端具备温度保护；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9"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智能电源及防浪涌模块（须提供符合GB/T9254.1-2021 CQC标志认证试验报告）</w:t>
            </w:r>
          </w:p>
        </w:tc>
        <w:tc>
          <w:tcPr>
            <w:tcW w:w="7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1.输入电压：AC100V-250V；</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2.频率：50/60Hz；</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3.输入电流：100mA;</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4.额定输出电压：DC12V；</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5.额定输出电流MaxDC2A；</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6.防雷击浪涌保护最大泄放电流：10kA；</w:t>
            </w:r>
            <w:r>
              <w:rPr>
                <w:rFonts w:hint="eastAsia" w:ascii="宋体" w:hAnsi="宋体" w:eastAsia="宋体" w:cs="宋体"/>
                <w:b/>
                <w:bCs/>
                <w:i w:val="0"/>
                <w:iCs w:val="0"/>
                <w:color w:val="000000"/>
                <w:kern w:val="0"/>
                <w:sz w:val="21"/>
                <w:szCs w:val="21"/>
                <w:u w:val="none"/>
                <w:lang w:val="en-US" w:eastAsia="zh-CN" w:bidi="ar"/>
              </w:rPr>
              <w:t>（须提供第三方检测报告）</w:t>
            </w:r>
            <w:r>
              <w:rPr>
                <w:rStyle w:val="92"/>
                <w:rFonts w:hint="eastAsia" w:ascii="宋体" w:hAnsi="宋体" w:eastAsia="宋体" w:cs="宋体"/>
                <w:sz w:val="21"/>
                <w:szCs w:val="21"/>
                <w:lang w:val="en-US" w:eastAsia="zh-CN" w:bidi="ar"/>
              </w:rPr>
              <w:t xml:space="preserve">                        7.电源输出过载/短路保护；                                                          8.电源模块输入异常本地指示（如异常时闪烁或熄灭）；</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9.电源输出端子过载保护；</w:t>
            </w:r>
            <w:r>
              <w:rPr>
                <w:rFonts w:hint="eastAsia" w:ascii="宋体" w:hAnsi="宋体" w:eastAsia="宋体" w:cs="宋体"/>
                <w:b/>
                <w:bCs/>
                <w:i w:val="0"/>
                <w:iCs w:val="0"/>
                <w:color w:val="000000"/>
                <w:kern w:val="0"/>
                <w:sz w:val="21"/>
                <w:szCs w:val="21"/>
                <w:u w:val="none"/>
                <w:lang w:val="en-US" w:eastAsia="zh-CN" w:bidi="ar"/>
              </w:rPr>
              <w:t>（须提供带有“CNAS”标识的第三方检测报告）</w:t>
            </w:r>
          </w:p>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10.具备电源输出短路保护；</w:t>
            </w:r>
            <w:r>
              <w:rPr>
                <w:rFonts w:hint="eastAsia" w:ascii="宋体" w:hAnsi="宋体" w:eastAsia="宋体" w:cs="宋体"/>
                <w:b/>
                <w:bCs/>
                <w:i w:val="0"/>
                <w:iCs w:val="0"/>
                <w:color w:val="000000"/>
                <w:kern w:val="0"/>
                <w:sz w:val="21"/>
                <w:szCs w:val="21"/>
                <w:u w:val="none"/>
                <w:lang w:val="en-US" w:eastAsia="zh-CN" w:bidi="ar"/>
              </w:rPr>
              <w:t>（须提供带有“CNAS”标识的第三方检测报告）</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2"/>
                <w:rFonts w:hint="eastAsia" w:ascii="宋体" w:hAnsi="宋体" w:eastAsia="宋体" w:cs="宋体"/>
                <w:sz w:val="21"/>
                <w:szCs w:val="21"/>
                <w:lang w:val="en-US" w:eastAsia="zh-CN" w:bidi="ar"/>
              </w:rPr>
              <w:t>12.具备接地保护；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物联网智能通讯模块（提供具有TD-LTE、FDD-LTE功能的国家强制性产品认证试验报告）</w:t>
            </w:r>
          </w:p>
        </w:tc>
        <w:tc>
          <w:tcPr>
            <w:tcW w:w="75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1.工作电压：DC12V；</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2.待机功耗：0.15W；</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3.支持双向互联网通讯,支持以太网、WIFI、4G等多种通信方式；</w:t>
            </w:r>
            <w:r>
              <w:rPr>
                <w:rFonts w:hint="eastAsia" w:ascii="宋体" w:hAnsi="宋体" w:eastAsia="宋体" w:cs="宋体"/>
                <w:b/>
                <w:bCs/>
                <w:i w:val="0"/>
                <w:iCs w:val="0"/>
                <w:color w:val="000000"/>
                <w:kern w:val="0"/>
                <w:sz w:val="21"/>
                <w:szCs w:val="21"/>
                <w:u w:val="none"/>
                <w:lang w:val="en-US" w:eastAsia="zh-CN" w:bidi="ar"/>
              </w:rPr>
              <w:t xml:space="preserve">（4G通讯须提供工信部颁发的4G入网许可证或4G试用批文）                          </w:t>
            </w:r>
            <w:r>
              <w:rPr>
                <w:rStyle w:val="92"/>
                <w:rFonts w:hint="eastAsia" w:ascii="宋体" w:hAnsi="宋体" w:eastAsia="宋体" w:cs="宋体"/>
                <w:sz w:val="21"/>
                <w:szCs w:val="21"/>
                <w:lang w:val="en-US" w:eastAsia="zh-CN" w:bidi="ar"/>
              </w:rPr>
              <w:t xml:space="preserve">                  4.支持向下串口通讯功能、数据计算分析存储功能；</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5.具备标准天线接口，可连接各式外置天线；</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6.内置时钟芯片，脱网状态下可保证时间的精准性；</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7.支持本地拨码开关一键恢复/重启网关；</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8.最小支持29路开关节点数；</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9.实时精准采集线路电压、电流、漏电流、线路温度、有功功率等；</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10.线路用电量采集，每小时/每天/每月自动上报；</w:t>
            </w:r>
          </w:p>
          <w:p>
            <w:pPr>
              <w:keepNext w:val="0"/>
              <w:keepLines w:val="0"/>
              <w:widowControl/>
              <w:suppressLineNumbers w:val="0"/>
              <w:jc w:val="left"/>
              <w:textAlignment w:val="center"/>
              <w:rPr>
                <w:rStyle w:val="92"/>
                <w:rFonts w:hint="eastAsia" w:ascii="宋体" w:hAnsi="宋体" w:eastAsia="宋体" w:cs="宋体"/>
                <w:sz w:val="21"/>
                <w:szCs w:val="21"/>
                <w:lang w:val="en-US" w:eastAsia="zh-CN" w:bidi="ar"/>
              </w:rPr>
            </w:pPr>
            <w:r>
              <w:rPr>
                <w:rStyle w:val="92"/>
                <w:rFonts w:hint="eastAsia" w:ascii="宋体" w:hAnsi="宋体" w:eastAsia="宋体" w:cs="宋体"/>
                <w:sz w:val="21"/>
                <w:szCs w:val="21"/>
                <w:lang w:val="en-US" w:eastAsia="zh-CN" w:bidi="ar"/>
              </w:rPr>
              <w:t>11.支持掉电报警；</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2"/>
                <w:rFonts w:hint="eastAsia" w:ascii="宋体" w:hAnsi="宋体" w:eastAsia="宋体" w:cs="宋体"/>
                <w:sz w:val="21"/>
                <w:szCs w:val="21"/>
                <w:lang w:val="en-US" w:eastAsia="zh-CN" w:bidi="ar"/>
              </w:rPr>
              <w:t>12.具有远程升级更新功能；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6" w:hRule="atLeast"/>
        </w:trPr>
        <w:tc>
          <w:tcPr>
            <w:tcW w:w="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3"/>
                <w:rFonts w:hint="eastAsia" w:ascii="宋体" w:hAnsi="宋体" w:eastAsia="宋体" w:cs="宋体"/>
                <w:sz w:val="21"/>
                <w:szCs w:val="21"/>
                <w:lang w:val="en-US" w:eastAsia="zh-CN" w:bidi="ar"/>
              </w:rPr>
              <w:t>智慧用电监管平台（</w:t>
            </w:r>
            <w:r>
              <w:rPr>
                <w:rStyle w:val="79"/>
                <w:rFonts w:hint="eastAsia" w:ascii="宋体" w:hAnsi="宋体" w:eastAsia="宋体" w:cs="宋体"/>
                <w:sz w:val="21"/>
                <w:szCs w:val="21"/>
                <w:lang w:val="en-US" w:eastAsia="zh-CN" w:bidi="ar"/>
              </w:rPr>
              <w:t>供应商提供的系统平台具有中国软件评测中心出具的软件产品登记测试报告、公安部安全与警用电子产品质量检验中心出具的软件测试报告；供应商提供的系统平台具有CCRC资质的检测中心出具的漏洞扫描复测报告及渗透测试复测报告；需提供证书复印件并加盖公章佐证）。</w:t>
            </w:r>
          </w:p>
        </w:tc>
        <w:tc>
          <w:tcPr>
            <w:tcW w:w="7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可以通过电脑和手机移动端（信息或APP，下同）进行用电情况、线路情况、隐患情况的监控。管理平台PC端及手机移动端能显示、监控每一路电源回路的电压、电流超载、漏电超限、导线温度过高等电气安全的参数，能监测实时数据、历史数据、实时报警数据及变化曲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平台软件支持专用网络接入、可管理前端智慧安全用电管理主机（智慧微断）及相关设备。可根据不同场景和需要，组合形成相应的监测与管理回路，方便采购人根据不同场景形成相对应的直观、方便的监测与管理界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3.平台软件支持市场内网、无线网络联网使用，平台架构支持BS或者CS架构，BS架构可以通过浏览器登录和使用。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确保云平台的安全稳定可靠，平台具备服务器安全防御、站点安全防御、数据库安全防御及数据备份管理功能。对平台的数据能够严格实施保密制度，确保数据传输、保存、访问安全性，严格控制平台访问权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5.平台软件具备设备运行状态（在线、离线、报警、自检等数据统计分析）监测显示、数据可视化功能。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平台软件具有列表监控、地图监控、报警日志，统计分析（周统计、月和年统计，历史同比统计、并能生成相关报表）、远程查看监测数据、监控数据自动储存到后台数据中心、下发查询指令、动态显示每一用电回路状态，有报警状态处理等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7.平台软件能实现地图显示功能，在地图中能够清晰展示设备所在位置、设备名称、设备状态、采购人现场用电等信息，并能在平台软件上备注设备报警信息处理情况。</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8.平台软件具有安全的账户管理体系，系统可根据不同的账号密码登陆，分配不同的权限，并实现分级别管理、分权限管理等安全管理级别。</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9.平台软件具有报警等级划分功能，根据报警级别从高到低分组显示；发生报警事件时，系统自动向手机端APP或手机短信推送给相关负责人，确保报警事件得到及时响应与处理。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平台软件的系统数据展示具有曲线（折线）图、柱状图、数据视图等展示方式，可以统计分析每一用电回路、每一套智慧电源管理系统、每个监控单位的每个时段、每天、周、月、年，某一时期的电量和负载等用电数据，可对相关回路用电量统计，并形成图或表的形式展示，并具有每项统计数据与总量所占比例、历史同期相比减少或增加的量和百分比、上期现比值等数据分析展示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11.平台软件具有日志管理功能。可查询报警日志、状态日志等。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12.平台软件具有按照区域、站点等条件筛选和选择筛选条件功能。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13.平台软件具有报表管理功能，支持报表查询，手工或自动生成周报、月报等用电数据报表。数据及报表可导出。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14.平台软件具有远程管理终端设备功能，可通过电脑端终端通过手机APP对设备进行远程监测和查看。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15.平台软件的数据至少能保存六年以上。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16.具备市电断电监测和报警功能。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17.报警时界面可显示回路报警当时的电气参数值和回路当前的实时电气参数值。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18.根据安装现场实际需求可通过平台管理页面自由设置告警及开关动作阀值。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19.支持接入烟感、可燃气体探测器、水位水压探测器、智能插座面板、智能灯光、智能窗帘，红外空调遥控器、温湿度报警器等设备，并进入单个设备管理页面进行管理。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20.支持单一用电回路本月用电量及上月用电量查询对比功能。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21．支持局域网场景下，服务器指向设置功能。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22.可根据报警类型不同，上传不同报警语音。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23.可根据设备安装位置，对宿舍照明线路设置经纬度定时控制功能，采购人可依据经纬度设置天亮、天黑、日出、日落等定时开关模式。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24.可根据宿舍管理区域在同一项目下设置分组模式，且同一项目下不同分组可单独设置定位及设置统一场景定时。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根据电力公司用电政策，采购人可自由配置尖时、峰时、平时、谷时四个时段的电价，且可以根据配置不同时段及单价，同时可根据配置好的“尖”、“峰”、“平”、“谷”时段及单价对具体用电线路及用电设备的电费状况进行实时监测与评估，为管理负责人提供更优的用能策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26.支持根据现场管理需求，对设备设置树状拓扑图检索，同时可根据设置好的树状拓扑图对用电回路进行一键控制管理。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具备工单管理功能，可对一个及多个项目发起巡检管理，同时可根据平台用电预警及报警情况发起维保任务，维护及巡检人员现场巡检及维保后可根据平台记录巡检及维保内容，形成用电安全管理“技防”+“人防”的闭环处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28.电气数据实时监测:系统须具备在平台、手机APP 个人端、手机APP 物业端通过电气数据接入设备对电气回路负載、漏电流值、电流、功率、温度、电压、打火、三相缺相、浪涌等项目数据进行实时监测的功能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29.漏电自检:系统在平台、手机APP 个人端、手机APP 物业端设置每月漏电自检、开启手动漏电检查并推送漏电检查结果的功能。</w:t>
            </w:r>
          </w:p>
        </w:tc>
      </w:tr>
    </w:tbl>
    <w:p>
      <w:pPr>
        <w:pStyle w:val="23"/>
        <w:numPr>
          <w:ilvl w:val="0"/>
          <w:numId w:val="0"/>
        </w:numPr>
        <w:ind w:leftChars="0"/>
        <w:rPr>
          <w:rFonts w:hint="eastAsia" w:ascii="宋体" w:hAnsi="宋体" w:eastAsia="宋体" w:cs="宋体"/>
          <w:sz w:val="24"/>
          <w:szCs w:val="24"/>
          <w:lang w:val="en-US" w:eastAsia="zh-CN"/>
        </w:rPr>
      </w:pPr>
    </w:p>
    <w:p>
      <w:pPr>
        <w:numPr>
          <w:ilvl w:val="0"/>
          <w:numId w:val="0"/>
        </w:numPr>
        <w:spacing w:line="460" w:lineRule="exact"/>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四、售后服务条件及交货日期（或工期）</w:t>
      </w:r>
      <w:r>
        <w:rPr>
          <w:rFonts w:hint="eastAsia"/>
          <w:b/>
          <w:bCs/>
          <w:color w:val="auto"/>
          <w:sz w:val="21"/>
          <w:szCs w:val="21"/>
          <w:highlight w:val="none"/>
        </w:rPr>
        <w:t>：</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交货期：合同签订后30日内。</w:t>
      </w:r>
      <w:r>
        <w:rPr>
          <w:rFonts w:hint="eastAsia"/>
          <w:b w:val="0"/>
          <w:bCs w:val="0"/>
          <w:color w:val="auto"/>
          <w:sz w:val="21"/>
          <w:szCs w:val="21"/>
          <w:highlight w:val="none"/>
        </w:rPr>
        <w:t xml:space="preserve">  </w:t>
      </w:r>
      <w:r>
        <w:rPr>
          <w:rFonts w:hint="eastAsia"/>
          <w:b w:val="0"/>
          <w:bCs w:val="0"/>
          <w:color w:val="auto"/>
          <w:sz w:val="21"/>
          <w:szCs w:val="21"/>
          <w:highlight w:val="none"/>
          <w:lang w:val="en-US" w:eastAsia="zh-CN"/>
        </w:rPr>
        <w:t>质保期：3年。</w:t>
      </w:r>
    </w:p>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驻马店市中心医院卫校宿舍楼和规培基地南宿舍楼用电管理改造项目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28.99万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eastAsia="宋体" w:cs="宋体"/>
          <w:b/>
          <w:bCs/>
          <w:color w:val="auto"/>
          <w:kern w:val="0"/>
          <w:sz w:val="24"/>
          <w:szCs w:val="24"/>
          <w:highlight w:val="none"/>
          <w:lang w:val="en-US" w:eastAsia="zh-CN"/>
        </w:rPr>
        <w:t>28.99万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5"/>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5"/>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.售后服务体系（1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0"/>
                <w:sz w:val="24"/>
                <w:szCs w:val="24"/>
                <w:highlight w:val="none"/>
                <w:lang w:val="en-US" w:eastAsia="zh-CN"/>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2"/>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9"/>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9"/>
        <w:spacing w:line="360" w:lineRule="auto"/>
        <w:rPr>
          <w:rFonts w:hint="eastAsia" w:ascii="宋体" w:hAnsi="宋体" w:eastAsia="宋体" w:cs="宋体"/>
          <w:color w:val="auto"/>
          <w:highlight w:val="none"/>
        </w:rPr>
      </w:pPr>
    </w:p>
    <w:p>
      <w:pPr>
        <w:pStyle w:val="49"/>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9"/>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9"/>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9"/>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9"/>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2"/>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lang w:val="en-US" w:eastAsia="zh-CN"/>
      </w:rPr>
    </w:pPr>
    <w:r>
      <w:rPr>
        <w:rFonts w:hint="eastAsia"/>
        <w:lang w:val="en-US" w:eastAsia="zh-CN"/>
      </w:rPr>
      <w:t>驻马店市中心医院卫校宿舍楼和规培基地南宿舍楼用电管理改造项目采购文件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lang w:val="en-US" w:eastAsia="zh-CN"/>
      </w:rPr>
    </w:pPr>
    <w:r>
      <w:rPr>
        <w:rFonts w:hint="eastAsia" w:ascii="宋体" w:hAnsi="宋体" w:cs="宋体"/>
        <w:color w:val="auto"/>
        <w:szCs w:val="21"/>
        <w:highlight w:val="none"/>
        <w:shd w:val="clear" w:color="auto" w:fill="FFFFFF"/>
        <w:lang w:eastAsia="zh-CN"/>
      </w:rPr>
      <w:t>驻马店市中心医院卫校宿舍楼和规培基地南宿舍楼用电管理改造项目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2D25290"/>
    <w:rsid w:val="146A4213"/>
    <w:rsid w:val="1A856091"/>
    <w:rsid w:val="23F57CC4"/>
    <w:rsid w:val="3D226758"/>
    <w:rsid w:val="3DBF1931"/>
    <w:rsid w:val="46DF6B01"/>
    <w:rsid w:val="5A295181"/>
    <w:rsid w:val="5E742597"/>
    <w:rsid w:val="65447343"/>
    <w:rsid w:val="6E9043D6"/>
    <w:rsid w:val="707912DA"/>
    <w:rsid w:val="76076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3"/>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4"/>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next w:val="5"/>
    <w:qFormat/>
    <w:uiPriority w:val="0"/>
    <w:pPr>
      <w:widowControl/>
      <w:spacing w:beforeAutospacing="1" w:afterAutospacing="1"/>
      <w:jc w:val="left"/>
    </w:pPr>
    <w:rPr>
      <w:rFonts w:ascii="宋体" w:hAnsi="宋体" w:cs="宋体"/>
      <w:kern w:val="0"/>
      <w:sz w:val="24"/>
    </w:rPr>
  </w:style>
  <w:style w:type="paragraph" w:styleId="14">
    <w:name w:val="Document Map"/>
    <w:basedOn w:val="1"/>
    <w:link w:val="76"/>
    <w:qFormat/>
    <w:uiPriority w:val="0"/>
    <w:rPr>
      <w:rFonts w:ascii="宋体" w:hAnsi="Calibri"/>
      <w:sz w:val="18"/>
      <w:szCs w:val="18"/>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envelope return"/>
    <w:basedOn w:val="1"/>
    <w:unhideWhenUsed/>
    <w:qFormat/>
    <w:uiPriority w:val="99"/>
    <w:pPr>
      <w:snapToGrid w:val="0"/>
    </w:pPr>
    <w:rPr>
      <w:rFonts w:ascii="Arial" w:hAnsi="Arial"/>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5"/>
    <w:next w:val="1"/>
    <w:qFormat/>
    <w:uiPriority w:val="0"/>
  </w:style>
  <w:style w:type="paragraph" w:styleId="28">
    <w:name w:val="List"/>
    <w:basedOn w:val="1"/>
    <w:qFormat/>
    <w:uiPriority w:val="0"/>
    <w:pPr>
      <w:ind w:left="200" w:hanging="200" w:hangingChars="200"/>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5"/>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3"/>
    <w:qFormat/>
    <w:uiPriority w:val="0"/>
  </w:style>
  <w:style w:type="character" w:customStyle="1" w:styleId="75">
    <w:name w:val="apple-converted-space"/>
    <w:basedOn w:val="35"/>
    <w:qFormat/>
    <w:uiPriority w:val="0"/>
  </w:style>
  <w:style w:type="character" w:customStyle="1" w:styleId="76">
    <w:name w:val="文档结构图 Char"/>
    <w:link w:val="14"/>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5"/>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0"/>
      <w:szCs w:val="20"/>
      <w:u w:val="none"/>
    </w:rPr>
  </w:style>
  <w:style w:type="character" w:customStyle="1" w:styleId="93">
    <w:name w:val="font11"/>
    <w:basedOn w:val="35"/>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19932</Words>
  <Characters>21324</Characters>
  <Lines>50</Lines>
  <Paragraphs>68</Paragraphs>
  <TotalTime>3</TotalTime>
  <ScaleCrop>false</ScaleCrop>
  <LinksUpToDate>false</LinksUpToDate>
  <CharactersWithSpaces>22710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2023-07-17T07:20:53Z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