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highlight w:val="none"/>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驻马店市中心医院微波治疗仪采购项目</w:t>
      </w: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highlight w:val="none"/>
          <w:lang w:val="en-US" w:eastAsia="zh-CN"/>
        </w:rPr>
      </w:pPr>
    </w:p>
    <w:p>
      <w:pPr>
        <w:snapToGrid w:val="0"/>
        <w:spacing w:line="380" w:lineRule="exact"/>
        <w:jc w:val="center"/>
        <w:rPr>
          <w:rFonts w:hint="eastAsia" w:ascii="宋体" w:hAnsi="宋体" w:eastAsia="宋体" w:cs="宋体"/>
          <w:b/>
          <w:sz w:val="32"/>
          <w:szCs w:val="32"/>
          <w:highlight w:val="none"/>
        </w:rPr>
      </w:pPr>
    </w:p>
    <w:p>
      <w:pPr>
        <w:pStyle w:val="32"/>
        <w:rPr>
          <w:rFonts w:hint="eastAsia"/>
          <w:highlight w:val="none"/>
        </w:rPr>
      </w:pPr>
    </w:p>
    <w:p>
      <w:pPr>
        <w:pStyle w:val="59"/>
        <w:rPr>
          <w:rFonts w:hint="eastAsia" w:ascii="宋体" w:hAnsi="宋体" w:eastAsia="宋体" w:cs="宋体"/>
          <w:bCs/>
          <w:sz w:val="2"/>
          <w:szCs w:val="2"/>
          <w:highlight w:val="none"/>
        </w:rPr>
      </w:pPr>
    </w:p>
    <w:p>
      <w:pPr>
        <w:rPr>
          <w:rFonts w:hint="eastAsia" w:ascii="宋体" w:hAnsi="宋体" w:eastAsia="宋体" w:cs="宋体"/>
          <w:bCs/>
          <w:sz w:val="2"/>
          <w:szCs w:val="2"/>
          <w:highlight w:val="none"/>
        </w:rPr>
      </w:pPr>
    </w:p>
    <w:p>
      <w:pPr>
        <w:spacing w:line="20" w:lineRule="exact"/>
        <w:rPr>
          <w:rFonts w:hint="eastAsia" w:ascii="宋体" w:hAnsi="宋体" w:eastAsia="宋体" w:cs="宋体"/>
          <w:bCs/>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3</w:t>
      </w:r>
      <w:r>
        <w:rPr>
          <w:rFonts w:hint="eastAsia" w:ascii="宋体" w:hAnsi="宋体" w:eastAsia="宋体" w:cs="宋体"/>
          <w:b/>
          <w:bCs/>
          <w:spacing w:val="40"/>
          <w:sz w:val="34"/>
          <w:szCs w:val="34"/>
          <w:highlight w:val="none"/>
        </w:rPr>
        <w:t>年</w:t>
      </w:r>
      <w:r>
        <w:rPr>
          <w:rFonts w:hint="eastAsia" w:ascii="宋体" w:hAnsi="宋体" w:cs="宋体"/>
          <w:b/>
          <w:bCs/>
          <w:spacing w:val="40"/>
          <w:sz w:val="34"/>
          <w:szCs w:val="34"/>
          <w:highlight w:val="none"/>
          <w:lang w:val="en-US" w:eastAsia="zh-CN"/>
        </w:rPr>
        <w:t>7</w:t>
      </w:r>
      <w:r>
        <w:rPr>
          <w:rFonts w:hint="eastAsia" w:ascii="宋体" w:hAnsi="宋体" w:eastAsia="宋体" w:cs="宋体"/>
          <w:b/>
          <w:bCs/>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驻马店市中心医院微波治疗仪采购项目竞争性磋商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9890"/>
      <w:bookmarkStart w:id="7" w:name="_Toc23793"/>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微波治疗仪采购项目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驻马店市中心医院微波治疗仪采购项目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5.2</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4040"/>
      <w:bookmarkStart w:id="10" w:name="_Toc26079"/>
      <w:bookmarkStart w:id="11" w:name="_Toc21071"/>
      <w:bookmarkStart w:id="12" w:name="_Toc27913"/>
      <w:bookmarkStart w:id="13" w:name="_Toc19521"/>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6、标段：共一个标段</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6639"/>
      <w:bookmarkStart w:id="15" w:name="_Toc23626"/>
      <w:bookmarkStart w:id="16" w:name="_Toc27704"/>
      <w:bookmarkStart w:id="17" w:name="_Toc18607"/>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2、供应商应提供2021年度或2022年度经审计的财务报告或者其基本开户银行出具的资信证明；采购活动前近三个月内或上个季度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9562"/>
      <w:bookmarkStart w:id="19" w:name="_Toc30971"/>
      <w:bookmarkStart w:id="20" w:name="_Toc30643"/>
      <w:bookmarkStart w:id="21" w:name="_Toc23395"/>
      <w:bookmarkStart w:id="22" w:name="_Toc7823"/>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line="336"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FF0000"/>
          <w:sz w:val="24"/>
          <w:szCs w:val="24"/>
          <w:highlight w:val="none"/>
          <w:shd w:val="clear" w:color="auto" w:fill="FFFFFF"/>
        </w:rPr>
        <w:t>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eastAsia="宋体" w:cs="宋体"/>
          <w:color w:val="FF0000"/>
          <w:sz w:val="24"/>
          <w:szCs w:val="24"/>
          <w:highlight w:val="none"/>
          <w:shd w:val="clear" w:color="auto" w:fill="FFFFFF"/>
          <w:lang w:val="en-US" w:eastAsia="zh-CN"/>
        </w:rPr>
        <w:t>07</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18</w:t>
      </w:r>
      <w:r>
        <w:rPr>
          <w:rFonts w:hint="eastAsia" w:ascii="宋体" w:hAnsi="宋体" w:eastAsia="宋体" w:cs="宋体"/>
          <w:color w:val="FF0000"/>
          <w:sz w:val="24"/>
          <w:szCs w:val="24"/>
          <w:highlight w:val="none"/>
          <w:shd w:val="clear" w:color="auto" w:fill="FFFFFF"/>
        </w:rPr>
        <w:t>日-202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eastAsia="宋体" w:cs="宋体"/>
          <w:color w:val="FF0000"/>
          <w:sz w:val="24"/>
          <w:szCs w:val="24"/>
          <w:highlight w:val="none"/>
          <w:shd w:val="clear" w:color="auto" w:fill="FFFFFF"/>
          <w:lang w:val="en-US" w:eastAsia="zh-CN"/>
        </w:rPr>
        <w:t>07</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20</w:t>
      </w:r>
      <w:r>
        <w:rPr>
          <w:rFonts w:hint="eastAsia" w:ascii="宋体" w:hAnsi="宋体" w:eastAsia="宋体" w:cs="宋体"/>
          <w:color w:val="FF0000"/>
          <w:sz w:val="24"/>
          <w:szCs w:val="24"/>
          <w:highlight w:val="none"/>
          <w:shd w:val="clear" w:color="auto" w:fill="FFFFFF"/>
        </w:rPr>
        <w:t>日，上</w:t>
      </w:r>
      <w:r>
        <w:rPr>
          <w:rFonts w:hint="eastAsia" w:ascii="宋体" w:hAnsi="宋体" w:eastAsia="宋体" w:cs="宋体"/>
          <w:color w:val="FF0000"/>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36"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336"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0738"/>
      <w:bookmarkStart w:id="24" w:name="_Toc15111"/>
      <w:bookmarkStart w:id="25" w:name="_Toc15135"/>
      <w:bookmarkStart w:id="26" w:name="_Toc27480"/>
      <w:bookmarkStart w:id="27" w:name="_Toc25869"/>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6523"/>
      <w:bookmarkStart w:id="29" w:name="_Toc20287"/>
      <w:bookmarkStart w:id="30" w:name="_Toc30918"/>
      <w:bookmarkStart w:id="31" w:name="_Toc29784"/>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3604"/>
      <w:bookmarkStart w:id="33" w:name="_Toc31928"/>
      <w:bookmarkStart w:id="34" w:name="_Toc24274"/>
      <w:bookmarkStart w:id="35" w:name="_Toc27370"/>
      <w:bookmarkStart w:id="36" w:name="_Toc16291"/>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联系电话：18838148020</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监督电话：0396-2725435</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line="336" w:lineRule="auto"/>
        <w:jc w:val="right"/>
        <w:textAlignment w:val="auto"/>
        <w:rPr>
          <w:rFonts w:hint="eastAsia"/>
        </w:rPr>
      </w:pPr>
      <w:r>
        <w:rPr>
          <w:rFonts w:hint="eastAsia" w:ascii="宋体" w:hAnsi="宋体" w:eastAsia="宋体" w:cs="宋体"/>
          <w:color w:val="FF0000"/>
          <w:kern w:val="0"/>
          <w:sz w:val="24"/>
          <w:szCs w:val="24"/>
          <w:shd w:val="clear" w:color="auto" w:fill="FFFFFF"/>
          <w:lang w:val="en-US" w:eastAsia="zh-CN" w:bidi="ar-SA"/>
        </w:rPr>
        <w:t>2023年</w:t>
      </w:r>
      <w:r>
        <w:rPr>
          <w:rFonts w:hint="eastAsia" w:ascii="宋体" w:hAnsi="宋体" w:eastAsia="宋体" w:cs="宋体"/>
          <w:color w:val="FF0000"/>
          <w:kern w:val="0"/>
          <w:sz w:val="24"/>
          <w:szCs w:val="24"/>
          <w:highlight w:val="none"/>
          <w:shd w:val="clear" w:color="auto" w:fill="FFFFFF"/>
          <w:lang w:val="en-US" w:eastAsia="zh-CN" w:bidi="ar-SA"/>
        </w:rPr>
        <w:t>07月</w:t>
      </w:r>
      <w:r>
        <w:rPr>
          <w:rFonts w:hint="eastAsia" w:ascii="宋体" w:hAnsi="宋体" w:cs="宋体"/>
          <w:color w:val="FF0000"/>
          <w:kern w:val="0"/>
          <w:sz w:val="24"/>
          <w:szCs w:val="24"/>
          <w:highlight w:val="none"/>
          <w:shd w:val="clear" w:color="auto" w:fill="FFFFFF"/>
          <w:lang w:val="en-US" w:eastAsia="zh-CN" w:bidi="ar-SA"/>
        </w:rPr>
        <w:t>17</w:t>
      </w:r>
      <w:bookmarkStart w:id="91" w:name="_GoBack"/>
      <w:bookmarkEnd w:id="91"/>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9989"/>
      <w:bookmarkStart w:id="38" w:name="_Toc23610"/>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一、项目名称、数量：</w:t>
      </w:r>
      <w:r>
        <w:rPr>
          <w:rFonts w:hint="eastAsia" w:ascii="宋体" w:hAnsi="宋体" w:cs="宋体"/>
          <w:b w:val="0"/>
          <w:bCs w:val="0"/>
          <w:color w:val="auto"/>
          <w:kern w:val="0"/>
          <w:sz w:val="21"/>
          <w:szCs w:val="21"/>
          <w:highlight w:val="none"/>
          <w:u w:val="single"/>
          <w:shd w:val="clear" w:color="auto" w:fill="FFFFFF"/>
          <w:lang w:val="en-US" w:eastAsia="zh-CN" w:bidi="ar-SA"/>
        </w:rPr>
        <w:t>微波治疗仪采购项目。</w:t>
      </w:r>
      <w:r>
        <w:rPr>
          <w:rFonts w:hint="eastAsia" w:ascii="宋体" w:hAnsi="宋体" w:eastAsia="宋体" w:cs="宋体"/>
          <w:b/>
          <w:bCs/>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p>
    <w:p>
      <w:pPr>
        <w:pStyle w:val="11"/>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二、项目用途说明：</w:t>
      </w:r>
      <w:r>
        <w:rPr>
          <w:rFonts w:hint="eastAsia" w:cs="宋体"/>
          <w:b w:val="0"/>
          <w:bCs w:val="0"/>
          <w:kern w:val="2"/>
          <w:sz w:val="21"/>
          <w:szCs w:val="21"/>
          <w:u w:val="single"/>
          <w:lang w:val="en-US" w:eastAsia="zh-CN" w:bidi="ar-SA"/>
        </w:rPr>
        <w:t>/</w:t>
      </w:r>
      <w:r>
        <w:rPr>
          <w:rFonts w:hint="eastAsia" w:ascii="宋体" w:hAnsi="宋体" w:eastAsia="宋体" w:cs="宋体"/>
          <w:kern w:val="2"/>
          <w:sz w:val="21"/>
          <w:szCs w:val="21"/>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473"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tcPr>
          <w:p>
            <w:pPr>
              <w:pStyle w:val="1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718" w:type="dxa"/>
            <w:tcBorders>
              <w:top w:val="single" w:color="auto" w:sz="4" w:space="0"/>
              <w:left w:val="nil"/>
              <w:bottom w:val="single" w:color="auto" w:sz="4" w:space="0"/>
              <w:right w:val="single" w:color="auto" w:sz="4" w:space="0"/>
            </w:tcBorders>
            <w:vAlign w:val="top"/>
          </w:tcPr>
          <w:p>
            <w:pPr>
              <w:pStyle w:val="11"/>
              <w:jc w:val="center"/>
              <w:rPr>
                <w:rFonts w:hint="eastAsia" w:ascii="宋体" w:hAnsi="宋体" w:eastAsia="宋体" w:cs="宋体"/>
                <w:sz w:val="21"/>
                <w:szCs w:val="21"/>
              </w:rPr>
            </w:pPr>
            <w:r>
              <w:rPr>
                <w:rFonts w:hint="eastAsia" w:ascii="宋体" w:hAnsi="宋体"/>
                <w:sz w:val="21"/>
                <w:szCs w:val="21"/>
                <w:lang w:val="en-US" w:eastAsia="zh-CN"/>
              </w:rPr>
              <w:t>微波治疗仪</w:t>
            </w:r>
          </w:p>
        </w:tc>
        <w:tc>
          <w:tcPr>
            <w:tcW w:w="1736" w:type="dxa"/>
            <w:tcBorders>
              <w:top w:val="single" w:color="auto" w:sz="4" w:space="0"/>
              <w:left w:val="nil"/>
              <w:bottom w:val="single" w:color="auto" w:sz="4" w:space="0"/>
              <w:right w:val="single" w:color="auto" w:sz="4" w:space="0"/>
            </w:tcBorders>
            <w:vAlign w:val="top"/>
          </w:tcPr>
          <w:p>
            <w:pPr>
              <w:pStyle w:val="11"/>
              <w:ind w:firstLine="420" w:firstLineChars="200"/>
              <w:jc w:val="both"/>
              <w:rPr>
                <w:rFonts w:hint="eastAsia" w:ascii="宋体" w:hAnsi="宋体" w:eastAsia="宋体" w:cs="宋体"/>
                <w:sz w:val="21"/>
                <w:szCs w:val="21"/>
                <w:lang w:val="en-US" w:eastAsia="zh-CN"/>
              </w:rPr>
            </w:pPr>
            <w:r>
              <w:rPr>
                <w:rFonts w:hint="eastAsia" w:ascii="宋体" w:hAnsi="宋体"/>
                <w:sz w:val="21"/>
                <w:szCs w:val="21"/>
                <w:lang w:val="en-US" w:eastAsia="zh-CN"/>
              </w:rPr>
              <w:t>2</w:t>
            </w:r>
          </w:p>
        </w:tc>
        <w:tc>
          <w:tcPr>
            <w:tcW w:w="1473" w:type="dxa"/>
            <w:tcBorders>
              <w:top w:val="single" w:color="auto" w:sz="4" w:space="0"/>
              <w:left w:val="nil"/>
              <w:bottom w:val="single" w:color="auto" w:sz="4" w:space="0"/>
              <w:right w:val="single" w:color="auto" w:sz="4" w:space="0"/>
            </w:tcBorders>
            <w:vAlign w:val="top"/>
          </w:tcPr>
          <w:p>
            <w:pPr>
              <w:pStyle w:val="11"/>
              <w:jc w:val="center"/>
              <w:rPr>
                <w:rFonts w:hint="eastAsia" w:ascii="宋体" w:hAnsi="宋体" w:eastAsia="宋体" w:cs="宋体"/>
                <w:sz w:val="21"/>
                <w:szCs w:val="21"/>
                <w:lang w:val="en-US" w:eastAsia="zh-CN"/>
              </w:rPr>
            </w:pPr>
            <w:r>
              <w:rPr>
                <w:rFonts w:hint="eastAsia" w:ascii="宋体" w:hAnsi="宋体"/>
                <w:sz w:val="21"/>
                <w:szCs w:val="21"/>
                <w:lang w:val="en-US" w:eastAsia="zh-CN"/>
              </w:rPr>
              <w:t>5.2万元</w:t>
            </w:r>
          </w:p>
        </w:tc>
        <w:tc>
          <w:tcPr>
            <w:tcW w:w="1554" w:type="dxa"/>
            <w:tcBorders>
              <w:top w:val="single" w:color="auto" w:sz="4" w:space="0"/>
              <w:left w:val="nil"/>
              <w:bottom w:val="single" w:color="auto" w:sz="4" w:space="0"/>
              <w:right w:val="single" w:color="auto" w:sz="4" w:space="0"/>
            </w:tcBorders>
          </w:tcPr>
          <w:p>
            <w:pPr>
              <w:pStyle w:val="11"/>
              <w:rPr>
                <w:rFonts w:hint="eastAsia" w:ascii="宋体" w:hAnsi="宋体" w:eastAsia="宋体" w:cs="宋体"/>
                <w:sz w:val="21"/>
                <w:szCs w:val="21"/>
                <w:lang w:eastAsia="zh-CN"/>
              </w:rPr>
            </w:pPr>
            <w:r>
              <w:rPr>
                <w:rFonts w:hint="eastAsia" w:ascii="宋体" w:hAnsi="宋体" w:eastAsia="宋体" w:cs="宋体"/>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1"/>
              <w:ind w:left="0" w:leftChars="0"/>
              <w:rPr>
                <w:rFonts w:hint="eastAsia" w:ascii="宋体" w:hAnsi="宋体" w:eastAsia="宋体" w:cs="宋体"/>
                <w:b/>
                <w:bCs/>
                <w:sz w:val="21"/>
                <w:szCs w:val="21"/>
              </w:rPr>
            </w:pPr>
            <w:r>
              <w:rPr>
                <w:rFonts w:hint="eastAsia" w:ascii="宋体" w:hAnsi="宋体" w:eastAsia="宋体" w:cs="宋体"/>
                <w:b/>
                <w:bCs/>
                <w:sz w:val="21"/>
                <w:szCs w:val="21"/>
              </w:rPr>
              <w:t>合计</w:t>
            </w:r>
          </w:p>
        </w:tc>
        <w:tc>
          <w:tcPr>
            <w:tcW w:w="2718"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p>
        </w:tc>
        <w:tc>
          <w:tcPr>
            <w:tcW w:w="1736"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p>
        </w:tc>
        <w:tc>
          <w:tcPr>
            <w:tcW w:w="1473"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r>
              <w:rPr>
                <w:rFonts w:hint="eastAsia" w:ascii="宋体" w:hAnsi="宋体"/>
                <w:sz w:val="21"/>
                <w:szCs w:val="21"/>
                <w:lang w:val="en-US" w:eastAsia="zh-CN"/>
              </w:rPr>
              <w:t>5.2万元</w:t>
            </w:r>
          </w:p>
        </w:tc>
        <w:tc>
          <w:tcPr>
            <w:tcW w:w="1554" w:type="dxa"/>
            <w:tcBorders>
              <w:top w:val="single" w:color="auto" w:sz="4" w:space="0"/>
              <w:left w:val="nil"/>
              <w:bottom w:val="single" w:color="auto" w:sz="4" w:space="0"/>
              <w:right w:val="single" w:color="auto" w:sz="4" w:space="0"/>
            </w:tcBorders>
          </w:tcPr>
          <w:p>
            <w:pPr>
              <w:pStyle w:val="11"/>
              <w:rPr>
                <w:rFonts w:hint="eastAsia" w:ascii="宋体" w:hAnsi="宋体" w:eastAsia="宋体" w:cs="宋体"/>
                <w:sz w:val="21"/>
                <w:szCs w:val="21"/>
              </w:rPr>
            </w:pPr>
          </w:p>
        </w:tc>
      </w:tr>
    </w:tbl>
    <w:p>
      <w:pPr>
        <w:numPr>
          <w:ilvl w:val="0"/>
          <w:numId w:val="0"/>
        </w:numPr>
        <w:spacing w:line="460" w:lineRule="exact"/>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四</w:t>
      </w:r>
      <w:r>
        <w:rPr>
          <w:rFonts w:hint="eastAsia" w:ascii="宋体" w:hAnsi="宋体" w:eastAsia="宋体" w:cs="宋体"/>
          <w:b/>
          <w:bCs/>
          <w:kern w:val="2"/>
          <w:sz w:val="21"/>
          <w:szCs w:val="21"/>
          <w:highlight w:val="none"/>
          <w:lang w:val="en-US" w:eastAsia="zh-CN" w:bidi="ar-SA"/>
        </w:rPr>
        <w:t>、详细</w:t>
      </w:r>
      <w:r>
        <w:rPr>
          <w:rFonts w:hint="eastAsia" w:ascii="宋体" w:hAnsi="宋体" w:eastAsia="宋体" w:cs="宋体"/>
          <w:b/>
          <w:bCs/>
          <w:color w:val="auto"/>
          <w:kern w:val="0"/>
          <w:sz w:val="21"/>
          <w:szCs w:val="21"/>
          <w:highlight w:val="none"/>
          <w:shd w:val="clear" w:color="auto" w:fill="FFFFFF"/>
          <w:lang w:val="en-US" w:eastAsia="zh-CN" w:bidi="ar-SA"/>
        </w:rPr>
        <w:t>技术要求、参数及产品资料等：</w:t>
      </w:r>
    </w:p>
    <w:bookmarkEnd w:id="6"/>
    <w:bookmarkEnd w:id="7"/>
    <w:p>
      <w:pPr>
        <w:pStyle w:val="22"/>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b/>
          <w:bCs/>
          <w:sz w:val="21"/>
          <w:szCs w:val="21"/>
          <w:lang w:val="en-US" w:eastAsia="zh-CN"/>
        </w:rPr>
      </w:pPr>
      <w:r>
        <w:rPr>
          <w:rFonts w:hint="eastAsia"/>
          <w:b/>
          <w:bCs/>
          <w:sz w:val="21"/>
          <w:szCs w:val="21"/>
          <w:lang w:val="en-US" w:eastAsia="zh-CN"/>
        </w:rPr>
        <w:t>（一）技术参数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1.具有自动稳压系统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2.微波理疗功能：≤60W</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3.微波手术功能：≤99W</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4.★脉冲微波功能：0.5Hz、1.0Hz等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5.功率显示方式：LED数字显示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6.功率调节方式：防水按键方式调节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7.可触及导体部件及微波辐射器做保护接地连接，属于I类设备；带有B型应用部分（微波辐射器）。理疗辐射器带有活动支臂，能任意调节角度及距离。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8.★通过YY0505国家电磁兼容检测,无屏蔽室、屏蔽罩限制；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9.★采用进口的磁控管</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10.具有过功率和电网电压超限保护功能，若超出预定值，自动切断微波输出并具有声响提示。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11.具有过热失控保护系统，若输出超出预定值，自动切断微波输出。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12.在电源电压波动时，软件自动补偿功率输出值，以维持设定功率不变。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13.适用范围：在医疗机构使用，用于辐射理疗和炎症的凝固治疗</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b/>
          <w:bCs/>
          <w:sz w:val="21"/>
          <w:szCs w:val="21"/>
          <w:lang w:val="en-US" w:eastAsia="zh-CN"/>
        </w:rPr>
      </w:pPr>
      <w:r>
        <w:rPr>
          <w:rFonts w:hint="eastAsia"/>
          <w:b/>
          <w:bCs/>
          <w:sz w:val="21"/>
          <w:szCs w:val="21"/>
          <w:lang w:val="en-US" w:eastAsia="zh-CN"/>
        </w:rPr>
        <w:t>（二）产品资料</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1、提供响应技术参数条款的注册检验报告或相关资料（完整版），并对响应技术参数部分做出明显标注；</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2、需提供响应技术参数条款的技术白皮书和彩页等相关文件，并对响应技术参数部分做出明显标注；</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3、注册证中有附件的提供完整版的附件；</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4、供应商如为代理商的并所投产品如为进口产品的，需提供拟投产品制造商或中国境内办事处或中国总代理经销商针对本项目的授权书。</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bCs/>
          <w:color w:val="auto"/>
          <w:sz w:val="21"/>
          <w:szCs w:val="21"/>
          <w:highlight w:val="none"/>
          <w:lang w:val="en-US" w:eastAsia="zh-CN"/>
        </w:rPr>
        <w:t xml:space="preserve"> 五、售后服务条件及交货日期（或工期）</w:t>
      </w:r>
      <w:r>
        <w:rPr>
          <w:rFonts w:hint="eastAsia"/>
          <w:b/>
          <w:bCs/>
          <w:color w:val="auto"/>
          <w:sz w:val="21"/>
          <w:szCs w:val="21"/>
          <w:highlight w:val="none"/>
        </w:rPr>
        <w:t>：</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1、从产品最终验收合格之日起，整机保修两年，出具相关服务承诺书。2、费用：在保修期内，由于非人为因素货物故障所产生的费用由供应商负责。3、响应：供应商应保证在12小时内对用户提出的问题或故障予以响应及处理。4、供应商应免费提供维护手册、维修手册、软件备份、故障代码表、备件清单、零部件、维修密码等维护维修必需的材料和信息。5、培训：免费提供操作培训和维修培训。6、免费为医院对接院内信息系统。</w:t>
      </w:r>
    </w:p>
    <w:p>
      <w:pPr>
        <w:rPr>
          <w:rFonts w:hint="eastAsia"/>
          <w:b/>
          <w:bCs/>
          <w:color w:val="auto"/>
          <w:sz w:val="30"/>
          <w:szCs w:val="30"/>
          <w:highlight w:val="none"/>
        </w:rPr>
      </w:pPr>
      <w:r>
        <w:rPr>
          <w:rFonts w:hint="eastAsia"/>
          <w:b/>
          <w:bCs/>
          <w:color w:val="auto"/>
          <w:sz w:val="30"/>
          <w:szCs w:val="30"/>
          <w:highlight w:val="none"/>
        </w:rPr>
        <w:br w:type="page"/>
      </w:r>
    </w:p>
    <w:p>
      <w:pPr>
        <w:pageBreakBefore w:val="0"/>
        <w:kinsoku/>
        <w:wordWrap/>
        <w:overflowPunct/>
        <w:topLinePunct w:val="0"/>
        <w:bidi w:val="0"/>
        <w:snapToGrid w:val="0"/>
        <w:spacing w:beforeAutospacing="0" w:afterAutospacing="0" w:line="500" w:lineRule="exact"/>
        <w:jc w:val="center"/>
        <w:textAlignment w:val="auto"/>
        <w:rPr>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合同签订后30日内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70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中标人须提供后期服务保障和技术支持。</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驻马店市中心医院微波治疗仪采购项目</w:t>
            </w:r>
            <w:r>
              <w:rPr>
                <w:rFonts w:hint="eastAsia" w:ascii="宋体" w:hAnsi="宋体" w:eastAsia="宋体" w:cs="宋体"/>
                <w:color w:val="auto"/>
                <w:sz w:val="24"/>
                <w:szCs w:val="24"/>
                <w:highlight w:val="none"/>
                <w:lang w:val="en-US" w:eastAsia="zh-CN"/>
              </w:rPr>
              <w:t>。</w:t>
            </w:r>
          </w:p>
          <w:p>
            <w:pPr>
              <w:widowControl/>
              <w:snapToGrid w:val="0"/>
              <w:spacing w:line="440" w:lineRule="exact"/>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5.2</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 w:val="24"/>
          <w:szCs w:val="24"/>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41"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41"/>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42"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采购需求”技术参数、性能及产品功能等的响应，所投内容全部满足磋商文件要求得30分，加★号一项不满足扣4分，不加★号的一项不满足扣2分，如得分为0，则投标无效。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2.实施方案（10分）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以上措施详细、合理、可行的7-10分；基本详细、基本合理、基本可行的4-6分；基本详细度、合理性差、可行性差的1-3分；缺项得0分。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售后服务承诺内容具体、完善、合理性程度强得11-15分，具体、完善、合理性程度一般得6-10分，具体、完善、合理性程度差得1-5分，缺项得0分。</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947"/>
      <w:bookmarkStart w:id="47" w:name="_Toc1482"/>
      <w:bookmarkStart w:id="48" w:name="_Toc326786897"/>
      <w:bookmarkStart w:id="49" w:name="_Toc256519703"/>
    </w:p>
    <w:p>
      <w:pPr>
        <w:jc w:val="center"/>
        <w:rPr>
          <w:rFonts w:hint="eastAsia" w:ascii="宋体" w:hAnsi="宋体" w:eastAsia="宋体" w:cs="宋体"/>
          <w:b/>
          <w:bCs/>
          <w:color w:val="auto"/>
          <w:kern w:val="44"/>
          <w:sz w:val="28"/>
          <w:szCs w:val="28"/>
          <w:highlight w:val="none"/>
          <w:lang w:val="en-US" w:eastAsia="zh-CN" w:bidi="ar-SA"/>
        </w:rPr>
      </w:pPr>
      <w:bookmarkStart w:id="50" w:name="_Toc28988"/>
      <w:r>
        <w:rPr>
          <w:rFonts w:hint="eastAsia" w:ascii="宋体" w:hAnsi="宋体" w:eastAsia="宋体" w:cs="宋体"/>
          <w:b/>
          <w:bCs/>
          <w:color w:val="auto"/>
          <w:kern w:val="44"/>
          <w:sz w:val="28"/>
          <w:szCs w:val="28"/>
          <w:highlight w:val="none"/>
          <w:lang w:val="en-US" w:eastAsia="zh-CN" w:bidi="ar-SA"/>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2"/>
        <w:rPr>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49"/>
        <w:rPr>
          <w:rFonts w:hAnsi="宋体"/>
          <w:b/>
          <w:bCs/>
          <w:color w:val="auto"/>
          <w:highlight w:val="none"/>
        </w:rPr>
      </w:pPr>
    </w:p>
    <w:p>
      <w:pPr>
        <w:pStyle w:val="49"/>
        <w:rPr>
          <w:rFonts w:hAnsi="宋体"/>
          <w:b/>
          <w:bCs/>
          <w:color w:val="auto"/>
          <w:highlight w:val="none"/>
        </w:rPr>
      </w:pPr>
    </w:p>
    <w:p>
      <w:pPr>
        <w:rPr>
          <w:color w:val="auto"/>
          <w:highlight w:val="none"/>
        </w:rPr>
      </w:pPr>
      <w:r>
        <w:rPr>
          <w:rFonts w:hint="eastAsia"/>
          <w:color w:val="auto"/>
          <w:highlight w:val="none"/>
        </w:rPr>
        <w:br w:type="page"/>
      </w:r>
    </w:p>
    <w:p>
      <w:pPr>
        <w:pStyle w:val="5"/>
        <w:rPr>
          <w:color w:val="auto"/>
          <w:highlight w:val="none"/>
        </w:rPr>
      </w:pPr>
    </w:p>
    <w:p>
      <w:pPr>
        <w:pStyle w:val="2"/>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9"/>
        <w:spacing w:line="360" w:lineRule="auto"/>
        <w:rPr>
          <w:rFonts w:hint="eastAsia" w:ascii="宋体" w:hAnsi="宋体" w:eastAsia="宋体" w:cs="宋体"/>
          <w:color w:val="auto"/>
          <w:highlight w:val="none"/>
        </w:rPr>
      </w:pPr>
    </w:p>
    <w:p>
      <w:pPr>
        <w:pStyle w:val="49"/>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rPr>
          <w:highlight w:val="none"/>
        </w:rPr>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rPr>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lang w:val="en-US" w:eastAsia="zh-CN"/>
      </w:rPr>
    </w:pPr>
    <w:r>
      <w:rPr>
        <w:rFonts w:hint="eastAsia"/>
        <w:lang w:val="en-US" w:eastAsia="zh-CN"/>
      </w:rPr>
      <w:t>驻马店市中心医院微波治疗仪采购项目采购文件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lang w:val="en-US" w:eastAsia="zh-CN"/>
      </w:rPr>
    </w:pPr>
    <w:r>
      <w:rPr>
        <w:rFonts w:hint="eastAsia" w:ascii="宋体" w:hAnsi="宋体" w:cs="宋体"/>
        <w:color w:val="auto"/>
        <w:szCs w:val="21"/>
        <w:highlight w:val="none"/>
        <w:shd w:val="clear" w:color="auto" w:fill="FFFFFF"/>
        <w:lang w:eastAsia="zh-CN"/>
      </w:rPr>
      <w:t>驻马店市中心医院微波治疗仪采购项目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2D25290"/>
    <w:rsid w:val="100D65BF"/>
    <w:rsid w:val="146A4213"/>
    <w:rsid w:val="1A856091"/>
    <w:rsid w:val="23F57CC4"/>
    <w:rsid w:val="350D171A"/>
    <w:rsid w:val="3A137A83"/>
    <w:rsid w:val="3D226758"/>
    <w:rsid w:val="48D10692"/>
    <w:rsid w:val="4C185248"/>
    <w:rsid w:val="5A295181"/>
    <w:rsid w:val="5DD67A13"/>
    <w:rsid w:val="5E742597"/>
    <w:rsid w:val="5F0D70EB"/>
    <w:rsid w:val="62097280"/>
    <w:rsid w:val="65447343"/>
    <w:rsid w:val="707912DA"/>
    <w:rsid w:val="76076E1C"/>
    <w:rsid w:val="77520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4">
    <w:name w:val="Body Text"/>
    <w:basedOn w:val="1"/>
    <w:next w:val="5"/>
    <w:link w:val="74"/>
    <w:qFormat/>
    <w:uiPriority w:val="0"/>
  </w:style>
  <w:style w:type="paragraph" w:styleId="5">
    <w:name w:val="Body Text 2"/>
    <w:basedOn w:val="1"/>
    <w:next w:val="4"/>
    <w:qFormat/>
    <w:uiPriority w:val="0"/>
    <w:pPr>
      <w:spacing w:line="480" w:lineRule="auto"/>
    </w:p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qFormat/>
    <w:uiPriority w:val="0"/>
    <w:pPr>
      <w:ind w:firstLine="420" w:firstLineChars="200"/>
    </w:pPr>
  </w:style>
  <w:style w:type="paragraph" w:styleId="11">
    <w:name w:val="Body Text Indent"/>
    <w:basedOn w:val="1"/>
    <w:next w:val="12"/>
    <w:qFormat/>
    <w:uiPriority w:val="0"/>
    <w:pPr>
      <w:widowControl/>
      <w:spacing w:beforeAutospacing="1" w:afterAutospacing="1"/>
      <w:jc w:val="left"/>
    </w:pPr>
    <w:rPr>
      <w:rFonts w:ascii="宋体" w:hAnsi="宋体" w:cs="宋体"/>
      <w:kern w:val="0"/>
      <w:sz w:val="24"/>
    </w:rPr>
  </w:style>
  <w:style w:type="paragraph" w:customStyle="1" w:styleId="12">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3">
    <w:name w:val="Document Map"/>
    <w:basedOn w:val="1"/>
    <w:link w:val="76"/>
    <w:qFormat/>
    <w:uiPriority w:val="0"/>
    <w:rPr>
      <w:rFonts w:ascii="宋体" w:hAnsi="Calibri"/>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envelope return"/>
    <w:basedOn w:val="1"/>
    <w:unhideWhenUsed/>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4"/>
    <w:next w:val="1"/>
    <w:qFormat/>
    <w:uiPriority w:val="0"/>
  </w:style>
  <w:style w:type="paragraph" w:styleId="27">
    <w:name w:val="List"/>
    <w:basedOn w:val="1"/>
    <w:qFormat/>
    <w:uiPriority w:val="0"/>
    <w:pPr>
      <w:ind w:left="200" w:hanging="200" w:hangingChars="200"/>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4"/>
    <w:next w:val="10"/>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Default"/>
    <w:next w:val="50"/>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qFormat/>
    <w:uiPriority w:val="0"/>
    <w:pPr>
      <w:jc w:val="center"/>
    </w:pPr>
    <w:rPr>
      <w:rFonts w:ascii="Arial" w:hAnsi="Arial"/>
      <w:b/>
      <w:sz w:val="28"/>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customStyle="1"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5"/>
    <w:link w:val="4"/>
    <w:qFormat/>
    <w:uiPriority w:val="0"/>
  </w:style>
  <w:style w:type="character" w:customStyle="1" w:styleId="75">
    <w:name w:val="apple-converted-space"/>
    <w:basedOn w:val="35"/>
    <w:qFormat/>
    <w:uiPriority w:val="0"/>
  </w:style>
  <w:style w:type="character" w:customStyle="1" w:styleId="76">
    <w:name w:val="文档结构图 Char"/>
    <w:link w:val="13"/>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basedOn w:val="35"/>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4"/>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customStyle="1" w:styleId="88">
    <w:name w:val="List Paragraph"/>
    <w:basedOn w:val="1"/>
    <w:qFormat/>
    <w:uiPriority w:val="34"/>
    <w:pPr>
      <w:ind w:firstLine="420" w:firstLineChars="200"/>
    </w:pPr>
  </w:style>
  <w:style w:type="character" w:customStyle="1" w:styleId="89">
    <w:name w:val="hover18"/>
    <w:basedOn w:val="35"/>
    <w:qFormat/>
    <w:uiPriority w:val="0"/>
  </w:style>
  <w:style w:type="character" w:customStyle="1" w:styleId="90">
    <w:name w:val="font41"/>
    <w:basedOn w:val="35"/>
    <w:qFormat/>
    <w:uiPriority w:val="0"/>
    <w:rPr>
      <w:rFonts w:hint="eastAsia" w:ascii="宋体" w:hAnsi="宋体" w:eastAsia="宋体" w:cs="宋体"/>
      <w:color w:val="000000"/>
      <w:sz w:val="21"/>
      <w:szCs w:val="21"/>
      <w:u w:val="none"/>
    </w:rPr>
  </w:style>
  <w:style w:type="character" w:customStyle="1" w:styleId="91">
    <w:name w:val="font51"/>
    <w:basedOn w:val="35"/>
    <w:qFormat/>
    <w:uiPriority w:val="0"/>
    <w:rPr>
      <w:rFonts w:hint="eastAsia" w:ascii="宋体" w:hAnsi="宋体" w:eastAsia="宋体" w:cs="宋体"/>
      <w:b/>
      <w:color w:val="000000"/>
      <w:sz w:val="21"/>
      <w:szCs w:val="21"/>
      <w:u w:val="none"/>
    </w:rPr>
  </w:style>
  <w:style w:type="character" w:customStyle="1" w:styleId="92">
    <w:name w:val="font31"/>
    <w:basedOn w:val="35"/>
    <w:qFormat/>
    <w:uiPriority w:val="0"/>
    <w:rPr>
      <w:rFonts w:hint="eastAsia" w:ascii="宋体" w:hAnsi="宋体" w:eastAsia="宋体" w:cs="宋体"/>
      <w:color w:val="000000"/>
      <w:sz w:val="20"/>
      <w:szCs w:val="20"/>
      <w:u w:val="none"/>
    </w:rPr>
  </w:style>
  <w:style w:type="character" w:customStyle="1" w:styleId="93">
    <w:name w:val="font11"/>
    <w:basedOn w:val="35"/>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15152</Words>
  <Characters>15875</Characters>
  <Lines>50</Lines>
  <Paragraphs>68</Paragraphs>
  <TotalTime>2</TotalTime>
  <ScaleCrop>false</ScaleCrop>
  <LinksUpToDate>false</LinksUpToDate>
  <CharactersWithSpaces>16835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2023-07-17T07:17:32Z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D753B99F23C34F7196CC3841D7C44AA1_13</vt:lpwstr>
  </property>
  <property fmtid="{D5CDD505-2E9C-101B-9397-08002B2CF9AE}" pid="4" name="commondata">
    <vt:lpwstr>eyJoZGlkIjoiYzIwMjRmYTY4OTJhZjc1NTA1MGQwNDc0NzZhNTkwMmUifQ==</vt:lpwstr>
  </property>
</Properties>
</file>