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20"/>
        <w:bidi w:val="0"/>
        <w:jc w:val="center"/>
        <w:rPr>
          <w:rStyle w:val="42"/>
          <w:rFonts w:hint="eastAsia" w:ascii="宋体" w:hAnsi="宋体" w:eastAsia="宋体" w:cs="宋体"/>
          <w:b/>
          <w:bCs/>
          <w:color w:val="auto"/>
          <w:sz w:val="48"/>
          <w:szCs w:val="48"/>
          <w:lang w:eastAsia="zh-CN"/>
        </w:rPr>
      </w:pPr>
      <w:r>
        <w:rPr>
          <w:rStyle w:val="42"/>
          <w:rFonts w:hint="eastAsia" w:cs="宋体"/>
          <w:b/>
          <w:bCs/>
          <w:color w:val="auto"/>
          <w:sz w:val="48"/>
          <w:szCs w:val="48"/>
          <w:lang w:eastAsia="zh-CN"/>
        </w:rPr>
        <w:t>驻马店市中心医院五号楼一层和二层室内装修改造工程</w:t>
      </w:r>
    </w:p>
    <w:p>
      <w:pPr>
        <w:pStyle w:val="20"/>
        <w:bidi w:val="0"/>
        <w:jc w:val="center"/>
        <w:rPr>
          <w:rStyle w:val="42"/>
          <w:rFonts w:hint="eastAsia" w:ascii="宋体" w:hAnsi="宋体" w:eastAsia="宋体" w:cs="宋体"/>
          <w:b/>
          <w:bCs/>
          <w:color w:val="auto"/>
          <w:sz w:val="48"/>
          <w:szCs w:val="48"/>
        </w:rPr>
      </w:pPr>
    </w:p>
    <w:p>
      <w:pPr>
        <w:pStyle w:val="20"/>
        <w:bidi w:val="0"/>
        <w:jc w:val="center"/>
        <w:rPr>
          <w:rStyle w:val="42"/>
          <w:rFonts w:hint="eastAsia" w:ascii="宋体" w:hAnsi="宋体" w:eastAsia="宋体" w:cs="宋体"/>
          <w:b/>
          <w:bCs/>
          <w:color w:val="auto"/>
          <w:sz w:val="48"/>
          <w:szCs w:val="48"/>
        </w:rPr>
      </w:pPr>
    </w:p>
    <w:p>
      <w:pPr>
        <w:pStyle w:val="20"/>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w:t>
      </w:r>
      <w:r>
        <w:rPr>
          <w:rFonts w:hint="eastAsia" w:ascii="宋体" w:hAnsi="宋体" w:cs="宋体"/>
          <w:b/>
          <w:bCs/>
          <w:color w:val="auto"/>
          <w:spacing w:val="40"/>
          <w:sz w:val="34"/>
          <w:szCs w:val="34"/>
          <w:lang w:val="en-US" w:eastAsia="zh-CN"/>
        </w:rPr>
        <w:t>3</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6</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招标公告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黑体" w:hAnsi="黑体" w:eastAsia="黑体" w:cs="黑体"/>
          <w:b/>
          <w:color w:val="auto"/>
          <w:sz w:val="32"/>
          <w:szCs w:val="32"/>
          <w:highlight w:val="none"/>
        </w:rPr>
      </w:pPr>
      <w:bookmarkStart w:id="2" w:name="_Toc9075"/>
      <w:r>
        <w:rPr>
          <w:rFonts w:hint="eastAsia" w:ascii="黑体" w:hAnsi="黑体" w:eastAsia="黑体" w:cs="黑体"/>
          <w:b/>
          <w:color w:val="auto"/>
          <w:sz w:val="32"/>
          <w:szCs w:val="32"/>
          <w:highlight w:val="none"/>
        </w:rPr>
        <w:t xml:space="preserve">第一章  </w:t>
      </w:r>
      <w:r>
        <w:rPr>
          <w:rFonts w:hint="eastAsia" w:ascii="黑体" w:hAnsi="黑体" w:eastAsia="黑体" w:cs="黑体"/>
          <w:b/>
          <w:color w:val="auto"/>
          <w:sz w:val="32"/>
          <w:szCs w:val="32"/>
          <w:highlight w:val="none"/>
          <w:lang w:val="en-US" w:eastAsia="zh-CN"/>
        </w:rPr>
        <w:t>竞争性磋商采购</w:t>
      </w:r>
      <w:r>
        <w:rPr>
          <w:rFonts w:hint="eastAsia" w:ascii="黑体" w:hAnsi="黑体" w:eastAsia="黑体" w:cs="黑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驻马店市中心医院五号楼一层和二层室内装修改造工程竞争性磋商</w:t>
      </w:r>
      <w:r>
        <w:rPr>
          <w:rFonts w:hint="eastAsia" w:ascii="黑体" w:hAnsi="黑体" w:eastAsia="黑体" w:cs="宋体"/>
          <w:bCs/>
          <w:color w:val="auto"/>
          <w:kern w:val="0"/>
          <w:sz w:val="28"/>
          <w:szCs w:val="28"/>
        </w:rPr>
        <w:t>公告</w:t>
      </w:r>
    </w:p>
    <w:p>
      <w:pPr>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eastAsia="zh-CN"/>
        </w:rPr>
        <w:t>五号楼一层和二层室内装修改造工程</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驻马店市中心医院五号楼一层和二层室内装修改造工程</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24.3万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cs="宋体"/>
          <w:bCs/>
          <w:color w:val="auto"/>
          <w:szCs w:val="21"/>
          <w:highlight w:val="none"/>
          <w:shd w:val="clear" w:color="auto" w:fill="FFFFFF"/>
          <w:lang w:val="en-US" w:eastAsia="zh-CN"/>
        </w:rPr>
        <w:t>30</w:t>
      </w:r>
      <w:r>
        <w:rPr>
          <w:rFonts w:hint="eastAsia" w:ascii="宋体" w:hAnsi="宋体" w:eastAsia="宋体" w:cs="宋体"/>
          <w:bCs/>
          <w:color w:val="auto"/>
          <w:szCs w:val="21"/>
          <w:highlight w:val="none"/>
          <w:shd w:val="clear" w:color="auto" w:fill="FFFFFF"/>
        </w:rPr>
        <w:t>天</w:t>
      </w:r>
      <w:r>
        <w:rPr>
          <w:rFonts w:hint="eastAsia" w:ascii="宋体" w:hAnsi="宋体" w:eastAsia="宋体" w:cs="宋体"/>
          <w:color w:val="auto"/>
          <w:szCs w:val="21"/>
          <w:highlight w:val="none"/>
          <w:shd w:val="clear" w:color="auto" w:fill="FFFFFF"/>
          <w:lang w:val="en-US"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4" w:name="_Toc16639"/>
      <w:bookmarkStart w:id="5" w:name="_Toc18607"/>
      <w:bookmarkStart w:id="6" w:name="_Toc23626"/>
      <w:bookmarkStart w:id="7"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ageBreakBefore w:val="0"/>
        <w:widowControl w:val="0"/>
        <w:kinsoku/>
        <w:overflowPunct/>
        <w:topLinePunct w:val="0"/>
        <w:autoSpaceDE w:val="0"/>
        <w:autoSpaceDN w:val="0"/>
        <w:bidi w:val="0"/>
        <w:adjustRightInd w:val="0"/>
        <w:snapToGrid w:val="0"/>
        <w:spacing w:after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w:t>
      </w:r>
      <w:r>
        <w:rPr>
          <w:rFonts w:hint="eastAsia" w:ascii="宋体" w:hAnsi="宋体" w:cs="宋体"/>
          <w:color w:val="auto"/>
          <w:kern w:val="2"/>
          <w:sz w:val="21"/>
          <w:szCs w:val="24"/>
          <w:lang w:val="en-US" w:eastAsia="zh-CN" w:bidi="ar-SA"/>
        </w:rPr>
        <w:t>2021或2022</w:t>
      </w:r>
      <w:r>
        <w:rPr>
          <w:rFonts w:hint="eastAsia" w:ascii="宋体" w:hAnsi="宋体" w:eastAsia="宋体" w:cs="宋体"/>
          <w:color w:val="auto"/>
          <w:kern w:val="2"/>
          <w:sz w:val="21"/>
          <w:szCs w:val="24"/>
          <w:lang w:val="en-US" w:eastAsia="zh-CN" w:bidi="ar-SA"/>
        </w:rPr>
        <w:t>年度经审计的财务报告或者其基本开户银行出具的资信证明；采购活动前近三个月内或上个季度</w:t>
      </w:r>
      <w:r>
        <w:rPr>
          <w:rFonts w:hint="eastAsia" w:ascii="宋体" w:hAnsi="宋体" w:cs="宋体"/>
          <w:color w:val="auto"/>
          <w:kern w:val="2"/>
          <w:sz w:val="21"/>
          <w:szCs w:val="24"/>
          <w:lang w:val="en-US" w:eastAsia="zh-CN" w:bidi="ar-SA"/>
        </w:rPr>
        <w:t>任一个月</w:t>
      </w:r>
      <w:r>
        <w:rPr>
          <w:rFonts w:hint="eastAsia" w:ascii="宋体" w:hAnsi="宋体" w:eastAsia="宋体" w:cs="宋体"/>
          <w:color w:val="auto"/>
          <w:kern w:val="2"/>
          <w:sz w:val="21"/>
          <w:szCs w:val="24"/>
          <w:lang w:val="en-US" w:eastAsia="zh-CN" w:bidi="ar-SA"/>
        </w:rPr>
        <w:t>依法缴纳税收的凭据和缴纳社会保险的凭据；依法免税或不需要缴纳社会保障资金的供应商，应提供相应文件证明其依法免税或不需要缴纳社会保障资金。（新成立企业从成立之日起计算）；</w:t>
      </w:r>
    </w:p>
    <w:p>
      <w:pPr>
        <w:pageBreakBefore w:val="0"/>
        <w:widowControl w:val="0"/>
        <w:kinsoku/>
        <w:overflowPunct/>
        <w:topLinePunct w:val="0"/>
        <w:autoSpaceDE w:val="0"/>
        <w:autoSpaceDN w:val="0"/>
        <w:bidi w:val="0"/>
        <w:adjustRightInd w:val="0"/>
        <w:snapToGrid w:val="0"/>
        <w:spacing w:before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、符合法律、行政法规规定的其他条件；</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olor w:val="auto"/>
          <w:lang w:val="en-US" w:eastAsia="zh-CN"/>
        </w:rPr>
      </w:pPr>
      <w:r>
        <w:rPr>
          <w:rFonts w:hint="eastAsia" w:ascii="宋体" w:hAnsi="宋体" w:cs="宋体"/>
          <w:color w:val="auto"/>
          <w:lang w:val="en-US" w:eastAsia="zh-CN"/>
        </w:rPr>
        <w:t>7</w:t>
      </w:r>
      <w:r>
        <w:rPr>
          <w:rFonts w:hint="eastAsia" w:ascii="宋体" w:hAnsi="宋体" w:eastAsia="宋体" w:cs="宋体"/>
          <w:color w:val="auto"/>
          <w:lang w:val="en-US" w:eastAsia="zh-CN"/>
        </w:rPr>
        <w:t>、</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8" w:name="_Toc9562"/>
      <w:bookmarkStart w:id="9" w:name="_Toc23395"/>
      <w:bookmarkStart w:id="10" w:name="_Toc30971"/>
      <w:bookmarkStart w:id="11" w:name="_Toc30643"/>
      <w:bookmarkStart w:id="12" w:name="_Toc7823"/>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highlight w:val="none"/>
          <w:shd w:val="clear" w:color="auto" w:fill="FFFFFF"/>
        </w:rPr>
        <w:t>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 xml:space="preserve"> 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 xml:space="preserve">7 </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14</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2</w:t>
      </w:r>
      <w:r>
        <w:rPr>
          <w:rFonts w:hint="eastAsia" w:ascii="宋体" w:hAnsi="宋体" w:eastAsia="宋体" w:cs="宋体"/>
          <w:color w:val="auto"/>
          <w:szCs w:val="21"/>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lang w:val="en-US" w:eastAsia="zh-CN" w:bidi="ar-SA"/>
        </w:rPr>
      </w:pPr>
      <w:bookmarkStart w:id="13" w:name="_Toc15111"/>
      <w:bookmarkStart w:id="14" w:name="_Toc25869"/>
      <w:bookmarkStart w:id="15" w:name="_Toc10738"/>
      <w:bookmarkStart w:id="16" w:name="_Toc15135"/>
      <w:bookmarkStart w:id="17" w:name="_Toc27480"/>
      <w:r>
        <w:rPr>
          <w:rFonts w:hint="eastAsia" w:ascii="宋体" w:hAnsi="宋体" w:eastAsia="宋体" w:cs="宋体"/>
          <w:color w:val="auto"/>
          <w:kern w:val="0"/>
          <w:sz w:val="21"/>
          <w:szCs w:val="21"/>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cs="宋体"/>
          <w:color w:val="auto"/>
          <w:kern w:val="0"/>
          <w:sz w:val="21"/>
          <w:szCs w:val="21"/>
          <w:shd w:val="clear" w:color="auto" w:fill="FFFFFF"/>
          <w:lang w:val="en-US" w:eastAsia="zh-CN" w:bidi="ar-SA"/>
        </w:rPr>
        <w:t>公司</w:t>
      </w:r>
      <w:r>
        <w:rPr>
          <w:rFonts w:hint="eastAsia" w:ascii="宋体" w:hAnsi="宋体" w:eastAsia="宋体" w:cs="宋体"/>
          <w:color w:val="auto"/>
          <w:kern w:val="0"/>
          <w:sz w:val="21"/>
          <w:szCs w:val="21"/>
          <w:shd w:val="clear" w:color="auto" w:fill="FFFFFF"/>
          <w:lang w:val="en-US" w:eastAsia="zh-CN" w:bidi="ar-SA"/>
        </w:rPr>
        <w:t>XX项目报名资料；审核通过后按要求交纳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bookmarkEnd w:id="13"/>
    <w:bookmarkEnd w:id="14"/>
    <w:bookmarkEnd w:id="15"/>
    <w:bookmarkEnd w:id="16"/>
    <w:bookmarkEnd w:id="17"/>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27370"/>
      <w:bookmarkStart w:id="27" w:name="_Toc31928"/>
      <w:bookmarkStart w:id="28" w:name="_Toc16291"/>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联系电话：</w:t>
      </w:r>
      <w:r>
        <w:rPr>
          <w:rFonts w:hint="eastAsia" w:ascii="宋体" w:hAnsi="宋体" w:eastAsia="宋体" w:cs="宋体"/>
          <w:color w:val="auto"/>
          <w:sz w:val="21"/>
          <w:szCs w:val="21"/>
          <w:highlight w:val="none"/>
          <w:shd w:val="clear" w:color="auto" w:fill="auto"/>
          <w:lang w:val="en-US" w:eastAsia="zh-CN"/>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联系邮箱：</w:t>
      </w:r>
      <w:r>
        <w:rPr>
          <w:rFonts w:hint="eastAsia" w:ascii="宋体" w:hAnsi="宋体" w:eastAsia="宋体" w:cs="宋体"/>
          <w:color w:val="auto"/>
          <w:sz w:val="21"/>
          <w:szCs w:val="21"/>
          <w:highlight w:val="none"/>
          <w:shd w:val="clear" w:color="auto" w:fill="auto"/>
          <w:lang w:val="en-US" w:eastAsia="zh-CN"/>
        </w:rPr>
        <w:fldChar w:fldCharType="begin"/>
      </w:r>
      <w:r>
        <w:rPr>
          <w:rFonts w:hint="eastAsia" w:ascii="宋体" w:hAnsi="宋体" w:eastAsia="宋体" w:cs="宋体"/>
          <w:color w:val="auto"/>
          <w:sz w:val="21"/>
          <w:szCs w:val="21"/>
          <w:highlight w:val="none"/>
          <w:shd w:val="clear" w:color="auto" w:fill="auto"/>
          <w:lang w:val="en-US" w:eastAsia="zh-CN"/>
        </w:rPr>
        <w:instrText xml:space="preserve"> HYPERLINK "mailto:zxyyjzcgbgs@163.com" </w:instrText>
      </w:r>
      <w:r>
        <w:rPr>
          <w:rFonts w:hint="eastAsia" w:ascii="宋体" w:hAnsi="宋体" w:eastAsia="宋体" w:cs="宋体"/>
          <w:color w:val="auto"/>
          <w:sz w:val="21"/>
          <w:szCs w:val="21"/>
          <w:highlight w:val="none"/>
          <w:shd w:val="clear" w:color="auto" w:fill="auto"/>
          <w:lang w:val="en-US" w:eastAsia="zh-CN"/>
        </w:rPr>
        <w:fldChar w:fldCharType="separate"/>
      </w:r>
      <w:r>
        <w:rPr>
          <w:rFonts w:hint="eastAsia" w:ascii="宋体" w:hAnsi="宋体" w:eastAsia="宋体" w:cs="宋体"/>
          <w:color w:val="auto"/>
          <w:sz w:val="21"/>
          <w:szCs w:val="21"/>
          <w:highlight w:val="none"/>
          <w:shd w:val="clear" w:color="auto" w:fill="auto"/>
          <w:lang w:val="en-US" w:eastAsia="zh-CN"/>
        </w:rPr>
        <w:t>zxyyjzcgbgs@163.com</w:t>
      </w:r>
      <w:r>
        <w:rPr>
          <w:rFonts w:hint="eastAsia" w:ascii="宋体" w:hAnsi="宋体" w:eastAsia="宋体" w:cs="宋体"/>
          <w:color w:val="auto"/>
          <w:sz w:val="21"/>
          <w:szCs w:val="21"/>
          <w:highlight w:val="none"/>
          <w:shd w:val="clear" w:color="auto" w:fill="auto"/>
          <w:lang w:val="en-US" w:eastAsia="zh-CN"/>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监督电话：0396-2726678</w:t>
      </w:r>
    </w:p>
    <w:p>
      <w:pPr>
        <w:pageBreakBefore w:val="0"/>
        <w:widowControl/>
        <w:kinsoku/>
        <w:overflowPunct/>
        <w:topLinePunct w:val="0"/>
        <w:bidi w:val="0"/>
        <w:snapToGrid w:val="0"/>
        <w:spacing w:before="0" w:beforeAutospacing="0" w:after="0" w:afterAutospacing="0" w:line="500" w:lineRule="exact"/>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驻马店市中心医院采购科</w:t>
      </w:r>
    </w:p>
    <w:p>
      <w:pPr>
        <w:pStyle w:val="28"/>
        <w:pageBreakBefore w:val="0"/>
        <w:widowControl/>
        <w:kinsoku/>
        <w:overflowPunct/>
        <w:topLinePunct w:val="0"/>
        <w:bidi w:val="0"/>
        <w:snapToGrid w:val="0"/>
        <w:spacing w:before="0" w:beforeAutospacing="0" w:after="0" w:afterAutospacing="0" w:line="500" w:lineRule="exact"/>
        <w:ind w:firstLine="420" w:firstLineChars="200"/>
        <w:jc w:val="center"/>
        <w:textAlignment w:val="auto"/>
        <w:rPr>
          <w:rFonts w:ascii="宋体" w:hAnsi="宋体" w:cs="宋体"/>
          <w:color w:val="FF0000"/>
          <w:sz w:val="21"/>
          <w:szCs w:val="21"/>
          <w:highlight w:val="none"/>
          <w:shd w:val="clear" w:color="auto" w:fill="FFFFFF"/>
        </w:rPr>
      </w:pPr>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3</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7</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11</w:t>
      </w:r>
      <w:bookmarkStart w:id="79" w:name="_GoBack"/>
      <w:bookmarkEnd w:id="79"/>
      <w:r>
        <w:rPr>
          <w:rFonts w:hint="eastAsia" w:ascii="宋体" w:hAnsi="宋体" w:eastAsia="宋体" w:cs="宋体"/>
          <w:color w:val="FF0000"/>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3793"/>
      <w:bookmarkStart w:id="31" w:name="_Toc29890"/>
      <w:r>
        <w:rPr>
          <w:rFonts w:hint="eastAsia" w:ascii="宋体" w:hAnsi="宋体"/>
          <w:b/>
          <w:color w:val="auto"/>
          <w:sz w:val="32"/>
          <w:szCs w:val="32"/>
          <w:highlight w:val="none"/>
        </w:rPr>
        <w:br w:type="page"/>
      </w:r>
    </w:p>
    <w:p>
      <w:pPr>
        <w:spacing w:line="360" w:lineRule="auto"/>
        <w:jc w:val="center"/>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 xml:space="preserve">第二章  </w:t>
      </w:r>
      <w:r>
        <w:rPr>
          <w:rFonts w:hint="eastAsia" w:ascii="黑体" w:hAnsi="黑体" w:eastAsia="黑体" w:cs="黑体"/>
          <w:b/>
          <w:color w:val="auto"/>
          <w:sz w:val="32"/>
          <w:szCs w:val="32"/>
          <w:highlight w:val="none"/>
          <w:lang w:eastAsia="zh-CN"/>
        </w:rPr>
        <w:t>采购</w:t>
      </w:r>
      <w:r>
        <w:rPr>
          <w:rFonts w:hint="eastAsia" w:ascii="黑体" w:hAnsi="黑体" w:eastAsia="黑体" w:cs="黑体"/>
          <w:b/>
          <w:color w:val="auto"/>
          <w:sz w:val="32"/>
          <w:szCs w:val="32"/>
          <w:highlight w:val="none"/>
        </w:rPr>
        <w:t>需求</w:t>
      </w:r>
      <w:bookmarkEnd w:id="29"/>
      <w:bookmarkStart w:id="32" w:name="_Toc31536"/>
      <w:bookmarkStart w:id="33" w:name="_Toc23610"/>
      <w:bookmarkStart w:id="34" w:name="_Toc9989"/>
    </w:p>
    <w:bookmarkEnd w:id="32"/>
    <w:bookmarkEnd w:id="33"/>
    <w:bookmarkEnd w:id="34"/>
    <w:p>
      <w:pPr>
        <w:pageBreakBefore w:val="0"/>
        <w:widowControl/>
        <w:shd w:val="clear" w:color="auto"/>
        <w:kinsoku/>
        <w:wordWrap/>
        <w:overflowPunct/>
        <w:topLinePunct w:val="0"/>
        <w:bidi w:val="0"/>
        <w:spacing w:beforeAutospacing="0" w:afterAutospacing="0" w:line="500" w:lineRule="exact"/>
        <w:jc w:val="left"/>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一、项目名称、数量：</w:t>
      </w:r>
      <w:r>
        <w:rPr>
          <w:rFonts w:hint="eastAsia" w:ascii="宋体" w:hAnsi="宋体" w:cs="宋体"/>
          <w:b w:val="0"/>
          <w:bCs w:val="0"/>
          <w:color w:val="000000"/>
          <w:kern w:val="0"/>
          <w:sz w:val="21"/>
          <w:szCs w:val="21"/>
          <w:highlight w:val="none"/>
          <w:lang w:val="en-US" w:eastAsia="zh-CN"/>
        </w:rPr>
        <w:t>驻马店市中心医院五号楼一层和二层室内装修改造工程</w:t>
      </w:r>
      <w:r>
        <w:rPr>
          <w:rFonts w:hint="eastAsia" w:ascii="宋体" w:hAnsi="宋体" w:eastAsia="宋体" w:cs="宋体"/>
          <w:b w:val="0"/>
          <w:bCs w:val="0"/>
          <w:color w:val="000000"/>
          <w:kern w:val="0"/>
          <w:sz w:val="21"/>
          <w:szCs w:val="21"/>
          <w:highlight w:val="none"/>
          <w:lang w:val="en-US" w:eastAsia="zh-CN"/>
        </w:rPr>
        <w:t>；</w:t>
      </w:r>
    </w:p>
    <w:p>
      <w:pPr>
        <w:numPr>
          <w:ilvl w:val="0"/>
          <w:numId w:val="0"/>
        </w:numPr>
        <w:autoSpaceDE w:val="0"/>
        <w:autoSpaceDN w:val="0"/>
        <w:adjustRightInd w:val="0"/>
        <w:snapToGrid w:val="0"/>
        <w:spacing w:line="500" w:lineRule="exact"/>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numPr>
          <w:ilvl w:val="0"/>
          <w:numId w:val="0"/>
        </w:numPr>
        <w:autoSpaceDE w:val="0"/>
        <w:autoSpaceDN w:val="0"/>
        <w:adjustRightInd w:val="0"/>
        <w:snapToGrid w:val="0"/>
        <w:spacing w:line="500" w:lineRule="exact"/>
        <w:jc w:val="left"/>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lang w:val="en-US" w:eastAsia="zh-CN"/>
        </w:rPr>
        <w:t>二</w:t>
      </w:r>
      <w:r>
        <w:rPr>
          <w:rFonts w:hint="eastAsia" w:ascii="Times New Roman" w:hAnsi="Times New Roman" w:eastAsia="宋体" w:cs="Times New Roman"/>
          <w:b/>
          <w:bCs/>
          <w:color w:val="auto"/>
          <w:sz w:val="21"/>
          <w:szCs w:val="21"/>
        </w:rPr>
        <w:t>、</w:t>
      </w:r>
      <w:r>
        <w:rPr>
          <w:rFonts w:hint="eastAsia" w:cs="Times New Roman"/>
          <w:b/>
          <w:bCs/>
          <w:color w:val="auto"/>
          <w:sz w:val="21"/>
          <w:szCs w:val="21"/>
          <w:lang w:val="en-US" w:eastAsia="zh-CN"/>
        </w:rPr>
        <w:t>采购项目清单</w:t>
      </w:r>
      <w:r>
        <w:rPr>
          <w:rFonts w:hint="eastAsia" w:ascii="Times New Roman" w:hAnsi="Times New Roman" w:eastAsia="宋体" w:cs="Times New Roman"/>
          <w:b/>
          <w:bCs/>
          <w:color w:val="auto"/>
          <w:sz w:val="21"/>
          <w:szCs w:val="21"/>
        </w:rPr>
        <w:t>：</w:t>
      </w:r>
    </w:p>
    <w:tbl>
      <w:tblPr>
        <w:tblStyle w:val="31"/>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3357"/>
        <w:gridCol w:w="1875"/>
        <w:gridCol w:w="1710"/>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133" w:type="dxa"/>
            <w:tcBorders>
              <w:bottom w:val="single" w:color="auto" w:sz="4" w:space="0"/>
              <w:right w:val="single" w:color="auto" w:sz="4" w:space="0"/>
            </w:tcBorders>
            <w:vAlign w:val="center"/>
          </w:tcPr>
          <w:p>
            <w:pPr>
              <w:pStyle w:val="10"/>
              <w:ind w:left="0" w:leftChars="0"/>
              <w:jc w:val="center"/>
              <w:rPr>
                <w:rFonts w:hint="eastAsia" w:ascii="宋体" w:hAnsi="宋体"/>
                <w:b/>
                <w:bCs/>
                <w:color w:val="auto"/>
                <w:sz w:val="21"/>
                <w:szCs w:val="21"/>
              </w:rPr>
            </w:pPr>
            <w:r>
              <w:rPr>
                <w:rFonts w:hint="eastAsia" w:ascii="宋体" w:hAnsi="宋体"/>
                <w:b/>
                <w:bCs/>
                <w:color w:val="auto"/>
                <w:sz w:val="21"/>
                <w:szCs w:val="21"/>
              </w:rPr>
              <w:t>序号</w:t>
            </w:r>
          </w:p>
        </w:tc>
        <w:tc>
          <w:tcPr>
            <w:tcW w:w="3357" w:type="dxa"/>
            <w:tcBorders>
              <w:left w:val="nil"/>
              <w:bottom w:val="single" w:color="auto" w:sz="4" w:space="0"/>
              <w:right w:val="single" w:color="auto" w:sz="4" w:space="0"/>
            </w:tcBorders>
            <w:vAlign w:val="center"/>
          </w:tcPr>
          <w:p>
            <w:pPr>
              <w:pStyle w:val="10"/>
              <w:ind w:left="0" w:leftChars="0"/>
              <w:jc w:val="center"/>
              <w:rPr>
                <w:rFonts w:hint="eastAsia" w:ascii="宋体" w:hAnsi="宋体"/>
                <w:b/>
                <w:bCs/>
                <w:color w:val="auto"/>
                <w:sz w:val="21"/>
                <w:szCs w:val="21"/>
              </w:rPr>
            </w:pPr>
            <w:r>
              <w:rPr>
                <w:rFonts w:hint="eastAsia" w:ascii="宋体" w:hAnsi="宋体"/>
                <w:b/>
                <w:bCs/>
                <w:color w:val="auto"/>
                <w:sz w:val="21"/>
                <w:szCs w:val="21"/>
              </w:rPr>
              <w:t>项目名称</w:t>
            </w:r>
          </w:p>
        </w:tc>
        <w:tc>
          <w:tcPr>
            <w:tcW w:w="1875" w:type="dxa"/>
            <w:tcBorders>
              <w:left w:val="nil"/>
              <w:bottom w:val="single" w:color="auto" w:sz="4" w:space="0"/>
              <w:right w:val="single" w:color="auto" w:sz="4" w:space="0"/>
            </w:tcBorders>
            <w:vAlign w:val="center"/>
          </w:tcPr>
          <w:p>
            <w:pPr>
              <w:pStyle w:val="10"/>
              <w:ind w:left="0" w:leftChars="0"/>
              <w:jc w:val="center"/>
              <w:rPr>
                <w:rFonts w:hint="eastAsia" w:ascii="宋体" w:hAnsi="宋体"/>
                <w:b/>
                <w:bCs/>
                <w:color w:val="auto"/>
                <w:sz w:val="21"/>
                <w:szCs w:val="21"/>
              </w:rPr>
            </w:pPr>
            <w:r>
              <w:rPr>
                <w:rFonts w:hint="eastAsia" w:ascii="宋体" w:hAnsi="宋体"/>
                <w:b/>
                <w:bCs/>
                <w:color w:val="auto"/>
                <w:sz w:val="21"/>
                <w:szCs w:val="21"/>
              </w:rPr>
              <w:t>数量或规模</w:t>
            </w:r>
          </w:p>
        </w:tc>
        <w:tc>
          <w:tcPr>
            <w:tcW w:w="1710" w:type="dxa"/>
            <w:tcBorders>
              <w:left w:val="nil"/>
              <w:bottom w:val="single" w:color="auto" w:sz="4" w:space="0"/>
            </w:tcBorders>
            <w:vAlign w:val="center"/>
          </w:tcPr>
          <w:p>
            <w:pPr>
              <w:pStyle w:val="10"/>
              <w:ind w:left="0" w:leftChars="0"/>
              <w:jc w:val="center"/>
              <w:rPr>
                <w:rFonts w:hint="eastAsia" w:ascii="宋体" w:hAnsi="宋体"/>
                <w:b/>
                <w:bCs/>
                <w:color w:val="auto"/>
                <w:sz w:val="21"/>
                <w:szCs w:val="21"/>
              </w:rPr>
            </w:pPr>
            <w:r>
              <w:rPr>
                <w:rFonts w:hint="eastAsia" w:ascii="宋体" w:hAnsi="宋体"/>
                <w:b/>
                <w:bCs/>
                <w:color w:val="auto"/>
                <w:sz w:val="21"/>
                <w:szCs w:val="21"/>
              </w:rPr>
              <w:t>资金预算</w:t>
            </w:r>
          </w:p>
        </w:tc>
        <w:tc>
          <w:tcPr>
            <w:tcW w:w="1664" w:type="dxa"/>
            <w:tcBorders>
              <w:left w:val="nil"/>
              <w:bottom w:val="single" w:color="auto" w:sz="4" w:space="0"/>
            </w:tcBorders>
            <w:vAlign w:val="center"/>
          </w:tcPr>
          <w:p>
            <w:pPr>
              <w:pStyle w:val="10"/>
              <w:ind w:left="0" w:leftChars="0"/>
              <w:jc w:val="center"/>
              <w:rPr>
                <w:rFonts w:hint="eastAsia" w:ascii="宋体" w:hAnsi="宋体"/>
                <w:b/>
                <w:bCs/>
                <w:color w:val="auto"/>
                <w:sz w:val="21"/>
                <w:szCs w:val="21"/>
              </w:rPr>
            </w:pPr>
            <w:r>
              <w:rPr>
                <w:rFonts w:hint="eastAsia" w:ascii="宋体" w:hAnsi="宋体"/>
                <w:b/>
                <w:bCs/>
                <w:color w:val="auto"/>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3" w:type="dxa"/>
            <w:tcBorders>
              <w:top w:val="single" w:color="auto" w:sz="4" w:space="0"/>
              <w:right w:val="single" w:color="auto" w:sz="4" w:space="0"/>
            </w:tcBorders>
            <w:vAlign w:val="center"/>
          </w:tcPr>
          <w:p>
            <w:pPr>
              <w:pStyle w:val="10"/>
              <w:jc w:val="center"/>
              <w:rPr>
                <w:rFonts w:hint="eastAsia" w:eastAsia="宋体"/>
                <w:color w:val="auto"/>
                <w:sz w:val="21"/>
                <w:szCs w:val="21"/>
                <w:lang w:val="en-US" w:eastAsia="zh-CN"/>
              </w:rPr>
            </w:pPr>
            <w:r>
              <w:rPr>
                <w:rFonts w:hint="eastAsia" w:ascii="宋体" w:hAnsi="宋体"/>
                <w:color w:val="auto"/>
                <w:sz w:val="24"/>
                <w:szCs w:val="24"/>
                <w:lang w:val="en-US" w:eastAsia="zh-CN"/>
              </w:rPr>
              <w:t>1</w:t>
            </w:r>
          </w:p>
        </w:tc>
        <w:tc>
          <w:tcPr>
            <w:tcW w:w="3357" w:type="dxa"/>
            <w:tcBorders>
              <w:top w:val="single" w:color="auto" w:sz="4" w:space="0"/>
              <w:left w:val="nil"/>
              <w:right w:val="single" w:color="auto" w:sz="4" w:space="0"/>
            </w:tcBorders>
            <w:vAlign w:val="center"/>
          </w:tcPr>
          <w:p>
            <w:pPr>
              <w:pStyle w:val="10"/>
              <w:ind w:left="0" w:leftChars="0" w:firstLine="0" w:firstLineChars="0"/>
              <w:jc w:val="center"/>
              <w:rPr>
                <w:rFonts w:hint="default"/>
                <w:color w:val="auto"/>
                <w:sz w:val="21"/>
                <w:szCs w:val="21"/>
                <w:lang w:val="en-US" w:eastAsia="zh-CN"/>
              </w:rPr>
            </w:pPr>
            <w:r>
              <w:rPr>
                <w:rFonts w:hint="default"/>
                <w:color w:val="auto"/>
                <w:sz w:val="21"/>
                <w:szCs w:val="21"/>
                <w:lang w:val="en-US" w:eastAsia="zh-CN"/>
              </w:rPr>
              <w:t>驻马店市中心医院五号楼一层和二层室内装修改造工程</w:t>
            </w:r>
          </w:p>
        </w:tc>
        <w:tc>
          <w:tcPr>
            <w:tcW w:w="1875" w:type="dxa"/>
            <w:tcBorders>
              <w:top w:val="single" w:color="auto" w:sz="4" w:space="0"/>
              <w:left w:val="nil"/>
              <w:right w:val="single" w:color="auto" w:sz="4" w:space="0"/>
            </w:tcBorders>
            <w:vAlign w:val="center"/>
          </w:tcPr>
          <w:p>
            <w:pPr>
              <w:pStyle w:val="10"/>
              <w:jc w:val="center"/>
              <w:rPr>
                <w:rFonts w:hint="eastAsia"/>
                <w:bCs/>
                <w:color w:val="auto"/>
                <w:sz w:val="21"/>
                <w:szCs w:val="21"/>
                <w:lang w:val="en-US" w:eastAsia="zh-CN"/>
              </w:rPr>
            </w:pPr>
            <w:r>
              <w:rPr>
                <w:rFonts w:hint="eastAsia" w:ascii="宋体" w:hAnsi="宋体"/>
                <w:color w:val="auto"/>
                <w:sz w:val="24"/>
                <w:szCs w:val="24"/>
                <w:lang w:val="en-US" w:eastAsia="zh-CN"/>
              </w:rPr>
              <w:t>详见清单</w:t>
            </w:r>
          </w:p>
        </w:tc>
        <w:tc>
          <w:tcPr>
            <w:tcW w:w="1710" w:type="dxa"/>
            <w:tcBorders>
              <w:top w:val="single" w:color="auto" w:sz="4" w:space="0"/>
              <w:left w:val="nil"/>
            </w:tcBorders>
            <w:vAlign w:val="center"/>
          </w:tcPr>
          <w:p>
            <w:pPr>
              <w:pStyle w:val="10"/>
              <w:ind w:left="0" w:leftChars="0" w:firstLine="0" w:firstLineChars="0"/>
              <w:jc w:val="center"/>
              <w:rPr>
                <w:rFonts w:hint="eastAsia"/>
                <w:bCs/>
                <w:color w:val="auto"/>
                <w:sz w:val="21"/>
                <w:szCs w:val="21"/>
              </w:rPr>
            </w:pPr>
            <w:r>
              <w:rPr>
                <w:rFonts w:hint="eastAsia"/>
                <w:bCs/>
                <w:color w:val="auto"/>
                <w:sz w:val="21"/>
                <w:szCs w:val="21"/>
                <w:lang w:val="en-US" w:eastAsia="zh-CN"/>
              </w:rPr>
              <w:t>24.3万元</w:t>
            </w:r>
          </w:p>
        </w:tc>
        <w:tc>
          <w:tcPr>
            <w:tcW w:w="1664" w:type="dxa"/>
            <w:tcBorders>
              <w:top w:val="single" w:color="auto" w:sz="4" w:space="0"/>
              <w:left w:val="nil"/>
            </w:tcBorders>
            <w:vAlign w:val="center"/>
          </w:tcPr>
          <w:p>
            <w:pPr>
              <w:pStyle w:val="10"/>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自筹</w:t>
            </w:r>
          </w:p>
        </w:tc>
      </w:tr>
    </w:tbl>
    <w:p>
      <w:pPr>
        <w:pStyle w:val="10"/>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配置规格、附件及零配件（包括专用工具）：</w:t>
      </w:r>
      <w:r>
        <w:rPr>
          <w:rFonts w:hint="eastAsia" w:ascii="宋体" w:hAnsi="宋体" w:eastAsia="宋体" w:cs="宋体"/>
          <w:b w:val="0"/>
          <w:bCs w:val="0"/>
          <w:color w:val="auto"/>
          <w:kern w:val="0"/>
          <w:sz w:val="21"/>
          <w:szCs w:val="21"/>
          <w:highlight w:val="none"/>
          <w:lang w:val="en-US" w:eastAsia="zh-CN" w:bidi="ar-SA"/>
        </w:rPr>
        <w:t xml:space="preserve"> </w:t>
      </w:r>
    </w:p>
    <w:p>
      <w:pPr>
        <w:pStyle w:val="10"/>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①、详情见后附工程量清单。</w:t>
      </w:r>
    </w:p>
    <w:p>
      <w:pPr>
        <w:pStyle w:val="10"/>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②、工期为30天。                                                                        </w:t>
      </w:r>
    </w:p>
    <w:p>
      <w:pPr>
        <w:pStyle w:val="10"/>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bCs/>
          <w:color w:val="auto"/>
          <w:kern w:val="0"/>
          <w:sz w:val="21"/>
          <w:szCs w:val="21"/>
          <w:highlight w:val="none"/>
          <w:lang w:val="en-US" w:eastAsia="zh-CN" w:bidi="ar-SA"/>
        </w:rPr>
      </w:pPr>
      <w:r>
        <w:rPr>
          <w:rFonts w:hint="eastAsia" w:cs="宋体"/>
          <w:b/>
          <w:bCs/>
          <w:color w:val="auto"/>
          <w:kern w:val="0"/>
          <w:sz w:val="21"/>
          <w:szCs w:val="21"/>
          <w:highlight w:val="none"/>
          <w:lang w:val="en-US" w:eastAsia="zh-CN" w:bidi="ar-SA"/>
        </w:rPr>
        <w:t>四、</w:t>
      </w:r>
      <w:r>
        <w:rPr>
          <w:rFonts w:hint="eastAsia" w:ascii="宋体" w:hAnsi="宋体" w:eastAsia="宋体" w:cs="宋体"/>
          <w:b/>
          <w:bCs/>
          <w:color w:val="auto"/>
          <w:kern w:val="0"/>
          <w:sz w:val="21"/>
          <w:szCs w:val="21"/>
          <w:highlight w:val="none"/>
          <w:lang w:val="en-US" w:eastAsia="zh-CN" w:bidi="ar-SA"/>
        </w:rPr>
        <w:t>售后服务条件及交货日期（或工期）：</w:t>
      </w:r>
    </w:p>
    <w:p>
      <w:pPr>
        <w:pStyle w:val="10"/>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①、质量承诺（包括质保期）；</w:t>
      </w:r>
    </w:p>
    <w:p>
      <w:pPr>
        <w:pStyle w:val="10"/>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②、响应院方工期要求，若承诺的工期不能按时完成，按合同约定进行处罚；</w:t>
      </w:r>
    </w:p>
    <w:p>
      <w:pPr>
        <w:pStyle w:val="10"/>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③、施工中做好施工组织，保证安全生产，防止人为的对场区管网的损坏。如有安全事故或对场区管网损坏，其造成的伤害事故及一切经济损失，由施工方承担全责；</w:t>
      </w:r>
    </w:p>
    <w:p>
      <w:pPr>
        <w:pStyle w:val="10"/>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sz w:val="28"/>
          <w:szCs w:val="28"/>
          <w:u w:val="single"/>
        </w:rPr>
      </w:pPr>
      <w:r>
        <w:rPr>
          <w:rFonts w:hint="eastAsia" w:ascii="宋体" w:hAnsi="宋体" w:eastAsia="宋体" w:cs="宋体"/>
          <w:b w:val="0"/>
          <w:bCs w:val="0"/>
          <w:color w:val="auto"/>
          <w:kern w:val="0"/>
          <w:sz w:val="21"/>
          <w:szCs w:val="21"/>
          <w:highlight w:val="none"/>
          <w:lang w:val="en-US" w:eastAsia="zh-CN" w:bidi="ar-SA"/>
        </w:rPr>
        <w:t>④、招标控制价及工程量清单的编制费用由中标方支付。</w:t>
      </w: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lang w:val="en-US" w:eastAsia="zh-CN"/>
        </w:rPr>
      </w:pP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lang w:val="en-US" w:eastAsia="zh-CN"/>
        </w:rPr>
      </w:pP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lang w:val="en-US" w:eastAsia="zh-CN"/>
        </w:rPr>
      </w:pP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lang w:val="en-US" w:eastAsia="zh-CN"/>
        </w:rPr>
      </w:pP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lang w:val="en-US" w:eastAsia="zh-CN"/>
        </w:rPr>
      </w:pP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lang w:val="en-US" w:eastAsia="zh-CN"/>
        </w:rPr>
      </w:pP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lang w:val="en-US" w:eastAsia="zh-CN"/>
        </w:rPr>
      </w:pP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lang w:val="en-US" w:eastAsia="zh-CN"/>
        </w:rPr>
      </w:pP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lang w:val="en-US" w:eastAsia="zh-CN"/>
        </w:rPr>
      </w:pP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lang w:val="en-US" w:eastAsia="zh-CN"/>
        </w:rPr>
      </w:pP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lang w:val="en-US" w:eastAsia="zh-CN"/>
        </w:rPr>
        <w:t>商务</w:t>
      </w:r>
      <w:r>
        <w:rPr>
          <w:rFonts w:hint="eastAsia" w:ascii="宋体" w:hAnsi="宋体" w:eastAsia="宋体" w:cs="宋体"/>
          <w:b/>
          <w:bCs/>
          <w:kern w:val="0"/>
          <w:sz w:val="30"/>
          <w:szCs w:val="30"/>
          <w:highlight w:val="none"/>
        </w:rPr>
        <w:t>要求</w:t>
      </w:r>
    </w:p>
    <w:tbl>
      <w:tblPr>
        <w:tblStyle w:val="31"/>
        <w:tblW w:w="9196" w:type="dxa"/>
        <w:jc w:val="center"/>
        <w:shd w:val="clear" w:color="auto" w:fill="FFFFFF"/>
        <w:tblLayout w:type="fixed"/>
        <w:tblCellMar>
          <w:top w:w="0" w:type="dxa"/>
          <w:left w:w="0" w:type="dxa"/>
          <w:bottom w:w="0" w:type="dxa"/>
          <w:right w:w="0" w:type="dxa"/>
        </w:tblCellMar>
      </w:tblPr>
      <w:tblGrid>
        <w:gridCol w:w="1760"/>
        <w:gridCol w:w="7436"/>
      </w:tblGrid>
      <w:tr>
        <w:tblPrEx>
          <w:shd w:val="clear" w:color="auto" w:fill="FFFFFF"/>
          <w:tblCellMar>
            <w:top w:w="0" w:type="dxa"/>
            <w:left w:w="0" w:type="dxa"/>
            <w:bottom w:w="0" w:type="dxa"/>
            <w:right w:w="0" w:type="dxa"/>
          </w:tblCellMar>
        </w:tblPrEx>
        <w:trPr>
          <w:trHeight w:val="549"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0"/>
              <w:ind w:left="0" w:leftChars="0"/>
              <w:jc w:val="center"/>
              <w:rPr>
                <w:rFonts w:hint="eastAsia" w:ascii="宋体" w:hAnsi="宋体" w:eastAsia="宋体" w:cs="宋体"/>
                <w:sz w:val="21"/>
                <w:szCs w:val="21"/>
              </w:rPr>
            </w:pPr>
            <w:r>
              <w:rPr>
                <w:rFonts w:hint="eastAsia" w:ascii="宋体" w:hAnsi="宋体" w:eastAsia="宋体" w:cs="宋体"/>
                <w:sz w:val="21"/>
                <w:szCs w:val="21"/>
              </w:rPr>
              <w:t>项目验收</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0"/>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rPr>
              <w:t>由采购人按照有关规定组织验收。</w:t>
            </w:r>
          </w:p>
        </w:tc>
      </w:tr>
      <w:tr>
        <w:tblPrEx>
          <w:tblCellMar>
            <w:top w:w="0" w:type="dxa"/>
            <w:left w:w="0" w:type="dxa"/>
            <w:bottom w:w="0" w:type="dxa"/>
            <w:right w:w="0" w:type="dxa"/>
          </w:tblCellMar>
        </w:tblPrEx>
        <w:trPr>
          <w:trHeight w:val="813"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0"/>
              <w:ind w:left="0" w:leftChars="0"/>
              <w:jc w:val="center"/>
              <w:rPr>
                <w:rFonts w:hint="eastAsia" w:ascii="宋体" w:hAnsi="宋体" w:eastAsia="宋体" w:cs="宋体"/>
                <w:sz w:val="21"/>
                <w:szCs w:val="21"/>
              </w:rPr>
            </w:pPr>
            <w:r>
              <w:rPr>
                <w:rFonts w:hint="eastAsia" w:ascii="宋体" w:hAnsi="宋体" w:eastAsia="宋体" w:cs="宋体"/>
                <w:sz w:val="21"/>
                <w:szCs w:val="21"/>
              </w:rPr>
              <w:t>服务要求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0"/>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供应商必须提供详尽的服务，配备工作人员不得变动，严格按本章所列采购要求进行服务和工作，否则采购人有权解除合同、并要求赔偿损失。</w:t>
            </w:r>
          </w:p>
        </w:tc>
      </w:tr>
      <w:tr>
        <w:tblPrEx>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0"/>
              <w:ind w:left="0" w:leftChars="0"/>
              <w:jc w:val="center"/>
              <w:rPr>
                <w:rFonts w:hint="eastAsia" w:ascii="宋体" w:hAnsi="宋体" w:eastAsia="宋体" w:cs="宋体"/>
                <w:sz w:val="21"/>
                <w:szCs w:val="21"/>
              </w:rPr>
            </w:pPr>
            <w:r>
              <w:rPr>
                <w:rFonts w:hint="eastAsia" w:ascii="宋体" w:hAnsi="宋体" w:eastAsia="宋体" w:cs="宋体"/>
                <w:sz w:val="21"/>
                <w:szCs w:val="21"/>
              </w:rPr>
              <w:t>工期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0"/>
              <w:spacing w:line="360" w:lineRule="auto"/>
              <w:ind w:left="0" w:leftChars="0"/>
              <w:jc w:val="left"/>
              <w:rPr>
                <w:rFonts w:hint="eastAsia" w:ascii="宋体" w:hAnsi="宋体" w:eastAsia="宋体" w:cs="宋体"/>
                <w:sz w:val="21"/>
                <w:szCs w:val="21"/>
                <w:lang w:val="en-US" w:eastAsia="zh-CN"/>
              </w:rPr>
            </w:pPr>
            <w:r>
              <w:rPr>
                <w:rFonts w:hint="eastAsia" w:cs="宋体"/>
                <w:sz w:val="21"/>
                <w:szCs w:val="21"/>
                <w:lang w:val="en-US" w:eastAsia="zh-CN"/>
              </w:rPr>
              <w:t>30</w:t>
            </w:r>
            <w:r>
              <w:rPr>
                <w:rFonts w:hint="eastAsia" w:ascii="宋体" w:hAnsi="宋体" w:eastAsia="宋体" w:cs="宋体"/>
                <w:sz w:val="21"/>
                <w:szCs w:val="21"/>
                <w:lang w:val="en-US" w:eastAsia="zh-CN"/>
              </w:rPr>
              <w:t>天。</w:t>
            </w:r>
          </w:p>
        </w:tc>
      </w:tr>
      <w:tr>
        <w:tblPrEx>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0"/>
              <w:ind w:left="0" w:leftChars="0"/>
              <w:jc w:val="center"/>
              <w:rPr>
                <w:rFonts w:hint="eastAsia" w:ascii="宋体" w:hAnsi="宋体" w:eastAsia="宋体" w:cs="宋体"/>
                <w:sz w:val="21"/>
                <w:szCs w:val="21"/>
              </w:rPr>
            </w:pPr>
            <w:r>
              <w:rPr>
                <w:rFonts w:hint="eastAsia" w:ascii="宋体" w:hAnsi="宋体" w:eastAsia="宋体" w:cs="宋体"/>
                <w:sz w:val="21"/>
                <w:szCs w:val="21"/>
              </w:rPr>
              <w:t>合同签订时间</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0"/>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CellMar>
            <w:top w:w="0" w:type="dxa"/>
            <w:left w:w="0" w:type="dxa"/>
            <w:bottom w:w="0" w:type="dxa"/>
            <w:right w:w="0" w:type="dxa"/>
          </w:tblCellMar>
        </w:tblPrEx>
        <w:trPr>
          <w:trHeight w:val="491"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0"/>
              <w:ind w:left="0" w:leftChars="0"/>
              <w:jc w:val="center"/>
              <w:rPr>
                <w:rFonts w:hint="eastAsia" w:ascii="宋体" w:hAnsi="宋体" w:eastAsia="宋体" w:cs="宋体"/>
                <w:sz w:val="21"/>
                <w:szCs w:val="21"/>
              </w:rPr>
            </w:pPr>
            <w:r>
              <w:rPr>
                <w:rFonts w:hint="eastAsia" w:ascii="宋体" w:hAnsi="宋体" w:eastAsia="宋体" w:cs="宋体"/>
                <w:sz w:val="21"/>
                <w:szCs w:val="21"/>
              </w:rPr>
              <w:t>付款方式</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0"/>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0"/>
              <w:ind w:left="0" w:leftChars="0"/>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0"/>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tblPrEx>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0"/>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0"/>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质保期为自验收合格后12个月，在质保期内工程发生缺陷或质量问题时，乙方在接到甲方故障通知后4小时内应委派专业技术人员到现场场免费提供咨询、维修等服务，并与48小时内修复。</w:t>
            </w:r>
          </w:p>
        </w:tc>
      </w:tr>
      <w:bookmarkEnd w:id="30"/>
      <w:bookmarkEnd w:id="31"/>
    </w:tbl>
    <w:p>
      <w:pPr>
        <w:keepNext w:val="0"/>
        <w:keepLines w:val="0"/>
        <w:pageBreakBefore w:val="0"/>
        <w:kinsoku/>
        <w:wordWrap/>
        <w:overflowPunct/>
        <w:topLinePunct w:val="0"/>
        <w:autoSpaceDE/>
        <w:autoSpaceDN/>
        <w:bidi w:val="0"/>
        <w:adjustRightInd/>
        <w:snapToGrid w:val="0"/>
        <w:spacing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1"/>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4"/>
        <w:gridCol w:w="7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pStyle w:val="10"/>
        <w:numPr>
          <w:ilvl w:val="0"/>
          <w:numId w:val="0"/>
        </w:numPr>
        <w:spacing w:after="0"/>
        <w:jc w:val="left"/>
        <w:rPr>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bookmarkStart w:id="35" w:name="_Toc14504"/>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w:t>
            </w:r>
            <w:r>
              <w:rPr>
                <w:rFonts w:hint="eastAsia" w:ascii="宋体" w:hAnsi="宋体" w:eastAsia="宋体" w:cs="宋体"/>
                <w:color w:val="auto"/>
                <w:sz w:val="24"/>
                <w:szCs w:val="24"/>
                <w:highlight w:val="none"/>
                <w:lang w:val="en-US" w:eastAsia="zh-CN"/>
              </w:rPr>
              <w:t>驻马店市中心医院</w:t>
            </w:r>
            <w:r>
              <w:rPr>
                <w:rFonts w:hint="eastAsia" w:ascii="宋体" w:hAnsi="宋体" w:cs="宋体"/>
                <w:color w:val="auto"/>
                <w:sz w:val="24"/>
                <w:szCs w:val="24"/>
                <w:highlight w:val="none"/>
                <w:lang w:val="en-US" w:eastAsia="zh-CN"/>
              </w:rPr>
              <w:t>五号楼一层和二层室内装修改造工程</w:t>
            </w:r>
            <w:r>
              <w:rPr>
                <w:rFonts w:hint="eastAsia" w:ascii="宋体" w:hAnsi="宋体" w:eastAsia="宋体" w:cs="宋体"/>
                <w:color w:val="auto"/>
                <w:sz w:val="24"/>
                <w:szCs w:val="24"/>
                <w:highlight w:val="none"/>
                <w:lang w:val="en-US" w:eastAsia="zh-CN"/>
              </w:rPr>
              <w:t>。</w:t>
            </w:r>
          </w:p>
          <w:p>
            <w:pPr>
              <w:widowControl/>
              <w:snapToGrid w:val="0"/>
              <w:spacing w:line="440" w:lineRule="exact"/>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 采购人名称：</w:t>
            </w:r>
            <w:r>
              <w:rPr>
                <w:rFonts w:hint="eastAsia" w:ascii="宋体" w:hAnsi="宋体" w:eastAsia="宋体" w:cs="宋体"/>
                <w:sz w:val="24"/>
                <w:szCs w:val="24"/>
              </w:rPr>
              <w:t>驻马店市中心医院</w:t>
            </w:r>
            <w:r>
              <w:rPr>
                <w:rFonts w:hint="eastAsia" w:ascii="宋体" w:hAnsi="宋体" w:eastAsia="宋体" w:cs="宋体"/>
                <w:sz w:val="24"/>
                <w:szCs w:val="24"/>
                <w:lang w:eastAsia="zh-CN"/>
              </w:rPr>
              <w:t>。</w:t>
            </w:r>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24.3</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投标文件组成：纸质投标文件正本1份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副本2份</w:t>
            </w:r>
            <w:r>
              <w:rPr>
                <w:rFonts w:hint="eastAsia" w:ascii="宋体" w:hAnsi="宋体" w:eastAsia="宋体" w:cs="宋体"/>
                <w:sz w:val="24"/>
                <w:szCs w:val="24"/>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中标公告及中标通知书：由采购人授权评标委员会确定一名中标人并推荐两名中标候选人。评审结束后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上发布中标公告，</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签订合同：自中标通知书发出之日起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keepNext w:val="0"/>
        <w:keepLines w:val="0"/>
        <w:pageBreakBefore w:val="0"/>
        <w:widowControl/>
        <w:kinsoku/>
        <w:wordWrap/>
        <w:overflowPunct/>
        <w:topLinePunct w:val="0"/>
        <w:bidi w:val="0"/>
        <w:snapToGrid w:val="0"/>
        <w:spacing w:line="360" w:lineRule="auto"/>
        <w:jc w:val="left"/>
        <w:rPr>
          <w:rFonts w:hint="eastAsia" w:ascii="黑体" w:hAnsi="宋体" w:eastAsia="黑体" w:cs="宋体"/>
          <w:b/>
          <w:bCs/>
          <w:color w:val="auto"/>
          <w:kern w:val="0"/>
          <w:sz w:val="28"/>
          <w:szCs w:val="28"/>
          <w:highlight w:val="none"/>
        </w:rPr>
      </w:pPr>
    </w:p>
    <w:p>
      <w:pPr>
        <w:keepNext w:val="0"/>
        <w:keepLines w:val="0"/>
        <w:pageBreakBefore w:val="0"/>
        <w:widowControl/>
        <w:kinsoku/>
        <w:wordWrap/>
        <w:overflowPunct/>
        <w:topLinePunct w:val="0"/>
        <w:bidi w:val="0"/>
        <w:snapToGrid w:val="0"/>
        <w:spacing w:line="360" w:lineRule="auto"/>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“工程”系指供应商按竞争性谈判文件规定向采购人提供的一切工作内容。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24.3</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w:t>
      </w:r>
      <w:r>
        <w:rPr>
          <w:rFonts w:hint="eastAsia" w:ascii="宋体" w:hAnsi="宋体" w:eastAsia="宋体" w:cs="宋体"/>
          <w:color w:val="auto"/>
          <w:sz w:val="24"/>
          <w:szCs w:val="24"/>
          <w:highlight w:val="none"/>
          <w:lang w:eastAsia="zh-CN"/>
        </w:rPr>
        <w:t>供应商应为注册在中华人民共和国境内的，且具有独立承担民事责任能力，</w:t>
      </w:r>
      <w:r>
        <w:rPr>
          <w:rFonts w:hint="eastAsia" w:ascii="宋体" w:hAnsi="宋体" w:eastAsia="宋体" w:cs="宋体"/>
          <w:color w:val="auto"/>
          <w:sz w:val="24"/>
          <w:szCs w:val="24"/>
          <w:highlight w:val="none"/>
        </w:rPr>
        <w:t>提供法人或者其他组织的营业执照等证明文件</w:t>
      </w:r>
      <w:r>
        <w:rPr>
          <w:rFonts w:hint="eastAsia" w:ascii="宋体" w:hAnsi="宋体" w:eastAsia="宋体" w:cs="宋体"/>
          <w:color w:val="auto"/>
          <w:sz w:val="24"/>
          <w:szCs w:val="24"/>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4.2 </w:t>
      </w:r>
      <w:r>
        <w:rPr>
          <w:rFonts w:hint="eastAsia" w:ascii="宋体" w:hAnsi="宋体" w:eastAsia="宋体" w:cs="宋体"/>
          <w:color w:val="auto"/>
          <w:kern w:val="2"/>
          <w:sz w:val="24"/>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w:t>
      </w:r>
      <w:r>
        <w:rPr>
          <w:rFonts w:hint="eastAsia" w:ascii="宋体" w:hAnsi="宋体" w:eastAsia="宋体" w:cs="宋体"/>
          <w:color w:val="auto"/>
          <w:sz w:val="24"/>
          <w:szCs w:val="24"/>
          <w:highlight w:val="none"/>
          <w:lang w:val="en-US" w:eastAsia="zh-CN"/>
        </w:rPr>
        <w:t>业从成立之日起计算）</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3参加本采购活动前三年内，在经营活动中没有重大违法记录</w:t>
      </w:r>
      <w:r>
        <w:rPr>
          <w:rFonts w:hint="eastAsia" w:ascii="宋体" w:hAnsi="宋体" w:eastAsia="宋体" w:cs="宋体"/>
          <w:color w:val="auto"/>
          <w:sz w:val="24"/>
          <w:szCs w:val="24"/>
          <w:highlight w:val="none"/>
          <w:lang w:eastAsia="zh-CN"/>
        </w:rPr>
        <w:t>的书面声明函；</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sz w:val="24"/>
          <w:szCs w:val="24"/>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质疑、投诉应当采用书面形式，质疑书、投诉书均应明确阐述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合同主要条款</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6 已标价的工程量清单</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7</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8</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9 供应商信用承诺函（格式）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18.2 </w:t>
      </w:r>
      <w:r>
        <w:rPr>
          <w:rFonts w:hint="eastAsia" w:ascii="宋体" w:hAnsi="宋体" w:eastAsia="宋体" w:cs="宋体"/>
          <w:color w:val="000000"/>
          <w:kern w:val="0"/>
          <w:sz w:val="24"/>
          <w:szCs w:val="24"/>
        </w:rPr>
        <w:t>供应商要按初次报价一览表、工程量清单的内容填写</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18.4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19.投标保证金</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详见采购公告</w:t>
      </w:r>
      <w:r>
        <w:rPr>
          <w:rFonts w:hint="eastAsia" w:ascii="宋体" w:hAnsi="宋体" w:cs="宋体"/>
          <w:b/>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工</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.3 未按本章第2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.1项或第2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shd w:val="clear"/>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36"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36"/>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中标通知书及中标公告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yellow"/>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37"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采购人、中标人自中标通知书发出之日起，在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restart"/>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工程质量</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（45分）</w:t>
            </w:r>
          </w:p>
        </w:tc>
        <w:tc>
          <w:tcPr>
            <w:tcW w:w="2140"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1.施工方案与技术措施（10分）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施工方案（含工程特点、施工重点与难点及绿色施工）总体安排合理，运用先进、合理的施工工艺、施工机械；对施工难点有先进、合理的建议。</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完全符合以上要求的得7-10分；基本满足的得4-6分；施工方案一般的得1-3分，缺项得0分。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continue"/>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p>
        </w:tc>
        <w:tc>
          <w:tcPr>
            <w:tcW w:w="2140"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2.质量管理体系与措施（10分）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组织结构形式合理，有完善的质量监控系统，主体结构质量保障措施切实可行；按照工程建设强制性标准和其他技术标准施工，不存在偷工减料。</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完全满足以上要求的得7-10分；基本满足以上要求的得4-6分；措施一般的得1-3分；缺项得0分。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continue"/>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p>
        </w:tc>
        <w:tc>
          <w:tcPr>
            <w:tcW w:w="2140"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3.安全管理体系与措施、文明施工措施、工期保证措施（15分）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1）施工安全生产保障体系健全，全员安全责任制明确，现场安全管理组织机构、人员配备满足国家规定要求；</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2）文明施工措施符合有关文明施工、健康卫生的规定。</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3）工期承诺满足要求，工期保证措施合理且有针对性。</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完全满足以上要求的得11-15分；基本满足以上要求的得6-10分；措施一般的得1-5分；缺项得0分。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continue"/>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p>
        </w:tc>
        <w:tc>
          <w:tcPr>
            <w:tcW w:w="2140"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4.拟投入资源配备计划（10分）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根据投标人拟投入的人员、机械设备、物资投入计划综合对比。</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配备合理、完全满足施工需要的得7-10份；配备基本合理，基本满足施工需要的得4-6分；一般满足采购需求的得1-3分，缺项得0分。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39" w:type="dxa"/>
            <w:vMerge w:val="restart"/>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0分）</w:t>
            </w:r>
          </w:p>
        </w:tc>
        <w:tc>
          <w:tcPr>
            <w:tcW w:w="2140" w:type="dxa"/>
            <w:tcBorders>
              <w:top w:val="single" w:color="auto" w:sz="4" w:space="0"/>
            </w:tcBorders>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1.类似业绩（8分）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1）企业2020年1月1日以来具有类似工程业绩，每份得2分，最多得4分。</w:t>
            </w:r>
          </w:p>
          <w:p>
            <w:pPr>
              <w:keepNext w:val="0"/>
              <w:keepLines w:val="0"/>
              <w:pageBreakBefore w:val="0"/>
              <w:tabs>
                <w:tab w:val="left" w:pos="1620"/>
              </w:tabs>
              <w:kinsoku/>
              <w:overflowPunct/>
              <w:topLinePunct w:val="0"/>
              <w:bidi w:val="0"/>
              <w:snapToGrid w:val="0"/>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2）拟派项目经理2020年1月1日以来承担的类似工程类业绩，每份得2分，最多得4分。</w:t>
            </w:r>
          </w:p>
          <w:p>
            <w:pPr>
              <w:keepNext w:val="0"/>
              <w:keepLines w:val="0"/>
              <w:pageBreakBefore w:val="0"/>
              <w:tabs>
                <w:tab w:val="left" w:pos="1620"/>
              </w:tabs>
              <w:kinsoku/>
              <w:overflowPunct/>
              <w:topLinePunct w:val="0"/>
              <w:bidi w:val="0"/>
              <w:snapToGrid w:val="0"/>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（注：企业业绩不得与项目经理业绩重复，否则不得分。以上业绩均以合同为准）。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39" w:type="dxa"/>
            <w:vMerge w:val="continue"/>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p>
        </w:tc>
        <w:tc>
          <w:tcPr>
            <w:tcW w:w="2140" w:type="dxa"/>
            <w:tcBorders>
              <w:top w:val="single" w:color="auto" w:sz="4" w:space="0"/>
            </w:tcBorders>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2.售后服务(12分)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根据投标人工程保修期内、外的优惠及服务承诺综合对比。</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服务内容科学、合理、针对性强、完善程度高的得9-12分；以上内容比较全面的得5-8分；完善程度一般的得1-4分；缺项的0分。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评标委员会成员评分=各项评分因素的汇总得分。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评标总得分=评标委员会所有成员合计评分/评标委员会组成人员数。</w:t>
            </w:r>
          </w:p>
        </w:tc>
      </w:tr>
    </w:tbl>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256519703"/>
      <w:bookmarkStart w:id="44" w:name="_Toc326786897"/>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5" w:name="_Toc28988"/>
      <w:r>
        <w:rPr>
          <w:rFonts w:hint="eastAsia" w:ascii="黑体" w:hAnsi="宋体" w:eastAsia="黑体" w:cs="宋体"/>
          <w:b/>
          <w:bCs/>
          <w:color w:val="auto"/>
          <w:kern w:val="0"/>
          <w:sz w:val="32"/>
          <w:szCs w:val="32"/>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6" w:name="_Toc2638"/>
      <w:r>
        <w:rPr>
          <w:rFonts w:hint="eastAsia" w:ascii="黑体" w:hAnsi="宋体" w:eastAsia="黑体" w:cs="宋体"/>
          <w:b/>
          <w:bCs/>
          <w:color w:val="auto"/>
          <w:kern w:val="0"/>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rFonts w:hint="eastAsia"/>
          <w:b/>
          <w:bCs/>
          <w:color w:val="auto"/>
          <w:sz w:val="32"/>
          <w:szCs w:val="32"/>
          <w:highlight w:val="none"/>
        </w:rPr>
      </w:pPr>
      <w:bookmarkStart w:id="47" w:name="_Toc13604"/>
    </w:p>
    <w:p>
      <w:pPr>
        <w:jc w:val="center"/>
        <w:rPr>
          <w:b/>
          <w:bCs/>
          <w:color w:val="auto"/>
          <w:sz w:val="32"/>
          <w:szCs w:val="32"/>
          <w:highlight w:val="none"/>
        </w:rPr>
      </w:pPr>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 xml:space="preserve">附件4 </w:t>
      </w:r>
      <w:bookmarkEnd w:id="51"/>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bookmarkEnd w:id="52"/>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3" w:name="_Toc6234"/>
      <w:r>
        <w:rPr>
          <w:rFonts w:hint="eastAsia"/>
          <w:color w:val="auto"/>
          <w:sz w:val="24"/>
          <w:highlight w:val="none"/>
        </w:rPr>
        <w:t xml:space="preserve">附件6 </w:t>
      </w:r>
      <w:bookmarkEnd w:id="53"/>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bookmarkEnd w:id="54"/>
      <w:r>
        <w:rPr>
          <w:rFonts w:hint="eastAsia"/>
          <w:color w:val="auto"/>
          <w:sz w:val="24"/>
          <w:highlight w:val="none"/>
        </w:rPr>
        <w:t>证明文件</w:t>
      </w:r>
    </w:p>
    <w:p>
      <w:pPr>
        <w:snapToGrid w:val="0"/>
        <w:spacing w:line="360" w:lineRule="auto"/>
        <w:ind w:firstLine="480" w:firstLineChars="200"/>
        <w:rPr>
          <w:rFonts w:hint="eastAsia" w:eastAsia="宋体"/>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bookmarkEnd w:id="55"/>
      <w:r>
        <w:rPr>
          <w:rFonts w:hint="eastAsia"/>
          <w:color w:val="auto"/>
          <w:sz w:val="24"/>
          <w:highlight w:val="none"/>
        </w:rPr>
        <w:t>供应商承</w:t>
      </w:r>
      <w:r>
        <w:rPr>
          <w:rFonts w:hint="eastAsia" w:eastAsia="宋体"/>
          <w:color w:val="auto"/>
          <w:sz w:val="24"/>
          <w:highlight w:val="none"/>
        </w:rPr>
        <w:t>诺书（格式）</w:t>
      </w:r>
    </w:p>
    <w:p>
      <w:pPr>
        <w:snapToGrid w:val="0"/>
        <w:spacing w:line="360" w:lineRule="auto"/>
        <w:ind w:firstLine="480" w:firstLineChars="200"/>
        <w:rPr>
          <w:rFonts w:ascii="宋体" w:hAnsi="宋体" w:cs="宋体"/>
          <w:b/>
          <w:bCs/>
          <w:color w:val="auto"/>
          <w:kern w:val="0"/>
          <w:sz w:val="24"/>
          <w:highlight w:val="none"/>
        </w:rPr>
      </w:pPr>
      <w:bookmarkStart w:id="56" w:name="_Toc31857"/>
      <w:r>
        <w:rPr>
          <w:rFonts w:hint="eastAsia" w:eastAsia="宋体"/>
          <w:color w:val="auto"/>
          <w:sz w:val="24"/>
          <w:highlight w:val="none"/>
        </w:rPr>
        <w:t xml:space="preserve">附件9 </w:t>
      </w:r>
      <w:bookmarkEnd w:id="56"/>
      <w:r>
        <w:rPr>
          <w:rFonts w:hint="eastAsia" w:eastAsia="宋体"/>
          <w:color w:val="auto"/>
          <w:sz w:val="24"/>
          <w:highlight w:val="none"/>
        </w:rPr>
        <w:t xml:space="preserve"> 供应商信用</w:t>
      </w:r>
      <w:r>
        <w:rPr>
          <w:rFonts w:hint="eastAsia"/>
          <w:color w:val="auto"/>
          <w:sz w:val="24"/>
          <w:highlight w:val="none"/>
        </w:rPr>
        <w:t>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5"/>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6"/>
        <w:rPr>
          <w:color w:val="auto"/>
          <w:highlight w:val="none"/>
        </w:rPr>
      </w:pPr>
    </w:p>
    <w:p>
      <w:pPr>
        <w:pStyle w:val="4"/>
        <w:rPr>
          <w:color w:val="auto"/>
          <w:highlight w:val="none"/>
        </w:rPr>
      </w:pPr>
      <w:bookmarkStart w:id="57" w:name="_Toc31798"/>
      <w:bookmarkStart w:id="58" w:name="_Toc24743"/>
      <w:r>
        <w:rPr>
          <w:rFonts w:hint="eastAsia"/>
          <w:color w:val="auto"/>
          <w:highlight w:val="none"/>
        </w:rPr>
        <w:t>附件1               投标文件封面（格式）</w:t>
      </w:r>
      <w:bookmarkEnd w:id="57"/>
      <w:bookmarkEnd w:id="5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5"/>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59" w:name="_Toc14560"/>
      <w:bookmarkStart w:id="60" w:name="_Toc8818"/>
      <w:r>
        <w:rPr>
          <w:rFonts w:hint="eastAsia"/>
          <w:color w:val="auto"/>
          <w:highlight w:val="none"/>
        </w:rPr>
        <w:t>附件2               投  标  书（格式）</w:t>
      </w:r>
      <w:bookmarkEnd w:id="59"/>
      <w:bookmarkEnd w:id="6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1" w:name="_Toc7838"/>
      <w:r>
        <w:rPr>
          <w:rFonts w:hint="eastAsia"/>
          <w:color w:val="auto"/>
          <w:highlight w:val="none"/>
        </w:rPr>
        <w:t>附件3               开标一览表</w:t>
      </w:r>
      <w:bookmarkEnd w:id="61"/>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eastAsia" w:ascii="宋体" w:hAnsi="宋体" w:eastAsia="宋体"/>
                <w:color w:val="auto"/>
                <w:szCs w:val="21"/>
                <w:highlight w:val="none"/>
                <w:lang w:val="en-US" w:eastAsia="zh-CN"/>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2" w:name="_Toc11620"/>
      <w:bookmarkStart w:id="63" w:name="_Toc20877"/>
      <w:r>
        <w:rPr>
          <w:rFonts w:hint="eastAsia" w:ascii="宋体" w:hAnsi="宋体"/>
          <w:color w:val="auto"/>
          <w:szCs w:val="21"/>
          <w:highlight w:val="none"/>
        </w:rPr>
        <w:t>投标人（全称并加盖公章）：</w:t>
      </w:r>
      <w:bookmarkEnd w:id="62"/>
      <w:bookmarkEnd w:id="63"/>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4" w:name="_Toc625"/>
      <w:bookmarkStart w:id="65" w:name="_Toc12222"/>
      <w:r>
        <w:rPr>
          <w:rFonts w:hint="eastAsia" w:ascii="宋体" w:hAnsi="宋体"/>
          <w:color w:val="auto"/>
          <w:szCs w:val="21"/>
          <w:highlight w:val="none"/>
        </w:rPr>
        <w:t>法定代表人或其委托代理人（签字）：</w:t>
      </w:r>
      <w:bookmarkEnd w:id="64"/>
      <w:bookmarkEnd w:id="65"/>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6" w:name="_Toc9950"/>
      <w:bookmarkStart w:id="67" w:name="_Toc1330"/>
      <w:r>
        <w:rPr>
          <w:rFonts w:hint="eastAsia" w:ascii="宋体" w:hAnsi="宋体"/>
          <w:color w:val="auto"/>
          <w:szCs w:val="21"/>
          <w:highlight w:val="none"/>
        </w:rPr>
        <w:t>年  月  日</w:t>
      </w:r>
      <w:bookmarkEnd w:id="66"/>
      <w:bookmarkEnd w:id="67"/>
    </w:p>
    <w:p>
      <w:pPr>
        <w:rPr>
          <w:color w:val="auto"/>
          <w:highlight w:val="none"/>
        </w:rPr>
      </w:pPr>
      <w:r>
        <w:rPr>
          <w:color w:val="auto"/>
          <w:highlight w:val="none"/>
        </w:rPr>
        <w:br w:type="page"/>
      </w:r>
    </w:p>
    <w:bookmarkEnd w:id="43"/>
    <w:bookmarkEnd w:id="44"/>
    <w:p>
      <w:pPr>
        <w:pStyle w:val="30"/>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68" w:name="_Toc28621"/>
      <w:bookmarkStart w:id="69" w:name="_Toc31526"/>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8"/>
      <w:bookmarkEnd w:id="69"/>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0" w:name="_Toc30519"/>
      <w:bookmarkStart w:id="71" w:name="_Toc13976"/>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70"/>
      <w:bookmarkEnd w:id="71"/>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9"/>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9"/>
        <w:rPr>
          <w:rFonts w:ascii="宋体" w:hAnsi="宋体" w:cs="宋体"/>
          <w:b/>
          <w:color w:val="auto"/>
          <w:kern w:val="0"/>
          <w:sz w:val="24"/>
          <w:highlight w:val="none"/>
        </w:rPr>
      </w:pPr>
    </w:p>
    <w:p>
      <w:pPr>
        <w:pStyle w:val="47"/>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pPr>
    </w:p>
    <w:p>
      <w:pPr>
        <w:widowControl/>
        <w:snapToGrid w:val="0"/>
        <w:spacing w:before="156" w:after="156" w:line="360" w:lineRule="auto"/>
        <w:jc w:val="left"/>
        <w:outlineLvl w:val="0"/>
        <w:rPr>
          <w:rFonts w:ascii="宋体" w:hAnsi="宋体" w:cs="宋体"/>
          <w:b/>
          <w:color w:val="auto"/>
          <w:kern w:val="0"/>
          <w:sz w:val="24"/>
          <w:highlight w:val="none"/>
        </w:rPr>
      </w:pPr>
      <w:bookmarkStart w:id="72" w:name="_Toc18105"/>
      <w:bookmarkStart w:id="73" w:name="_Toc24693"/>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2"/>
      <w:bookmarkEnd w:id="73"/>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74"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left"/>
        <w:outlineLvl w:val="0"/>
        <w:rPr>
          <w:rFonts w:ascii="宋体" w:hAnsi="宋体" w:cs="宋体"/>
          <w:b/>
          <w:color w:val="auto"/>
          <w:kern w:val="0"/>
          <w:sz w:val="28"/>
          <w:szCs w:val="28"/>
          <w:highlight w:val="none"/>
        </w:rPr>
      </w:pPr>
      <w:bookmarkStart w:id="75" w:name="_Toc12888"/>
      <w:bookmarkStart w:id="76" w:name="_Toc13726"/>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r>
        <w:rPr>
          <w:rFonts w:hint="eastAsia" w:ascii="宋体" w:hAnsi="宋体" w:cs="Lucida Sans Unicode"/>
          <w:b/>
          <w:color w:val="auto"/>
          <w:kern w:val="0"/>
          <w:sz w:val="28"/>
          <w:szCs w:val="28"/>
          <w:highlight w:val="none"/>
          <w:lang w:val="en-US" w:eastAsia="zh-CN"/>
        </w:rPr>
        <w:t xml:space="preserve">       </w:t>
      </w:r>
      <w:r>
        <w:rPr>
          <w:rFonts w:hint="eastAsia" w:ascii="宋体" w:hAnsi="宋体" w:cs="Lucida Sans Unicode"/>
          <w:b/>
          <w:color w:val="auto"/>
          <w:kern w:val="0"/>
          <w:sz w:val="28"/>
          <w:szCs w:val="28"/>
          <w:highlight w:val="none"/>
        </w:rPr>
        <w:t xml:space="preserve"> </w:t>
      </w:r>
      <w:bookmarkEnd w:id="74"/>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75"/>
      <w:bookmarkEnd w:id="76"/>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left"/>
        <w:rPr>
          <w:rFonts w:hint="eastAsia" w:ascii="宋体" w:hAnsi="宋体" w:eastAsia="宋体" w:cs="宋体"/>
          <w:b/>
          <w:bCs/>
          <w:color w:val="auto"/>
          <w:kern w:val="2"/>
          <w:sz w:val="28"/>
          <w:szCs w:val="18"/>
          <w:highlight w:val="none"/>
          <w:lang w:val="en-US" w:eastAsia="zh-CN" w:bidi="ar-SA"/>
        </w:rPr>
      </w:pPr>
      <w:r>
        <w:rPr>
          <w:rFonts w:hint="eastAsia" w:ascii="宋体" w:hAnsi="宋体" w:cs="Lucida Sans Unicode"/>
          <w:b/>
          <w:color w:val="auto"/>
          <w:kern w:val="0"/>
          <w:sz w:val="28"/>
          <w:szCs w:val="28"/>
          <w:highlight w:val="none"/>
          <w:lang w:val="en-US" w:eastAsia="zh-CN"/>
        </w:rPr>
        <w:t xml:space="preserve">附件9 </w:t>
      </w:r>
      <w:r>
        <w:rPr>
          <w:rFonts w:hint="eastAsia" w:ascii="宋体" w:hAnsi="宋体" w:cs="Lucida Sans Unicode"/>
          <w:b/>
          <w:color w:val="auto"/>
          <w:kern w:val="0"/>
          <w:sz w:val="24"/>
          <w:highlight w:val="none"/>
          <w:lang w:val="en-US" w:eastAsia="zh-CN"/>
        </w:rPr>
        <w:t xml:space="preserve">                  </w:t>
      </w:r>
      <w:r>
        <w:rPr>
          <w:rFonts w:hint="eastAsia" w:ascii="宋体" w:hAnsi="宋体" w:eastAsia="宋体" w:cs="宋体"/>
          <w:b/>
          <w:bCs/>
          <w:color w:val="auto"/>
          <w:kern w:val="2"/>
          <w:sz w:val="28"/>
          <w:szCs w:val="18"/>
          <w:highlight w:val="none"/>
          <w:lang w:val="en-US" w:eastAsia="zh-CN" w:bidi="ar-SA"/>
        </w:rPr>
        <w:t>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p>
    <w:p>
      <w:pPr>
        <w:pStyle w:val="47"/>
      </w:pPr>
    </w:p>
    <w:p>
      <w:pPr>
        <w:widowControl/>
        <w:snapToGrid w:val="0"/>
        <w:spacing w:line="360" w:lineRule="auto"/>
        <w:jc w:val="center"/>
        <w:outlineLvl w:val="0"/>
        <w:rPr>
          <w:rFonts w:hint="eastAsia" w:ascii="宋体" w:hAnsi="宋体" w:cs="Lucida Sans Unicode"/>
          <w:b/>
          <w:color w:val="auto"/>
          <w:kern w:val="0"/>
          <w:sz w:val="24"/>
          <w:highlight w:val="none"/>
        </w:rPr>
      </w:pPr>
      <w:bookmarkStart w:id="77" w:name="_Toc23394"/>
      <w:bookmarkStart w:id="78" w:name="_Toc25094"/>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rPr>
        <w:t>投标人认为有必要的其他资料</w:t>
      </w:r>
      <w:bookmarkEnd w:id="77"/>
      <w:bookmarkEnd w:id="78"/>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default"/>
        <w:lang w:val="en-US" w:eastAsia="zh-CN"/>
      </w:rPr>
    </w:pPr>
    <w:r>
      <w:rPr>
        <w:rFonts w:hint="eastAsia"/>
        <w:lang w:val="en-US" w:eastAsia="zh-CN"/>
      </w:rPr>
      <w:t>驻马店市中心医院五号楼一层和二层室内装修改造工程程采购文件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default"/>
        <w:lang w:val="en-US"/>
      </w:rPr>
    </w:pPr>
    <w:r>
      <w:rPr>
        <w:rFonts w:hint="eastAsia"/>
        <w:lang w:val="en-US" w:eastAsia="zh-CN"/>
      </w:rPr>
      <w:t>驻马店市中心医院五号楼一层和二层室内装修改造工程采购文件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3712F7"/>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FD2384"/>
    <w:rsid w:val="04416C20"/>
    <w:rsid w:val="047968B1"/>
    <w:rsid w:val="04870542"/>
    <w:rsid w:val="05545DD3"/>
    <w:rsid w:val="05613BBA"/>
    <w:rsid w:val="056E2AD6"/>
    <w:rsid w:val="05806815"/>
    <w:rsid w:val="058251D3"/>
    <w:rsid w:val="05945CCE"/>
    <w:rsid w:val="059943D9"/>
    <w:rsid w:val="059D05A4"/>
    <w:rsid w:val="059D5E17"/>
    <w:rsid w:val="05AB0A28"/>
    <w:rsid w:val="05AB0F81"/>
    <w:rsid w:val="05B93D6B"/>
    <w:rsid w:val="05D53002"/>
    <w:rsid w:val="05D75738"/>
    <w:rsid w:val="061E7D14"/>
    <w:rsid w:val="06560AED"/>
    <w:rsid w:val="066469C9"/>
    <w:rsid w:val="066646A1"/>
    <w:rsid w:val="066761DB"/>
    <w:rsid w:val="06983B20"/>
    <w:rsid w:val="069A3B66"/>
    <w:rsid w:val="06B91765"/>
    <w:rsid w:val="06CA2AD2"/>
    <w:rsid w:val="06CE3071"/>
    <w:rsid w:val="06D33DBA"/>
    <w:rsid w:val="06E13F9F"/>
    <w:rsid w:val="06FB0AC5"/>
    <w:rsid w:val="070659F4"/>
    <w:rsid w:val="070D2D5D"/>
    <w:rsid w:val="07111B8D"/>
    <w:rsid w:val="074A5B92"/>
    <w:rsid w:val="075E3193"/>
    <w:rsid w:val="078E18EB"/>
    <w:rsid w:val="07B10EA5"/>
    <w:rsid w:val="07CE3FA1"/>
    <w:rsid w:val="07EC2ECB"/>
    <w:rsid w:val="07F641EF"/>
    <w:rsid w:val="07FE66CB"/>
    <w:rsid w:val="080B4D47"/>
    <w:rsid w:val="08321601"/>
    <w:rsid w:val="083622CC"/>
    <w:rsid w:val="083D5C91"/>
    <w:rsid w:val="0847191F"/>
    <w:rsid w:val="08591DC3"/>
    <w:rsid w:val="086D4B57"/>
    <w:rsid w:val="087C4541"/>
    <w:rsid w:val="087E5595"/>
    <w:rsid w:val="08C52D6F"/>
    <w:rsid w:val="08EF0201"/>
    <w:rsid w:val="08F41DE8"/>
    <w:rsid w:val="09737462"/>
    <w:rsid w:val="099156C3"/>
    <w:rsid w:val="09A53F39"/>
    <w:rsid w:val="09A60E13"/>
    <w:rsid w:val="09D206F0"/>
    <w:rsid w:val="0A321AC2"/>
    <w:rsid w:val="0A343D4E"/>
    <w:rsid w:val="0A36039E"/>
    <w:rsid w:val="0A3E6D2E"/>
    <w:rsid w:val="0AD13A85"/>
    <w:rsid w:val="0B091954"/>
    <w:rsid w:val="0B637D77"/>
    <w:rsid w:val="0BAB6B6A"/>
    <w:rsid w:val="0BAC324F"/>
    <w:rsid w:val="0BF72F1E"/>
    <w:rsid w:val="0C3957A5"/>
    <w:rsid w:val="0C626DA7"/>
    <w:rsid w:val="0C6876AE"/>
    <w:rsid w:val="0C720EC8"/>
    <w:rsid w:val="0C942042"/>
    <w:rsid w:val="0C943AA2"/>
    <w:rsid w:val="0C9D50DC"/>
    <w:rsid w:val="0CA13776"/>
    <w:rsid w:val="0CA5271D"/>
    <w:rsid w:val="0CAC4D10"/>
    <w:rsid w:val="0CC72121"/>
    <w:rsid w:val="0CE61730"/>
    <w:rsid w:val="0CEE5A21"/>
    <w:rsid w:val="0D0646E7"/>
    <w:rsid w:val="0D0C38CA"/>
    <w:rsid w:val="0D0E45B2"/>
    <w:rsid w:val="0D103128"/>
    <w:rsid w:val="0D224C0A"/>
    <w:rsid w:val="0DC577E0"/>
    <w:rsid w:val="0DDC6319"/>
    <w:rsid w:val="0E0C0D4C"/>
    <w:rsid w:val="0E115DA1"/>
    <w:rsid w:val="0E162D6D"/>
    <w:rsid w:val="0E541CA2"/>
    <w:rsid w:val="0E594756"/>
    <w:rsid w:val="0E7D5A1E"/>
    <w:rsid w:val="0E95596D"/>
    <w:rsid w:val="0EAE6205"/>
    <w:rsid w:val="0EAE6579"/>
    <w:rsid w:val="0EAF71BF"/>
    <w:rsid w:val="0ECE6257"/>
    <w:rsid w:val="0EE4129D"/>
    <w:rsid w:val="0F171032"/>
    <w:rsid w:val="0F335E69"/>
    <w:rsid w:val="0F3D59C9"/>
    <w:rsid w:val="0F423341"/>
    <w:rsid w:val="0F516D5A"/>
    <w:rsid w:val="0F565B36"/>
    <w:rsid w:val="0F76123D"/>
    <w:rsid w:val="0F821E7D"/>
    <w:rsid w:val="0F841840"/>
    <w:rsid w:val="0FA933C0"/>
    <w:rsid w:val="0FE7592C"/>
    <w:rsid w:val="0FFD20F0"/>
    <w:rsid w:val="103340EE"/>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AD38A1"/>
    <w:rsid w:val="11D34654"/>
    <w:rsid w:val="12010480"/>
    <w:rsid w:val="120E707F"/>
    <w:rsid w:val="127A7D1C"/>
    <w:rsid w:val="12836D8B"/>
    <w:rsid w:val="12891287"/>
    <w:rsid w:val="12984039"/>
    <w:rsid w:val="12AB0349"/>
    <w:rsid w:val="12B05686"/>
    <w:rsid w:val="12CB18A0"/>
    <w:rsid w:val="12CD57F1"/>
    <w:rsid w:val="12CE7AFA"/>
    <w:rsid w:val="12D67466"/>
    <w:rsid w:val="13272A5D"/>
    <w:rsid w:val="13493108"/>
    <w:rsid w:val="13733928"/>
    <w:rsid w:val="13925C0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DF17B7"/>
    <w:rsid w:val="14E002E6"/>
    <w:rsid w:val="14FC36BD"/>
    <w:rsid w:val="151E3A0F"/>
    <w:rsid w:val="1557566D"/>
    <w:rsid w:val="15811F1B"/>
    <w:rsid w:val="15A30135"/>
    <w:rsid w:val="15A34015"/>
    <w:rsid w:val="15D66ED9"/>
    <w:rsid w:val="15E2236F"/>
    <w:rsid w:val="16197B6B"/>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7A31AA"/>
    <w:rsid w:val="189118CC"/>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9A30E80"/>
    <w:rsid w:val="1A125525"/>
    <w:rsid w:val="1A562AB7"/>
    <w:rsid w:val="1A5F4342"/>
    <w:rsid w:val="1A8C57B1"/>
    <w:rsid w:val="1A8C5D82"/>
    <w:rsid w:val="1A994988"/>
    <w:rsid w:val="1A9B546C"/>
    <w:rsid w:val="1AA3511F"/>
    <w:rsid w:val="1AA66729"/>
    <w:rsid w:val="1AAE3B54"/>
    <w:rsid w:val="1AC10987"/>
    <w:rsid w:val="1AEE5218"/>
    <w:rsid w:val="1B0C5B32"/>
    <w:rsid w:val="1B0D3E82"/>
    <w:rsid w:val="1B1652AB"/>
    <w:rsid w:val="1B181CD5"/>
    <w:rsid w:val="1B265306"/>
    <w:rsid w:val="1B4F2450"/>
    <w:rsid w:val="1B8847D2"/>
    <w:rsid w:val="1B8C18B7"/>
    <w:rsid w:val="1BB73AE1"/>
    <w:rsid w:val="1BDA6D68"/>
    <w:rsid w:val="1C555978"/>
    <w:rsid w:val="1C6554A1"/>
    <w:rsid w:val="1C7971B7"/>
    <w:rsid w:val="1C9E598F"/>
    <w:rsid w:val="1CD402EC"/>
    <w:rsid w:val="1CF02333"/>
    <w:rsid w:val="1D0C33A2"/>
    <w:rsid w:val="1D113E6E"/>
    <w:rsid w:val="1D114E5E"/>
    <w:rsid w:val="1D1A7DC4"/>
    <w:rsid w:val="1D1F0050"/>
    <w:rsid w:val="1D2222DC"/>
    <w:rsid w:val="1D2D3938"/>
    <w:rsid w:val="1D3650CA"/>
    <w:rsid w:val="1D584EA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275CE4"/>
    <w:rsid w:val="20310B02"/>
    <w:rsid w:val="206F0406"/>
    <w:rsid w:val="20784063"/>
    <w:rsid w:val="207E346A"/>
    <w:rsid w:val="208E12C3"/>
    <w:rsid w:val="209502A3"/>
    <w:rsid w:val="210F579E"/>
    <w:rsid w:val="21126445"/>
    <w:rsid w:val="212550B5"/>
    <w:rsid w:val="21592B62"/>
    <w:rsid w:val="21673B6E"/>
    <w:rsid w:val="21747CD2"/>
    <w:rsid w:val="219E5782"/>
    <w:rsid w:val="21E72B0B"/>
    <w:rsid w:val="221F2D96"/>
    <w:rsid w:val="22246DB1"/>
    <w:rsid w:val="22440067"/>
    <w:rsid w:val="225A6017"/>
    <w:rsid w:val="226144D8"/>
    <w:rsid w:val="227A5532"/>
    <w:rsid w:val="22843A03"/>
    <w:rsid w:val="22A338AB"/>
    <w:rsid w:val="22AD37A2"/>
    <w:rsid w:val="22B31E8A"/>
    <w:rsid w:val="22C735BD"/>
    <w:rsid w:val="23122833"/>
    <w:rsid w:val="23157720"/>
    <w:rsid w:val="231A2B8A"/>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92FB1"/>
    <w:rsid w:val="243D6E1A"/>
    <w:rsid w:val="24607F91"/>
    <w:rsid w:val="246C581B"/>
    <w:rsid w:val="247C52A2"/>
    <w:rsid w:val="24CC106B"/>
    <w:rsid w:val="24D00598"/>
    <w:rsid w:val="24D725E9"/>
    <w:rsid w:val="24EA11A8"/>
    <w:rsid w:val="25045F70"/>
    <w:rsid w:val="25056E93"/>
    <w:rsid w:val="25092EBA"/>
    <w:rsid w:val="25241020"/>
    <w:rsid w:val="253B28B5"/>
    <w:rsid w:val="257572C3"/>
    <w:rsid w:val="25790E85"/>
    <w:rsid w:val="25972C60"/>
    <w:rsid w:val="259D1676"/>
    <w:rsid w:val="25A353EB"/>
    <w:rsid w:val="25B85CB3"/>
    <w:rsid w:val="25B87B65"/>
    <w:rsid w:val="25CB78C3"/>
    <w:rsid w:val="25D54390"/>
    <w:rsid w:val="261879A7"/>
    <w:rsid w:val="263E265D"/>
    <w:rsid w:val="264B0BA4"/>
    <w:rsid w:val="268C5256"/>
    <w:rsid w:val="268E455B"/>
    <w:rsid w:val="26912B30"/>
    <w:rsid w:val="269772F0"/>
    <w:rsid w:val="26A30712"/>
    <w:rsid w:val="26A338B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3D53F0"/>
    <w:rsid w:val="2969197F"/>
    <w:rsid w:val="297445E7"/>
    <w:rsid w:val="29746E87"/>
    <w:rsid w:val="297C03C2"/>
    <w:rsid w:val="299573AB"/>
    <w:rsid w:val="29BE5BD0"/>
    <w:rsid w:val="29C01572"/>
    <w:rsid w:val="29E74CE2"/>
    <w:rsid w:val="2A306A36"/>
    <w:rsid w:val="2A5372C6"/>
    <w:rsid w:val="2A566E5D"/>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7806D6"/>
    <w:rsid w:val="2EB2173C"/>
    <w:rsid w:val="2EC35DF5"/>
    <w:rsid w:val="2EDC2A13"/>
    <w:rsid w:val="2EE1094C"/>
    <w:rsid w:val="2EFD7DB9"/>
    <w:rsid w:val="2F1A081D"/>
    <w:rsid w:val="2F1E3DC0"/>
    <w:rsid w:val="2F3112DE"/>
    <w:rsid w:val="2F3B6922"/>
    <w:rsid w:val="2F506C6D"/>
    <w:rsid w:val="2F51291F"/>
    <w:rsid w:val="2F55758A"/>
    <w:rsid w:val="2F7F15AE"/>
    <w:rsid w:val="2F8F17B7"/>
    <w:rsid w:val="2FA54796"/>
    <w:rsid w:val="2FA674E2"/>
    <w:rsid w:val="2FE6700E"/>
    <w:rsid w:val="2FFE7D49"/>
    <w:rsid w:val="302613A0"/>
    <w:rsid w:val="302A5C42"/>
    <w:rsid w:val="304A60A2"/>
    <w:rsid w:val="305F1B4D"/>
    <w:rsid w:val="30731155"/>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75698A"/>
    <w:rsid w:val="32B943EC"/>
    <w:rsid w:val="32C901CA"/>
    <w:rsid w:val="32D83E39"/>
    <w:rsid w:val="32DC63A0"/>
    <w:rsid w:val="32E429C1"/>
    <w:rsid w:val="334A3B2A"/>
    <w:rsid w:val="3365592E"/>
    <w:rsid w:val="336F6533"/>
    <w:rsid w:val="337E5E2F"/>
    <w:rsid w:val="3384610D"/>
    <w:rsid w:val="339A10EE"/>
    <w:rsid w:val="33A67265"/>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0C5E5F"/>
    <w:rsid w:val="3735197D"/>
    <w:rsid w:val="373756A2"/>
    <w:rsid w:val="375E0DA6"/>
    <w:rsid w:val="378B61A6"/>
    <w:rsid w:val="37CD3F98"/>
    <w:rsid w:val="37DF75BA"/>
    <w:rsid w:val="37E148E2"/>
    <w:rsid w:val="37E42938"/>
    <w:rsid w:val="38174ABC"/>
    <w:rsid w:val="38304889"/>
    <w:rsid w:val="3837515E"/>
    <w:rsid w:val="38382675"/>
    <w:rsid w:val="3851700B"/>
    <w:rsid w:val="385246B6"/>
    <w:rsid w:val="38A53DB7"/>
    <w:rsid w:val="38BF3388"/>
    <w:rsid w:val="38CC268D"/>
    <w:rsid w:val="38EC2960"/>
    <w:rsid w:val="39243C05"/>
    <w:rsid w:val="392536E2"/>
    <w:rsid w:val="39465F15"/>
    <w:rsid w:val="396453C5"/>
    <w:rsid w:val="39922CCF"/>
    <w:rsid w:val="39A65327"/>
    <w:rsid w:val="39A65C9B"/>
    <w:rsid w:val="39BC5ED6"/>
    <w:rsid w:val="39EB39E0"/>
    <w:rsid w:val="39EF02D4"/>
    <w:rsid w:val="3A11342A"/>
    <w:rsid w:val="3A153110"/>
    <w:rsid w:val="3A2507C0"/>
    <w:rsid w:val="3A64203E"/>
    <w:rsid w:val="3A663D00"/>
    <w:rsid w:val="3A7428D0"/>
    <w:rsid w:val="3A923AE4"/>
    <w:rsid w:val="3AA50E25"/>
    <w:rsid w:val="3AC566E3"/>
    <w:rsid w:val="3AD6747A"/>
    <w:rsid w:val="3AF04BFF"/>
    <w:rsid w:val="3B3D0FF2"/>
    <w:rsid w:val="3B521A18"/>
    <w:rsid w:val="3B923660"/>
    <w:rsid w:val="3BCA44BE"/>
    <w:rsid w:val="3C061F3A"/>
    <w:rsid w:val="3C495480"/>
    <w:rsid w:val="3C4D6CFE"/>
    <w:rsid w:val="3C6F0167"/>
    <w:rsid w:val="3C71667B"/>
    <w:rsid w:val="3C86449E"/>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AE1A1E"/>
    <w:rsid w:val="3DB54E0C"/>
    <w:rsid w:val="3DB900C1"/>
    <w:rsid w:val="3DE91725"/>
    <w:rsid w:val="3DF159B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091D7F"/>
    <w:rsid w:val="421104A9"/>
    <w:rsid w:val="42143B88"/>
    <w:rsid w:val="42164586"/>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74E11"/>
    <w:rsid w:val="43DD452F"/>
    <w:rsid w:val="43DE6CD4"/>
    <w:rsid w:val="43E51150"/>
    <w:rsid w:val="43EF28BB"/>
    <w:rsid w:val="43EF56D3"/>
    <w:rsid w:val="440A6FD2"/>
    <w:rsid w:val="4413670C"/>
    <w:rsid w:val="444946CA"/>
    <w:rsid w:val="444B3F54"/>
    <w:rsid w:val="4476661F"/>
    <w:rsid w:val="447E3AC5"/>
    <w:rsid w:val="448C05DF"/>
    <w:rsid w:val="44A90BAA"/>
    <w:rsid w:val="44B24A20"/>
    <w:rsid w:val="44BC0BEE"/>
    <w:rsid w:val="44EF53A8"/>
    <w:rsid w:val="44FB1C9C"/>
    <w:rsid w:val="454F1836"/>
    <w:rsid w:val="45887B45"/>
    <w:rsid w:val="458B66DF"/>
    <w:rsid w:val="45940F0E"/>
    <w:rsid w:val="45C647AF"/>
    <w:rsid w:val="45DD529D"/>
    <w:rsid w:val="45E57886"/>
    <w:rsid w:val="45E710B1"/>
    <w:rsid w:val="46003076"/>
    <w:rsid w:val="46177E29"/>
    <w:rsid w:val="46205B7F"/>
    <w:rsid w:val="465D501C"/>
    <w:rsid w:val="466367DB"/>
    <w:rsid w:val="46686D18"/>
    <w:rsid w:val="46C3037C"/>
    <w:rsid w:val="46FF15E0"/>
    <w:rsid w:val="4700581C"/>
    <w:rsid w:val="4702516A"/>
    <w:rsid w:val="47097F65"/>
    <w:rsid w:val="471843AC"/>
    <w:rsid w:val="47347438"/>
    <w:rsid w:val="473E61A6"/>
    <w:rsid w:val="474A4B33"/>
    <w:rsid w:val="47665A15"/>
    <w:rsid w:val="47677941"/>
    <w:rsid w:val="47737865"/>
    <w:rsid w:val="47782257"/>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C61162"/>
    <w:rsid w:val="48DB312A"/>
    <w:rsid w:val="48DF49D9"/>
    <w:rsid w:val="492108CC"/>
    <w:rsid w:val="494A4BBD"/>
    <w:rsid w:val="498D1239"/>
    <w:rsid w:val="4A05334F"/>
    <w:rsid w:val="4A244932"/>
    <w:rsid w:val="4A2922C8"/>
    <w:rsid w:val="4A4117B2"/>
    <w:rsid w:val="4A713409"/>
    <w:rsid w:val="4A7A4350"/>
    <w:rsid w:val="4A7E2497"/>
    <w:rsid w:val="4A896826"/>
    <w:rsid w:val="4ABF5E17"/>
    <w:rsid w:val="4AE01A66"/>
    <w:rsid w:val="4AED707B"/>
    <w:rsid w:val="4B0B7979"/>
    <w:rsid w:val="4B520DF4"/>
    <w:rsid w:val="4B603107"/>
    <w:rsid w:val="4B661B8A"/>
    <w:rsid w:val="4B9802B0"/>
    <w:rsid w:val="4B9E65BE"/>
    <w:rsid w:val="4B9F33A8"/>
    <w:rsid w:val="4BA80AFD"/>
    <w:rsid w:val="4BB033BA"/>
    <w:rsid w:val="4BB469AD"/>
    <w:rsid w:val="4BC06040"/>
    <w:rsid w:val="4BF441D2"/>
    <w:rsid w:val="4C033F52"/>
    <w:rsid w:val="4C194E4E"/>
    <w:rsid w:val="4C1C2A09"/>
    <w:rsid w:val="4C694192"/>
    <w:rsid w:val="4C7964D9"/>
    <w:rsid w:val="4C9B4627"/>
    <w:rsid w:val="4CC84335"/>
    <w:rsid w:val="4CE9350A"/>
    <w:rsid w:val="4CF82CB6"/>
    <w:rsid w:val="4D297BF3"/>
    <w:rsid w:val="4D2D0EAF"/>
    <w:rsid w:val="4D783DF7"/>
    <w:rsid w:val="4D7F0082"/>
    <w:rsid w:val="4D915DA7"/>
    <w:rsid w:val="4D952FD9"/>
    <w:rsid w:val="4D970662"/>
    <w:rsid w:val="4DB33393"/>
    <w:rsid w:val="4DCF1E0D"/>
    <w:rsid w:val="4DD632D9"/>
    <w:rsid w:val="4DE05DF9"/>
    <w:rsid w:val="4DE44800"/>
    <w:rsid w:val="4DEE0709"/>
    <w:rsid w:val="4DFC14EA"/>
    <w:rsid w:val="4DFF6815"/>
    <w:rsid w:val="4E0A3427"/>
    <w:rsid w:val="4E304B5D"/>
    <w:rsid w:val="4E682F8C"/>
    <w:rsid w:val="4E6A7BB7"/>
    <w:rsid w:val="4EFD239B"/>
    <w:rsid w:val="4F0773B4"/>
    <w:rsid w:val="4F307BB1"/>
    <w:rsid w:val="4F3D562D"/>
    <w:rsid w:val="4F5C4EE0"/>
    <w:rsid w:val="4F6E1972"/>
    <w:rsid w:val="4F943166"/>
    <w:rsid w:val="4FBA02A1"/>
    <w:rsid w:val="4FE7106E"/>
    <w:rsid w:val="50053943"/>
    <w:rsid w:val="502F4C40"/>
    <w:rsid w:val="50550E55"/>
    <w:rsid w:val="509F43E4"/>
    <w:rsid w:val="50A54D3E"/>
    <w:rsid w:val="50F1402B"/>
    <w:rsid w:val="50F43794"/>
    <w:rsid w:val="50FD2AD9"/>
    <w:rsid w:val="51077819"/>
    <w:rsid w:val="51097D9A"/>
    <w:rsid w:val="51237D2E"/>
    <w:rsid w:val="51996737"/>
    <w:rsid w:val="51B408B8"/>
    <w:rsid w:val="51B710C6"/>
    <w:rsid w:val="51CC0868"/>
    <w:rsid w:val="51D5340F"/>
    <w:rsid w:val="52382F2A"/>
    <w:rsid w:val="52386E3D"/>
    <w:rsid w:val="523A7DD1"/>
    <w:rsid w:val="5271774C"/>
    <w:rsid w:val="529945F3"/>
    <w:rsid w:val="52A82A88"/>
    <w:rsid w:val="52BB0A0D"/>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455968"/>
    <w:rsid w:val="545E1D01"/>
    <w:rsid w:val="54935B8F"/>
    <w:rsid w:val="54CC6227"/>
    <w:rsid w:val="54D10F9B"/>
    <w:rsid w:val="551D586C"/>
    <w:rsid w:val="55200298"/>
    <w:rsid w:val="55335E1B"/>
    <w:rsid w:val="554B7EF0"/>
    <w:rsid w:val="556F3D99"/>
    <w:rsid w:val="55860894"/>
    <w:rsid w:val="55B02DF1"/>
    <w:rsid w:val="55DC290C"/>
    <w:rsid w:val="55DD513F"/>
    <w:rsid w:val="55F01FA1"/>
    <w:rsid w:val="56080F61"/>
    <w:rsid w:val="565C42B5"/>
    <w:rsid w:val="56990B7C"/>
    <w:rsid w:val="569E1126"/>
    <w:rsid w:val="56B80DEB"/>
    <w:rsid w:val="56E06E61"/>
    <w:rsid w:val="56F653FE"/>
    <w:rsid w:val="575B7AFD"/>
    <w:rsid w:val="57660D3F"/>
    <w:rsid w:val="578401B6"/>
    <w:rsid w:val="57D1153D"/>
    <w:rsid w:val="57FA3774"/>
    <w:rsid w:val="58084A3C"/>
    <w:rsid w:val="585D2975"/>
    <w:rsid w:val="5866122A"/>
    <w:rsid w:val="587E3341"/>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3B2434"/>
    <w:rsid w:val="5A484352"/>
    <w:rsid w:val="5A5321A5"/>
    <w:rsid w:val="5A8734AF"/>
    <w:rsid w:val="5A9D3E45"/>
    <w:rsid w:val="5AA4101D"/>
    <w:rsid w:val="5AB17576"/>
    <w:rsid w:val="5ABD68E6"/>
    <w:rsid w:val="5ABF73D2"/>
    <w:rsid w:val="5AC70F4B"/>
    <w:rsid w:val="5ACB3D8A"/>
    <w:rsid w:val="5AE1508F"/>
    <w:rsid w:val="5AF80256"/>
    <w:rsid w:val="5B110CC9"/>
    <w:rsid w:val="5B1F7B5D"/>
    <w:rsid w:val="5B585171"/>
    <w:rsid w:val="5B585B78"/>
    <w:rsid w:val="5B797C0D"/>
    <w:rsid w:val="5B995664"/>
    <w:rsid w:val="5B9A2B59"/>
    <w:rsid w:val="5BAF4E87"/>
    <w:rsid w:val="5BC0085A"/>
    <w:rsid w:val="5BCE2C90"/>
    <w:rsid w:val="5BF03D58"/>
    <w:rsid w:val="5C1A6BB2"/>
    <w:rsid w:val="5C5355FE"/>
    <w:rsid w:val="5C6F4105"/>
    <w:rsid w:val="5CBB7F6F"/>
    <w:rsid w:val="5D7C3F11"/>
    <w:rsid w:val="5D845384"/>
    <w:rsid w:val="5D9D49E0"/>
    <w:rsid w:val="5DC26282"/>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1D29CD"/>
    <w:rsid w:val="5F3C492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6C1599"/>
    <w:rsid w:val="607B3C50"/>
    <w:rsid w:val="608B6567"/>
    <w:rsid w:val="60FF21D9"/>
    <w:rsid w:val="613253FD"/>
    <w:rsid w:val="61421F29"/>
    <w:rsid w:val="61712185"/>
    <w:rsid w:val="61A90D68"/>
    <w:rsid w:val="61D92C5E"/>
    <w:rsid w:val="621775E2"/>
    <w:rsid w:val="621B3D9F"/>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D01E3F"/>
    <w:rsid w:val="63EE4692"/>
    <w:rsid w:val="63FD622D"/>
    <w:rsid w:val="643E27B6"/>
    <w:rsid w:val="643F32F9"/>
    <w:rsid w:val="64582686"/>
    <w:rsid w:val="64673C87"/>
    <w:rsid w:val="64A251DD"/>
    <w:rsid w:val="650242F0"/>
    <w:rsid w:val="65542778"/>
    <w:rsid w:val="655829AF"/>
    <w:rsid w:val="655B1BDC"/>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E63767"/>
    <w:rsid w:val="67070FD0"/>
    <w:rsid w:val="67071922"/>
    <w:rsid w:val="673B73C0"/>
    <w:rsid w:val="675608B6"/>
    <w:rsid w:val="67754402"/>
    <w:rsid w:val="677D54ED"/>
    <w:rsid w:val="67B25E27"/>
    <w:rsid w:val="67B80565"/>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0A37"/>
    <w:rsid w:val="6AA86FEC"/>
    <w:rsid w:val="6ADA6AC4"/>
    <w:rsid w:val="6ADB11D6"/>
    <w:rsid w:val="6B13622E"/>
    <w:rsid w:val="6B1A2C3C"/>
    <w:rsid w:val="6B31644D"/>
    <w:rsid w:val="6B486C86"/>
    <w:rsid w:val="6B554C72"/>
    <w:rsid w:val="6B847AD7"/>
    <w:rsid w:val="6B9A2DF9"/>
    <w:rsid w:val="6BAC4619"/>
    <w:rsid w:val="6BCD2823"/>
    <w:rsid w:val="6BDD15DD"/>
    <w:rsid w:val="6BDF2966"/>
    <w:rsid w:val="6BE86A5F"/>
    <w:rsid w:val="6C234DED"/>
    <w:rsid w:val="6C29198B"/>
    <w:rsid w:val="6C30278D"/>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8343C6"/>
    <w:rsid w:val="6DB13E57"/>
    <w:rsid w:val="6DC71662"/>
    <w:rsid w:val="6DCD5126"/>
    <w:rsid w:val="6DDB6CB0"/>
    <w:rsid w:val="6DE52ACD"/>
    <w:rsid w:val="6DFC0B44"/>
    <w:rsid w:val="6E020A65"/>
    <w:rsid w:val="6E0458E7"/>
    <w:rsid w:val="6E212037"/>
    <w:rsid w:val="6E3B221B"/>
    <w:rsid w:val="6E475779"/>
    <w:rsid w:val="6E662E55"/>
    <w:rsid w:val="6E7764EF"/>
    <w:rsid w:val="6EAD447C"/>
    <w:rsid w:val="6EBC0C12"/>
    <w:rsid w:val="6ECD7F59"/>
    <w:rsid w:val="6EED7C80"/>
    <w:rsid w:val="6EF773A4"/>
    <w:rsid w:val="6EFC3450"/>
    <w:rsid w:val="6F2F2D9E"/>
    <w:rsid w:val="6F4147D9"/>
    <w:rsid w:val="6F600A38"/>
    <w:rsid w:val="6F947E4B"/>
    <w:rsid w:val="6FA30BDA"/>
    <w:rsid w:val="6FB80698"/>
    <w:rsid w:val="7024611F"/>
    <w:rsid w:val="703F78C8"/>
    <w:rsid w:val="70637B96"/>
    <w:rsid w:val="70797317"/>
    <w:rsid w:val="708D1DAA"/>
    <w:rsid w:val="7099044B"/>
    <w:rsid w:val="709D518F"/>
    <w:rsid w:val="70C759D3"/>
    <w:rsid w:val="70CF2B23"/>
    <w:rsid w:val="70D11D3D"/>
    <w:rsid w:val="710952C1"/>
    <w:rsid w:val="71431EA2"/>
    <w:rsid w:val="71452CD8"/>
    <w:rsid w:val="7158683A"/>
    <w:rsid w:val="715B2F52"/>
    <w:rsid w:val="71764F23"/>
    <w:rsid w:val="71946576"/>
    <w:rsid w:val="71967E84"/>
    <w:rsid w:val="71A61873"/>
    <w:rsid w:val="71AF4936"/>
    <w:rsid w:val="71C70B66"/>
    <w:rsid w:val="71D75D0F"/>
    <w:rsid w:val="72031631"/>
    <w:rsid w:val="721919B3"/>
    <w:rsid w:val="721A6098"/>
    <w:rsid w:val="72310D1A"/>
    <w:rsid w:val="725D6B54"/>
    <w:rsid w:val="72A17C99"/>
    <w:rsid w:val="72A23511"/>
    <w:rsid w:val="72AC074C"/>
    <w:rsid w:val="72AF6F7E"/>
    <w:rsid w:val="73047904"/>
    <w:rsid w:val="734C1A6A"/>
    <w:rsid w:val="735C5949"/>
    <w:rsid w:val="73737DA5"/>
    <w:rsid w:val="7381515F"/>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DF12AE"/>
    <w:rsid w:val="75E8633A"/>
    <w:rsid w:val="763F09AA"/>
    <w:rsid w:val="764F3FCC"/>
    <w:rsid w:val="7650339F"/>
    <w:rsid w:val="76603C9A"/>
    <w:rsid w:val="76BB1CAB"/>
    <w:rsid w:val="76C04050"/>
    <w:rsid w:val="76E65049"/>
    <w:rsid w:val="76E934EC"/>
    <w:rsid w:val="77076007"/>
    <w:rsid w:val="77413F7E"/>
    <w:rsid w:val="77835654"/>
    <w:rsid w:val="7797109C"/>
    <w:rsid w:val="779A2A38"/>
    <w:rsid w:val="77A358D1"/>
    <w:rsid w:val="77B4450A"/>
    <w:rsid w:val="77B46E73"/>
    <w:rsid w:val="77E37A12"/>
    <w:rsid w:val="77FE3468"/>
    <w:rsid w:val="780B7564"/>
    <w:rsid w:val="784D6897"/>
    <w:rsid w:val="78546F0C"/>
    <w:rsid w:val="78730464"/>
    <w:rsid w:val="78EE1C79"/>
    <w:rsid w:val="79017442"/>
    <w:rsid w:val="797239CC"/>
    <w:rsid w:val="79831473"/>
    <w:rsid w:val="7999527A"/>
    <w:rsid w:val="79AF76C5"/>
    <w:rsid w:val="79C25EE1"/>
    <w:rsid w:val="79CE2967"/>
    <w:rsid w:val="79EA664C"/>
    <w:rsid w:val="7A2F459A"/>
    <w:rsid w:val="7A517022"/>
    <w:rsid w:val="7A6F5001"/>
    <w:rsid w:val="7A820575"/>
    <w:rsid w:val="7A986540"/>
    <w:rsid w:val="7AA2343E"/>
    <w:rsid w:val="7ADA73A4"/>
    <w:rsid w:val="7AE66B99"/>
    <w:rsid w:val="7B0A3BCA"/>
    <w:rsid w:val="7B4048C1"/>
    <w:rsid w:val="7B4202DC"/>
    <w:rsid w:val="7B73082F"/>
    <w:rsid w:val="7BC62E00"/>
    <w:rsid w:val="7BE35E2A"/>
    <w:rsid w:val="7BFA1CC7"/>
    <w:rsid w:val="7BFA1CF7"/>
    <w:rsid w:val="7BFB70B3"/>
    <w:rsid w:val="7C0251DA"/>
    <w:rsid w:val="7C1052F2"/>
    <w:rsid w:val="7C2668D9"/>
    <w:rsid w:val="7C32497F"/>
    <w:rsid w:val="7C3C69AE"/>
    <w:rsid w:val="7C417CE1"/>
    <w:rsid w:val="7C691974"/>
    <w:rsid w:val="7C8A6570"/>
    <w:rsid w:val="7C8B7390"/>
    <w:rsid w:val="7C9B0D0E"/>
    <w:rsid w:val="7CA42B03"/>
    <w:rsid w:val="7CC55E61"/>
    <w:rsid w:val="7CD2318A"/>
    <w:rsid w:val="7CD2702A"/>
    <w:rsid w:val="7CD34C42"/>
    <w:rsid w:val="7CDE3FF9"/>
    <w:rsid w:val="7CE26EBF"/>
    <w:rsid w:val="7CEB2A4A"/>
    <w:rsid w:val="7CEE3130"/>
    <w:rsid w:val="7D1F6674"/>
    <w:rsid w:val="7D480B34"/>
    <w:rsid w:val="7D494CE4"/>
    <w:rsid w:val="7D9005BC"/>
    <w:rsid w:val="7D9F0AD0"/>
    <w:rsid w:val="7DAC0DCF"/>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AC3558"/>
    <w:rsid w:val="7FBF10B0"/>
    <w:rsid w:val="7FCB55CD"/>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next w:val="9"/>
    <w:qFormat/>
    <w:uiPriority w:val="0"/>
    <w:pPr>
      <w:widowControl/>
      <w:spacing w:beforeAutospacing="1" w:afterAutospacing="1"/>
      <w:jc w:val="left"/>
    </w:pPr>
    <w:rPr>
      <w:rFonts w:ascii="宋体" w:hAnsi="宋体" w:cs="宋体"/>
      <w:kern w:val="0"/>
      <w:sz w:val="24"/>
    </w:rPr>
  </w:style>
  <w:style w:type="paragraph" w:styleId="9">
    <w:name w:val="Body Text First Indent 2"/>
    <w:basedOn w:val="10"/>
    <w:next w:val="8"/>
    <w:qFormat/>
    <w:uiPriority w:val="0"/>
    <w:pPr>
      <w:ind w:firstLine="420" w:firstLineChars="200"/>
    </w:pPr>
  </w:style>
  <w:style w:type="paragraph" w:styleId="10">
    <w:name w:val="Body Text Indent"/>
    <w:basedOn w:val="1"/>
    <w:next w:val="11"/>
    <w:qFormat/>
    <w:uiPriority w:val="0"/>
    <w:pPr>
      <w:widowControl/>
      <w:spacing w:beforeAutospacing="1" w:afterAutospacing="1"/>
      <w:jc w:val="left"/>
    </w:pPr>
    <w:rPr>
      <w:rFonts w:ascii="宋体" w:hAnsi="宋体" w:cs="宋体"/>
      <w:kern w:val="0"/>
      <w:sz w:val="24"/>
    </w:rPr>
  </w:style>
  <w:style w:type="paragraph" w:styleId="11">
    <w:name w:val="envelope return"/>
    <w:basedOn w:val="1"/>
    <w:unhideWhenUsed/>
    <w:qFormat/>
    <w:uiPriority w:val="99"/>
    <w:pPr>
      <w:snapToGrid w:val="0"/>
    </w:pPr>
    <w:rPr>
      <w:rFonts w:ascii="Arial" w:hAnsi="Arial"/>
    </w:rPr>
  </w:style>
  <w:style w:type="paragraph" w:styleId="12">
    <w:name w:val="Document Map"/>
    <w:basedOn w:val="1"/>
    <w:link w:val="74"/>
    <w:qFormat/>
    <w:uiPriority w:val="0"/>
    <w:rPr>
      <w:rFonts w:ascii="宋体" w:hAnsi="Calibri"/>
      <w:sz w:val="18"/>
      <w:szCs w:val="18"/>
    </w:rPr>
  </w:style>
  <w:style w:type="paragraph" w:styleId="13">
    <w:name w:val="annotation text"/>
    <w:basedOn w:val="1"/>
    <w:qFormat/>
    <w:uiPriority w:val="0"/>
    <w:pPr>
      <w:jc w:val="left"/>
    </w:pPr>
  </w:style>
  <w:style w:type="paragraph" w:styleId="14">
    <w:name w:val="Body Text 3"/>
    <w:basedOn w:val="1"/>
    <w:qFormat/>
    <w:uiPriority w:val="0"/>
    <w:rPr>
      <w:sz w:val="16"/>
      <w:szCs w:val="16"/>
    </w:rPr>
  </w:style>
  <w:style w:type="paragraph" w:styleId="15">
    <w:name w:val="Body Text"/>
    <w:basedOn w:val="1"/>
    <w:next w:val="16"/>
    <w:link w:val="72"/>
    <w:qFormat/>
    <w:uiPriority w:val="0"/>
  </w:style>
  <w:style w:type="paragraph" w:styleId="16">
    <w:name w:val="Body Text 2"/>
    <w:basedOn w:val="1"/>
    <w:next w:val="15"/>
    <w:qFormat/>
    <w:uiPriority w:val="0"/>
    <w:pPr>
      <w:spacing w:line="480" w:lineRule="auto"/>
    </w:p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5"/>
    <w:next w:val="1"/>
    <w:qFormat/>
    <w:uiPriority w:val="0"/>
    <w:pPr>
      <w:spacing w:line="360" w:lineRule="auto"/>
      <w:ind w:firstLine="420" w:firstLineChars="100"/>
    </w:pPr>
    <w:rPr>
      <w:szCs w:val="21"/>
    </w:r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9"/>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3"/>
    <w:link w:val="15"/>
    <w:qFormat/>
    <w:uiPriority w:val="0"/>
  </w:style>
  <w:style w:type="character" w:customStyle="1" w:styleId="73">
    <w:name w:val="apple-converted-space"/>
    <w:basedOn w:val="33"/>
    <w:qFormat/>
    <w:uiPriority w:val="0"/>
  </w:style>
  <w:style w:type="character" w:customStyle="1" w:styleId="74">
    <w:name w:val="文档结构图 Char"/>
    <w:link w:val="12"/>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5"/>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14755</Words>
  <Characters>15466</Characters>
  <Lines>50</Lines>
  <Paragraphs>68</Paragraphs>
  <TotalTime>6</TotalTime>
  <ScaleCrop>false</ScaleCrop>
  <LinksUpToDate>false</LinksUpToDate>
  <CharactersWithSpaces>16382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2023-07-11T01:23:16Z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DA23CE725ABE4265B71B96C27A00DFE6_13</vt:lpwstr>
  </property>
  <property fmtid="{D5CDD505-2E9C-101B-9397-08002B2CF9AE}" pid="4" name="commondata">
    <vt:lpwstr>eyJoZGlkIjoiYzIwMjRmYTY4OTJhZjc1NTA1MGQwNDc0NzZhNTkwMmUifQ==</vt:lpwstr>
  </property>
</Properties>
</file>