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rPr>
      </w:pPr>
      <w:r>
        <w:rPr>
          <w:rFonts w:hint="eastAsia" w:cs="宋体"/>
          <w:b/>
          <w:bCs/>
          <w:sz w:val="48"/>
          <w:szCs w:val="48"/>
          <w:lang w:val="en-US" w:eastAsia="zh-CN"/>
        </w:rPr>
        <w:t>驻马店市中心医院机房及网络IT基础设施维保</w:t>
      </w: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Cs w:val="44"/>
        </w:rPr>
      </w:pPr>
      <w:r>
        <w:rPr>
          <w:rStyle w:val="43"/>
          <w:rFonts w:hint="eastAsia" w:ascii="宋体" w:hAnsi="宋体" w:eastAsia="宋体"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ascii="宋体" w:hAnsi="宋体" w:eastAsia="宋体" w:cs="宋体"/>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2023</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eastAsia="宋体" w:cs="宋体"/>
          <w:b/>
          <w:bCs/>
          <w:color w:val="000000" w:themeColor="text1"/>
          <w:spacing w:val="40"/>
          <w:sz w:val="34"/>
          <w:szCs w:val="34"/>
          <w:lang w:val="en-US" w:eastAsia="zh-CN"/>
          <w14:textFill>
            <w14:solidFill>
              <w14:schemeClr w14:val="tx1"/>
            </w14:solidFill>
          </w14:textFill>
        </w:rPr>
        <w:t>04</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hint="eastAsia" w:ascii="宋体" w:hAnsi="宋体" w:eastAsia="宋体" w:cs="宋体"/>
          <w:bCs/>
          <w:color w:val="auto"/>
          <w:sz w:val="24"/>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目录</w:t>
      </w:r>
    </w:p>
    <w:p>
      <w:pPr>
        <w:pStyle w:val="52"/>
        <w:rPr>
          <w:rFonts w:hint="eastAsia" w:ascii="宋体" w:hAnsi="宋体" w:eastAsia="宋体" w:cs="宋体"/>
          <w:color w:val="auto"/>
          <w:highlight w:val="none"/>
        </w:rPr>
      </w:pP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"_Toc9075"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第一章  招 标 公 告</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_Toc9075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"_Toc25063"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第二章  </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_Toc25063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"_Toc14504"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第三章  </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须知</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_Toc14504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"_Toc9022"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1"/>
          <w:highlight w:val="none"/>
        </w:rPr>
        <w:t>第四章  评标办法及评分标准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_Toc9022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"_Toc28988"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第五章  采购合同（主要条款）</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_Toc28988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第六章  </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格式</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_Toc2638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23</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82"/>
        <w:tabs>
          <w:tab w:val="right" w:leader="dot" w:pos="8300"/>
        </w:tabs>
        <w:snapToGrid w:val="0"/>
        <w:spacing w:line="480" w:lineRule="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fldChar w:fldCharType="end"/>
      </w:r>
    </w:p>
    <w:p>
      <w:pPr>
        <w:spacing w:line="440" w:lineRule="exact"/>
        <w:rPr>
          <w:rFonts w:hint="eastAsia" w:ascii="宋体" w:hAnsi="宋体" w:eastAsia="宋体" w:cs="宋体"/>
          <w:b/>
          <w:color w:val="auto"/>
          <w:sz w:val="32"/>
          <w:szCs w:val="32"/>
          <w:highlight w:val="none"/>
        </w:rPr>
      </w:pPr>
    </w:p>
    <w:p>
      <w:pPr>
        <w:spacing w:line="360" w:lineRule="auto"/>
        <w:ind w:firstLine="2409" w:firstLineChars="600"/>
        <w:rPr>
          <w:rFonts w:hint="eastAsia" w:ascii="宋体" w:hAnsi="宋体" w:eastAsia="宋体" w:cs="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hint="eastAsia" w:ascii="宋体" w:hAnsi="宋体" w:eastAsia="宋体" w:cs="宋体"/>
          <w:b/>
          <w:color w:val="auto"/>
          <w:sz w:val="32"/>
          <w:szCs w:val="32"/>
          <w:highlight w:val="none"/>
        </w:rPr>
      </w:pPr>
      <w:bookmarkStart w:id="2" w:name="_Toc9075"/>
      <w:r>
        <w:rPr>
          <w:rFonts w:hint="eastAsia" w:ascii="宋体" w:hAnsi="宋体" w:eastAsia="宋体" w:cs="宋体"/>
          <w:b/>
          <w:color w:val="auto"/>
          <w:sz w:val="32"/>
          <w:szCs w:val="32"/>
          <w:highlight w:val="none"/>
        </w:rPr>
        <w:t xml:space="preserve">第一章  </w:t>
      </w:r>
      <w:r>
        <w:rPr>
          <w:rFonts w:hint="eastAsia" w:ascii="宋体" w:hAnsi="宋体" w:eastAsia="宋体" w:cs="宋体"/>
          <w:b/>
          <w:color w:val="auto"/>
          <w:sz w:val="32"/>
          <w:szCs w:val="32"/>
          <w:highlight w:val="none"/>
          <w:lang w:val="en-US" w:eastAsia="zh-CN"/>
        </w:rPr>
        <w:t>竞争性磋商采购</w:t>
      </w:r>
      <w:r>
        <w:rPr>
          <w:rFonts w:hint="eastAsia" w:ascii="宋体" w:hAnsi="宋体" w:eastAsia="宋体" w:cs="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val="0"/>
          <w:color w:val="auto"/>
          <w:kern w:val="0"/>
          <w:sz w:val="28"/>
          <w:szCs w:val="28"/>
          <w:u w:val="none"/>
          <w:lang w:val="en-US" w:eastAsia="zh-CN"/>
        </w:rPr>
      </w:pPr>
      <w:r>
        <w:rPr>
          <w:rFonts w:hint="eastAsia" w:ascii="宋体" w:hAnsi="宋体" w:cs="宋体"/>
          <w:b/>
          <w:bCs w:val="0"/>
          <w:color w:val="auto"/>
          <w:kern w:val="0"/>
          <w:sz w:val="28"/>
          <w:szCs w:val="28"/>
          <w:u w:val="none"/>
          <w:lang w:val="en-US" w:eastAsia="zh-CN"/>
        </w:rPr>
        <w:t>驻马店市中心医院机房及网络IT基础设施维保</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keepNext w:val="0"/>
        <w:keepLines w:val="0"/>
        <w:pageBreakBefore w:val="0"/>
        <w:kinsoku/>
        <w:overflowPunct/>
        <w:topLinePunct w:val="0"/>
        <w:bidi w:val="0"/>
        <w:snapToGrid w:val="0"/>
        <w:spacing w:line="400" w:lineRule="exact"/>
        <w:ind w:firstLine="480" w:firstLineChars="200"/>
        <w:textAlignment w:val="auto"/>
        <w:rPr>
          <w:rFonts w:hint="eastAsia" w:ascii="宋体" w:hAnsi="宋体" w:eastAsia="宋体" w:cs="宋体"/>
          <w:color w:val="auto"/>
          <w:sz w:val="24"/>
          <w:szCs w:val="24"/>
        </w:rPr>
      </w:pPr>
      <w:bookmarkStart w:id="91" w:name="_GoBack"/>
      <w:r>
        <w:rPr>
          <w:rFonts w:hint="eastAsia" w:ascii="宋体" w:hAnsi="宋体" w:eastAsia="宋体" w:cs="宋体"/>
          <w:color w:val="auto"/>
          <w:sz w:val="24"/>
          <w:szCs w:val="28"/>
        </w:rPr>
        <w:t>驻马店市中心医院现对</w:t>
      </w:r>
      <w:r>
        <w:rPr>
          <w:rFonts w:hint="eastAsia" w:ascii="宋体" w:hAnsi="宋体" w:eastAsia="宋体" w:cs="宋体"/>
          <w:color w:val="auto"/>
          <w:sz w:val="24"/>
          <w:szCs w:val="28"/>
          <w:u w:val="single"/>
        </w:rPr>
        <w:t xml:space="preserve"> </w:t>
      </w:r>
      <w:r>
        <w:rPr>
          <w:rFonts w:hint="eastAsia" w:ascii="宋体" w:hAnsi="宋体" w:cs="宋体"/>
          <w:color w:val="auto"/>
          <w:sz w:val="24"/>
          <w:szCs w:val="28"/>
          <w:u w:val="single"/>
          <w:lang w:val="en-US" w:eastAsia="zh-CN"/>
        </w:rPr>
        <w:t>驻马店市中心医院机房及网络IT基础设施维保</w:t>
      </w:r>
      <w:r>
        <w:rPr>
          <w:rFonts w:hint="eastAsia" w:ascii="宋体" w:hAnsi="宋体" w:eastAsia="宋体" w:cs="宋体"/>
          <w:color w:val="auto"/>
          <w:sz w:val="24"/>
          <w:szCs w:val="28"/>
          <w:u w:val="single"/>
          <w:lang w:val="en-US" w:eastAsia="zh-CN"/>
        </w:rPr>
        <w:t xml:space="preserve"> </w:t>
      </w:r>
      <w:r>
        <w:rPr>
          <w:rFonts w:hint="eastAsia" w:ascii="宋体" w:hAnsi="宋体" w:eastAsia="宋体" w:cs="宋体"/>
          <w:i w:val="0"/>
          <w:iCs w:val="0"/>
          <w:color w:val="auto"/>
          <w:sz w:val="24"/>
          <w:szCs w:val="28"/>
          <w:u w:val="none"/>
          <w:lang w:val="en-US" w:eastAsia="zh-CN"/>
        </w:rPr>
        <w:t>项目</w:t>
      </w:r>
      <w:r>
        <w:rPr>
          <w:rFonts w:hint="eastAsia" w:ascii="宋体" w:hAnsi="宋体" w:eastAsia="宋体" w:cs="宋体"/>
          <w:color w:val="auto"/>
          <w:sz w:val="24"/>
          <w:szCs w:val="28"/>
        </w:rPr>
        <w:t>进行院内</w:t>
      </w:r>
      <w:r>
        <w:rPr>
          <w:rFonts w:hint="eastAsia" w:ascii="宋体" w:hAnsi="宋体" w:eastAsia="宋体" w:cs="宋体"/>
          <w:color w:val="auto"/>
          <w:sz w:val="24"/>
          <w:szCs w:val="28"/>
          <w:lang w:val="en-US" w:eastAsia="zh-CN"/>
        </w:rPr>
        <w:t>竞争性磋商</w:t>
      </w:r>
      <w:r>
        <w:rPr>
          <w:rFonts w:hint="eastAsia" w:ascii="宋体" w:hAnsi="宋体" w:eastAsia="宋体" w:cs="宋体"/>
          <w:color w:val="auto"/>
          <w:sz w:val="24"/>
          <w:szCs w:val="28"/>
        </w:rPr>
        <w:t>采购，欢迎符合资格条件的供应商前来</w:t>
      </w:r>
      <w:r>
        <w:rPr>
          <w:rFonts w:hint="eastAsia" w:ascii="宋体" w:hAnsi="宋体" w:eastAsia="宋体" w:cs="宋体"/>
          <w:color w:val="auto"/>
          <w:sz w:val="24"/>
          <w:szCs w:val="28"/>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cs="宋体"/>
          <w:color w:val="auto"/>
          <w:sz w:val="24"/>
          <w:szCs w:val="28"/>
          <w:lang w:eastAsia="zh-CN"/>
        </w:rPr>
        <w:t>驻马店市中心医院机房及网络IT基础设施维保</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3" w:name="_Toc26725"/>
      <w:r>
        <w:rPr>
          <w:rFonts w:hint="eastAsia" w:ascii="宋体" w:hAnsi="宋体" w:eastAsia="宋体" w:cs="宋体"/>
          <w:color w:val="auto"/>
          <w:sz w:val="24"/>
          <w:szCs w:val="24"/>
          <w:highlight w:val="none"/>
          <w:shd w:val="clear" w:color="auto" w:fill="FFFFFF"/>
        </w:rPr>
        <w:t>、预算金额：</w:t>
      </w:r>
      <w:r>
        <w:rPr>
          <w:rFonts w:hint="eastAsia" w:ascii="宋体" w:hAnsi="宋体" w:eastAsia="宋体" w:cs="宋体"/>
          <w:color w:val="auto"/>
          <w:kern w:val="0"/>
          <w:sz w:val="24"/>
          <w:szCs w:val="24"/>
          <w:highlight w:val="none"/>
          <w:u w:val="none"/>
          <w:lang w:val="en-US" w:eastAsia="zh-CN"/>
        </w:rPr>
        <w:t>360000.00</w:t>
      </w:r>
      <w:r>
        <w:rPr>
          <w:rFonts w:hint="eastAsia" w:ascii="宋体" w:hAnsi="宋体" w:eastAsia="宋体" w:cs="宋体"/>
          <w:color w:val="auto"/>
          <w:kern w:val="0"/>
          <w:sz w:val="24"/>
          <w:szCs w:val="24"/>
          <w:highlight w:val="none"/>
        </w:rPr>
        <w:t>元</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自筹资金；</w:t>
      </w:r>
    </w:p>
    <w:p>
      <w:pPr>
        <w:keepNext w:val="0"/>
        <w:keepLines w:val="0"/>
        <w:pageBreakBefore w:val="0"/>
        <w:kinsoku/>
        <w:overflowPunct/>
        <w:topLinePunct w:val="0"/>
        <w:bidi w:val="0"/>
        <w:snapToGrid w:val="0"/>
        <w:spacing w:line="400" w:lineRule="exact"/>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eastAsia="宋体" w:cs="宋体"/>
          <w:color w:val="auto"/>
          <w:sz w:val="24"/>
          <w:szCs w:val="24"/>
          <w:highlight w:val="none"/>
          <w:shd w:val="clear" w:color="auto" w:fill="FFFFFF"/>
          <w:lang w:val="en-US" w:eastAsia="zh-CN"/>
        </w:rPr>
        <w:t>服务地点：采购人指定地点；</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bookmarkStart w:id="4" w:name="_Toc19521"/>
      <w:bookmarkStart w:id="5" w:name="_Toc21071"/>
      <w:bookmarkStart w:id="6" w:name="_Toc26079"/>
      <w:bookmarkStart w:id="7" w:name="_Toc24040"/>
      <w:bookmarkStart w:id="8" w:name="_Toc27913"/>
      <w:r>
        <w:rPr>
          <w:rFonts w:hint="eastAsia" w:ascii="宋体" w:hAnsi="宋体" w:eastAsia="宋体" w:cs="宋体"/>
          <w:color w:val="auto"/>
          <w:sz w:val="24"/>
          <w:szCs w:val="24"/>
          <w:highlight w:val="none"/>
          <w:shd w:val="clear" w:color="auto" w:fill="FFFFFF"/>
        </w:rPr>
        <w:t>5、合同履行期限：</w:t>
      </w:r>
      <w:r>
        <w:rPr>
          <w:rFonts w:hint="eastAsia" w:ascii="宋体" w:hAnsi="宋体" w:eastAsia="宋体" w:cs="宋体"/>
          <w:color w:val="auto"/>
          <w:sz w:val="24"/>
          <w:szCs w:val="24"/>
          <w:highlight w:val="none"/>
          <w:shd w:val="clear" w:color="auto" w:fill="FFFFFF"/>
          <w:lang w:val="en-US" w:eastAsia="zh-CN"/>
        </w:rPr>
        <w:t>一年；</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rPr>
        <w:t>、</w:t>
      </w:r>
      <w:bookmarkEnd w:id="4"/>
      <w:bookmarkEnd w:id="5"/>
      <w:bookmarkEnd w:id="6"/>
      <w:bookmarkEnd w:id="7"/>
      <w:bookmarkEnd w:id="8"/>
      <w:r>
        <w:rPr>
          <w:rFonts w:hint="eastAsia" w:ascii="宋体" w:hAnsi="宋体" w:eastAsia="宋体" w:cs="宋体"/>
          <w:color w:val="auto"/>
          <w:sz w:val="24"/>
          <w:szCs w:val="24"/>
          <w:highlight w:val="none"/>
          <w:shd w:val="clear" w:color="auto" w:fill="FFFFFF"/>
          <w:lang w:eastAsia="zh-CN"/>
        </w:rPr>
        <w:t>服务</w:t>
      </w:r>
      <w:r>
        <w:rPr>
          <w:rFonts w:hint="eastAsia" w:ascii="宋体" w:hAnsi="宋体" w:eastAsia="宋体" w:cs="宋体"/>
          <w:color w:val="auto"/>
          <w:sz w:val="24"/>
          <w:szCs w:val="24"/>
          <w:highlight w:val="none"/>
          <w:shd w:val="clear" w:color="auto" w:fill="FFFFFF"/>
        </w:rPr>
        <w:t>要求：</w:t>
      </w:r>
      <w:r>
        <w:rPr>
          <w:rFonts w:hint="eastAsia" w:ascii="宋体" w:hAnsi="宋体" w:eastAsia="宋体" w:cs="宋体"/>
          <w:color w:val="auto"/>
          <w:sz w:val="24"/>
          <w:szCs w:val="24"/>
          <w:highlight w:val="none"/>
          <w:shd w:val="clear" w:color="auto" w:fill="FFFFFF"/>
          <w:lang w:eastAsia="zh-CN"/>
        </w:rPr>
        <w:t>合格（以采购人要求为准）。</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bookmarkStart w:id="9" w:name="_Toc23626"/>
      <w:bookmarkStart w:id="10" w:name="_Toc16639"/>
      <w:bookmarkStart w:id="11" w:name="_Toc27704"/>
      <w:bookmarkStart w:id="12" w:name="_Toc18607"/>
      <w:r>
        <w:rPr>
          <w:rFonts w:hint="eastAsia" w:ascii="宋体" w:hAnsi="宋体" w:eastAsia="宋体" w:cs="宋体"/>
          <w:b/>
          <w:bCs/>
          <w:color w:val="auto"/>
          <w:kern w:val="2"/>
          <w:sz w:val="24"/>
          <w:szCs w:val="24"/>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2、供应商应提供2021年度或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3、具有履行合同所必需的设备和专业技术能力（提供书面声明函）。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4、参加本采购活动前三年内，在经营活动中没有重大违法记录（提供书面声明函）。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5、符合法律、行政法规规定的其他条件。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sz w:val="24"/>
          <w:szCs w:val="28"/>
          <w:lang w:val="en-US" w:eastAsia="zh-CN"/>
        </w:rPr>
      </w:pPr>
      <w:r>
        <w:rPr>
          <w:rFonts w:hint="eastAsia" w:ascii="宋体" w:hAnsi="宋体" w:eastAsia="宋体" w:cs="宋体"/>
          <w:color w:val="auto"/>
          <w:kern w:val="2"/>
          <w:sz w:val="24"/>
          <w:szCs w:val="32"/>
          <w:highlight w:val="none"/>
          <w:lang w:val="en-US" w:eastAsia="zh-CN" w:bidi="ar-SA"/>
        </w:rPr>
        <w:t>6</w:t>
      </w:r>
      <w:r>
        <w:rPr>
          <w:rFonts w:hint="eastAsia" w:ascii="宋体" w:hAnsi="宋体" w:eastAsia="宋体" w:cs="宋体"/>
          <w:color w:val="auto"/>
          <w:sz w:val="24"/>
          <w:szCs w:val="28"/>
          <w:highlight w:val="none"/>
          <w:lang w:val="en-US" w:eastAsia="zh-CN"/>
        </w:rPr>
        <w:t>、</w:t>
      </w:r>
      <w:r>
        <w:rPr>
          <w:rFonts w:hint="eastAsia" w:ascii="宋体" w:hAnsi="宋体" w:eastAsia="宋体" w:cs="宋体"/>
          <w:color w:val="auto"/>
          <w:sz w:val="24"/>
          <w:szCs w:val="28"/>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7、不接受联合体投标。</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4"/>
          <w:szCs w:val="32"/>
          <w:lang w:val="en-US" w:eastAsia="zh-CN" w:bidi="ar-SA"/>
        </w:rPr>
      </w:pPr>
      <w:bookmarkStart w:id="13" w:name="_Toc9562"/>
      <w:bookmarkStart w:id="14" w:name="_Toc30971"/>
      <w:bookmarkStart w:id="15" w:name="_Toc30643"/>
      <w:bookmarkStart w:id="16" w:name="_Toc7823"/>
      <w:bookmarkStart w:id="17" w:name="_Toc23395"/>
      <w:r>
        <w:rPr>
          <w:rFonts w:hint="eastAsia" w:ascii="宋体" w:hAnsi="宋体" w:eastAsia="宋体" w:cs="宋体"/>
          <w:b/>
          <w:bCs/>
          <w:color w:val="auto"/>
          <w:kern w:val="2"/>
          <w:sz w:val="24"/>
          <w:szCs w:val="32"/>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400" w:lineRule="exact"/>
        <w:ind w:firstLine="480" w:firstLineChars="200"/>
        <w:jc w:val="left"/>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auto"/>
          <w:sz w:val="24"/>
          <w:szCs w:val="24"/>
          <w:shd w:val="clear" w:color="auto" w:fill="FFFFFF"/>
        </w:rPr>
        <w:t>1</w:t>
      </w:r>
      <w:r>
        <w:rPr>
          <w:rFonts w:hint="eastAsia" w:ascii="宋体" w:hAnsi="宋体" w:eastAsia="宋体" w:cs="宋体"/>
          <w:color w:val="auto"/>
          <w:sz w:val="24"/>
          <w:szCs w:val="24"/>
          <w:shd w:val="clear" w:color="auto" w:fill="FFFFFF"/>
          <w:lang w:val="en-US" w:eastAsia="zh-CN"/>
        </w:rPr>
        <w:t>.报</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4"/>
          <w:szCs w:val="24"/>
          <w:shd w:val="clear" w:color="auto" w:fill="FFFFFF"/>
          <w14:textFill>
            <w14:solidFill>
              <w14:schemeClr w14:val="tx1"/>
            </w14:solidFill>
          </w14:textFill>
        </w:rPr>
        <w:t>时间：</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202</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14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日-202</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18</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日</w:t>
      </w:r>
      <w:r>
        <w:rPr>
          <w:rFonts w:hint="eastAsia" w:ascii="宋体" w:hAnsi="宋体" w:eastAsia="宋体" w:cs="宋体"/>
          <w:color w:val="auto"/>
          <w:sz w:val="24"/>
          <w:szCs w:val="24"/>
          <w:highlight w:val="none"/>
          <w:shd w:val="clear" w:color="auto" w:fill="FFFFFF"/>
        </w:rPr>
        <w:t>，上</w:t>
      </w:r>
      <w:r>
        <w:rPr>
          <w:rFonts w:hint="eastAsia" w:ascii="宋体" w:hAnsi="宋体" w:eastAsia="宋体" w:cs="宋体"/>
          <w:color w:val="auto"/>
          <w:sz w:val="24"/>
          <w:szCs w:val="24"/>
          <w:shd w:val="clear" w:color="auto" w:fill="FFFFFF"/>
        </w:rPr>
        <w:t>午8：30-11:30，下午14:30-17:30</w:t>
      </w:r>
      <w:r>
        <w:rPr>
          <w:rFonts w:hint="eastAsia" w:ascii="宋体" w:hAnsi="宋体" w:eastAsia="宋体" w:cs="宋体"/>
          <w:color w:val="000000" w:themeColor="text1"/>
          <w:sz w:val="24"/>
          <w:szCs w:val="24"/>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报名费用：200元。</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2.凡报名成功的供应商无故不来参与投标的列入我院黑名单，一年内不得参与我院任何采购活动。成交供应商缴纳相应服务费。 </w:t>
      </w:r>
    </w:p>
    <w:p>
      <w:pPr>
        <w:keepNext w:val="0"/>
        <w:keepLines w:val="0"/>
        <w:pageBreakBefore w:val="0"/>
        <w:widowControl/>
        <w:kinsoku/>
        <w:wordWrap w:val="0"/>
        <w:overflowPunct/>
        <w:topLinePunct w:val="0"/>
        <w:bidi w:val="0"/>
        <w:snapToGrid w:val="0"/>
        <w:spacing w:before="0" w:beforeAutospacing="0" w:after="0" w:afterAutospacing="0" w:line="400" w:lineRule="exact"/>
        <w:ind w:left="0" w:leftChars="0" w:firstLine="480" w:firstLineChars="200"/>
        <w:jc w:val="left"/>
        <w:textAlignment w:val="auto"/>
        <w:rPr>
          <w:rFonts w:hint="eastAsia" w:ascii="宋体" w:hAnsi="宋体" w:eastAsia="宋体" w:cs="宋体"/>
          <w:color w:val="000000" w:themeColor="text1"/>
          <w:kern w:val="0"/>
          <w:sz w:val="24"/>
          <w:szCs w:val="24"/>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3269714460@qq.com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并标明XX</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项目报名资料；审核通过后按要求交纳报名费。</w:t>
      </w:r>
    </w:p>
    <w:p>
      <w:pPr>
        <w:keepNext w:val="0"/>
        <w:keepLines w:val="0"/>
        <w:pageBreakBefore w:val="0"/>
        <w:widowControl/>
        <w:kinsoku/>
        <w:wordWrap w:val="0"/>
        <w:overflowPunct/>
        <w:topLinePunct w:val="0"/>
        <w:bidi w:val="0"/>
        <w:snapToGrid w:val="0"/>
        <w:spacing w:before="0" w:beforeAutospacing="0" w:after="0" w:afterAutospacing="0" w:line="400" w:lineRule="exact"/>
        <w:ind w:left="420" w:left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18" w:name="_Toc25869"/>
      <w:bookmarkStart w:id="19" w:name="_Toc15111"/>
      <w:bookmarkStart w:id="20" w:name="_Toc15135"/>
      <w:bookmarkStart w:id="21" w:name="_Toc10738"/>
      <w:bookmarkStart w:id="22" w:name="_Toc27480"/>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四、投标截止时间及地点</w:t>
      </w:r>
      <w:bookmarkEnd w:id="18"/>
      <w:bookmarkEnd w:id="19"/>
      <w:bookmarkEnd w:id="20"/>
      <w:bookmarkEnd w:id="21"/>
      <w:bookmarkEnd w:id="22"/>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3" w:name="_Toc30918"/>
      <w:bookmarkStart w:id="24" w:name="_Toc20287"/>
      <w:bookmarkStart w:id="25" w:name="_Toc29784"/>
      <w:bookmarkStart w:id="26" w:name="_Toc6523"/>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六、发布公告的媒介及</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公告期限</w:t>
      </w:r>
      <w:bookmarkEnd w:id="23"/>
      <w:bookmarkEnd w:id="24"/>
      <w:bookmarkEnd w:id="25"/>
      <w:bookmarkEnd w:id="26"/>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4"/>
          <w:szCs w:val="24"/>
          <w:shd w:val="clear" w:color="auto" w:fill="auto"/>
          <w14:textFill>
            <w14:solidFill>
              <w14:schemeClr w14:val="tx1"/>
            </w14:solidFill>
          </w14:textFill>
        </w:rPr>
        <w:t>上发布</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bookmarkStart w:id="27" w:name="_Toc35393795"/>
      <w:bookmarkStart w:id="28" w:name="_Toc35393626"/>
    </w:p>
    <w:bookmarkEnd w:id="27"/>
    <w:bookmarkEnd w:id="28"/>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29" w:name="_Toc27370"/>
      <w:bookmarkStart w:id="30" w:name="_Toc31928"/>
      <w:bookmarkStart w:id="31" w:name="_Toc16291"/>
      <w:bookmarkStart w:id="32" w:name="_Toc24274"/>
      <w:bookmarkStart w:id="33" w:name="_Toc3604"/>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七、</w:t>
      </w:r>
      <w:bookmarkEnd w:id="29"/>
      <w:bookmarkEnd w:id="30"/>
      <w:bookmarkEnd w:id="31"/>
      <w:bookmarkEnd w:id="32"/>
      <w:bookmarkEnd w:id="33"/>
      <w:r>
        <w:rPr>
          <w:rFonts w:hint="eastAsia" w:ascii="宋体" w:hAnsi="宋体" w:eastAsia="宋体" w:cs="宋体"/>
          <w:b/>
          <w:bCs/>
          <w:color w:val="000000" w:themeColor="text1"/>
          <w:kern w:val="2"/>
          <w:sz w:val="24"/>
          <w:szCs w:val="24"/>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报名联系人1：张先生</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联系电话：0396-2838319   15518321111</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报名联系人2：庞先生</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联系电话：18272909999</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sz w:val="24"/>
          <w:szCs w:val="28"/>
          <w:lang w:val="en-US" w:eastAsia="zh-CN"/>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监督电话：0396-2725435</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驻马店市中心医院采购科</w:t>
      </w:r>
    </w:p>
    <w:p>
      <w:pPr>
        <w:pStyle w:val="28"/>
        <w:keepNext w:val="0"/>
        <w:keepLines w:val="0"/>
        <w:pageBreakBefore w:val="0"/>
        <w:widowControl/>
        <w:kinsoku/>
        <w:overflowPunct/>
        <w:topLinePunct w:val="0"/>
        <w:bidi w:val="0"/>
        <w:snapToGrid w:val="0"/>
        <w:spacing w:before="0" w:beforeAutospacing="0" w:after="0" w:afterAutospacing="0" w:line="360" w:lineRule="auto"/>
        <w:ind w:firstLine="480" w:firstLineChars="200"/>
        <w:jc w:val="center"/>
        <w:textAlignment w:val="auto"/>
        <w:rPr>
          <w:rFonts w:hint="eastAsia" w:ascii="宋体" w:hAnsi="宋体" w:eastAsia="宋体" w:cs="宋体"/>
          <w:b/>
          <w:color w:val="auto"/>
          <w:sz w:val="32"/>
          <w:szCs w:val="32"/>
          <w:highlight w:val="none"/>
        </w:rPr>
      </w:pPr>
      <w:r>
        <w:rPr>
          <w:rFonts w:hint="eastAsia" w:ascii="宋体" w:hAnsi="宋体" w:eastAsia="宋体" w:cs="宋体"/>
          <w:color w:val="auto"/>
          <w:kern w:val="0"/>
          <w:sz w:val="24"/>
          <w:szCs w:val="24"/>
          <w:shd w:val="clear" w:color="auto" w:fill="FFFFFF"/>
          <w:lang w:val="en-US" w:eastAsia="zh-CN" w:bidi="ar-SA"/>
        </w:rPr>
        <w:t xml:space="preserve">                                               2023年</w:t>
      </w:r>
      <w:r>
        <w:rPr>
          <w:rFonts w:hint="eastAsia" w:ascii="宋体" w:hAnsi="宋体" w:eastAsia="宋体" w:cs="宋体"/>
          <w:color w:val="auto"/>
          <w:kern w:val="0"/>
          <w:sz w:val="24"/>
          <w:szCs w:val="24"/>
          <w:highlight w:val="none"/>
          <w:shd w:val="clear" w:color="auto" w:fill="FFFFFF"/>
          <w:lang w:val="en-US" w:eastAsia="zh-CN" w:bidi="ar-SA"/>
        </w:rPr>
        <w:t>04月</w:t>
      </w:r>
      <w:r>
        <w:rPr>
          <w:rFonts w:hint="eastAsia" w:ascii="宋体" w:hAnsi="宋体" w:cs="宋体"/>
          <w:color w:val="auto"/>
          <w:kern w:val="0"/>
          <w:sz w:val="24"/>
          <w:szCs w:val="24"/>
          <w:highlight w:val="none"/>
          <w:shd w:val="clear" w:color="auto" w:fill="FFFFFF"/>
          <w:lang w:val="en-US" w:eastAsia="zh-CN" w:bidi="ar-SA"/>
        </w:rPr>
        <w:t>13</w:t>
      </w:r>
      <w:r>
        <w:rPr>
          <w:rFonts w:hint="eastAsia" w:ascii="宋体" w:hAnsi="宋体" w:eastAsia="宋体" w:cs="宋体"/>
          <w:color w:val="auto"/>
          <w:kern w:val="0"/>
          <w:sz w:val="24"/>
          <w:szCs w:val="24"/>
          <w:highlight w:val="none"/>
          <w:shd w:val="clear" w:color="auto" w:fill="FFFFFF"/>
          <w:lang w:val="en-US" w:eastAsia="zh-CN" w:bidi="ar-SA"/>
        </w:rPr>
        <w:t>日</w:t>
      </w:r>
      <w:bookmarkStart w:id="34" w:name="_Toc25063"/>
      <w:bookmarkStart w:id="35" w:name="_Toc23793"/>
      <w:bookmarkStart w:id="36" w:name="_Toc29890"/>
    </w:p>
    <w:p>
      <w:pPr>
        <w:widowControl/>
        <w:spacing w:line="360" w:lineRule="auto"/>
        <w:ind w:firstLine="643" w:firstLineChars="200"/>
        <w:jc w:val="center"/>
        <w:outlineLvl w:val="0"/>
        <w:rPr>
          <w:rFonts w:hint="eastAsia" w:ascii="宋体" w:hAnsi="宋体" w:eastAsia="宋体" w:cs="宋体"/>
          <w:b/>
          <w:color w:val="auto"/>
          <w:sz w:val="32"/>
          <w:szCs w:val="32"/>
          <w:highlight w:val="none"/>
        </w:rPr>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pPr>
    </w:p>
    <w:bookmarkEnd w:id="91"/>
    <w:p>
      <w:pPr>
        <w:widowControl/>
        <w:spacing w:line="360" w:lineRule="auto"/>
        <w:ind w:firstLine="643" w:firstLineChars="200"/>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第二章  </w:t>
      </w: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需求</w:t>
      </w:r>
      <w:bookmarkEnd w:id="34"/>
      <w:bookmarkStart w:id="37" w:name="_Toc9989"/>
      <w:bookmarkStart w:id="38" w:name="_Toc31536"/>
      <w:bookmarkStart w:id="39" w:name="_Toc23610"/>
    </w:p>
    <w:bookmarkEnd w:id="35"/>
    <w:bookmarkEnd w:id="36"/>
    <w:bookmarkEnd w:id="37"/>
    <w:bookmarkEnd w:id="38"/>
    <w:bookmarkEnd w:id="39"/>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4"/>
          <w:szCs w:val="24"/>
          <w:lang w:val="en-US" w:eastAsia="zh-CN" w:bidi="ar-SA"/>
        </w:rPr>
      </w:pPr>
      <w:bookmarkStart w:id="40" w:name="_Toc14504"/>
      <w:r>
        <w:rPr>
          <w:rFonts w:hint="eastAsia" w:ascii="宋体" w:hAnsi="宋体" w:eastAsia="宋体" w:cs="宋体"/>
          <w:b/>
          <w:bCs/>
          <w:kern w:val="2"/>
          <w:sz w:val="24"/>
          <w:szCs w:val="24"/>
          <w:lang w:val="en-US" w:eastAsia="zh-CN" w:bidi="ar-SA"/>
        </w:rPr>
        <w:t>一、项目名称、数量</w:t>
      </w:r>
      <w:r>
        <w:rPr>
          <w:rFonts w:hint="eastAsia" w:ascii="宋体" w:hAnsi="宋体" w:eastAsia="宋体" w:cs="宋体"/>
          <w:kern w:val="2"/>
          <w:sz w:val="24"/>
          <w:szCs w:val="24"/>
          <w:lang w:val="en-US" w:eastAsia="zh-CN" w:bidi="ar-SA"/>
        </w:rPr>
        <w:t>：</w:t>
      </w:r>
      <w:r>
        <w:rPr>
          <w:rFonts w:hint="eastAsia" w:cs="宋体"/>
          <w:color w:val="auto"/>
          <w:sz w:val="24"/>
          <w:szCs w:val="28"/>
          <w:lang w:eastAsia="zh-CN"/>
        </w:rPr>
        <w:t>驻马店市中心医院机房及网络IT基础设施维保</w:t>
      </w:r>
      <w:r>
        <w:rPr>
          <w:rFonts w:hint="eastAsia" w:ascii="宋体" w:hAnsi="宋体" w:eastAsia="宋体" w:cs="宋体"/>
          <w:kern w:val="2"/>
          <w:sz w:val="24"/>
          <w:szCs w:val="24"/>
          <w:lang w:val="en-US" w:eastAsia="zh-CN" w:bidi="ar-SA"/>
        </w:rPr>
        <w:t xml:space="preserve">                    </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二、项目用途说明：</w:t>
      </w:r>
      <w:r>
        <w:rPr>
          <w:rFonts w:hint="eastAsia" w:ascii="宋体" w:hAnsi="宋体" w:eastAsia="宋体" w:cs="宋体"/>
          <w:kern w:val="2"/>
          <w:sz w:val="24"/>
          <w:szCs w:val="24"/>
          <w:lang w:val="en-US" w:eastAsia="zh-CN" w:bidi="ar-SA"/>
        </w:rPr>
        <w:t xml:space="preserve">/                        </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三、配置规格、附件及零配件（包括专用工具）：</w:t>
      </w:r>
    </w:p>
    <w:tbl>
      <w:tblPr>
        <w:tblStyle w:val="3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205"/>
        <w:gridCol w:w="1837"/>
        <w:gridCol w:w="1559"/>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序号</w:t>
            </w:r>
          </w:p>
        </w:tc>
        <w:tc>
          <w:tcPr>
            <w:tcW w:w="3205"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项目名称</w:t>
            </w:r>
          </w:p>
        </w:tc>
        <w:tc>
          <w:tcPr>
            <w:tcW w:w="1837"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数量或规模</w:t>
            </w:r>
          </w:p>
        </w:tc>
        <w:tc>
          <w:tcPr>
            <w:tcW w:w="1559"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资金预算</w:t>
            </w:r>
          </w:p>
        </w:tc>
        <w:tc>
          <w:tcPr>
            <w:tcW w:w="1644"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3205"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驻马店市中心医院机房及网络IT基础设施维保</w:t>
            </w:r>
          </w:p>
        </w:tc>
        <w:tc>
          <w:tcPr>
            <w:tcW w:w="1837"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1年</w:t>
            </w:r>
          </w:p>
        </w:tc>
        <w:tc>
          <w:tcPr>
            <w:tcW w:w="1559"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36万元</w:t>
            </w:r>
          </w:p>
        </w:tc>
        <w:tc>
          <w:tcPr>
            <w:tcW w:w="1644"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自筹</w:t>
            </w:r>
          </w:p>
        </w:tc>
      </w:tr>
    </w:tbl>
    <w:p>
      <w:pPr>
        <w:pStyle w:val="12"/>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详细技术要求、参数及产品资料等：</w:t>
      </w:r>
    </w:p>
    <w:p>
      <w:pPr>
        <w:pStyle w:val="87"/>
        <w:numPr>
          <w:ilvl w:val="0"/>
          <w:numId w:val="0"/>
        </w:num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服务范围</w:t>
      </w:r>
      <w:r>
        <w:rPr>
          <w:rFonts w:hint="eastAsia" w:ascii="宋体" w:hAnsi="宋体" w:eastAsia="宋体" w:cs="宋体"/>
          <w:b/>
          <w:bCs/>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333333"/>
          <w:sz w:val="24"/>
          <w:szCs w:val="24"/>
          <w:shd w:val="clear" w:color="auto" w:fill="FFFFFF"/>
        </w:rPr>
        <w:t>全院的机房和网络基础设施，包括机房动力及环境、主机系统、存储/备份系统、网络系统、安全系统等。</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66"/>
        <w:gridCol w:w="2436"/>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427"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b/>
                <w:bCs/>
                <w:sz w:val="24"/>
                <w:szCs w:val="24"/>
              </w:rPr>
              <w:t>分类</w:t>
            </w:r>
          </w:p>
        </w:tc>
        <w:tc>
          <w:tcPr>
            <w:tcW w:w="1304"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b/>
                <w:bCs/>
                <w:sz w:val="24"/>
                <w:szCs w:val="24"/>
              </w:rPr>
              <w:t>规模</w:t>
            </w:r>
          </w:p>
        </w:tc>
        <w:tc>
          <w:tcPr>
            <w:tcW w:w="2269"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1427"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机房</w:t>
            </w:r>
          </w:p>
        </w:tc>
        <w:tc>
          <w:tcPr>
            <w:tcW w:w="1304"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机房≥4个</w:t>
            </w:r>
          </w:p>
        </w:tc>
        <w:tc>
          <w:tcPr>
            <w:tcW w:w="2269"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中心院区≥2个，妇儿院区≥2个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1427"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主机</w:t>
            </w:r>
          </w:p>
        </w:tc>
        <w:tc>
          <w:tcPr>
            <w:tcW w:w="1304"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各类主机≥147台</w:t>
            </w:r>
          </w:p>
        </w:tc>
        <w:tc>
          <w:tcPr>
            <w:tcW w:w="2269"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中心院区≥136台，妇儿院区≥11台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1427"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存储</w:t>
            </w:r>
          </w:p>
        </w:tc>
        <w:tc>
          <w:tcPr>
            <w:tcW w:w="1304"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存储≥6套</w:t>
            </w:r>
          </w:p>
        </w:tc>
        <w:tc>
          <w:tcPr>
            <w:tcW w:w="2269"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中心医院≥6套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1427"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网络</w:t>
            </w:r>
          </w:p>
        </w:tc>
        <w:tc>
          <w:tcPr>
            <w:tcW w:w="1304"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交换机≥579台</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基站≥62台</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天线≥2000个</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AP≥1000个</w:t>
            </w:r>
          </w:p>
        </w:tc>
        <w:tc>
          <w:tcPr>
            <w:tcW w:w="2269"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中心院区交换机≥284台，基站≥62台，天线≥2000个；妇儿院区交换机≥278台，AP≥1000个；康复院区交换机≥10台；生殖院区交换机≥6台；通达门诊交换机≥1台。含数据中心机房和各楼宇。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1427"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安全</w:t>
            </w:r>
          </w:p>
        </w:tc>
        <w:tc>
          <w:tcPr>
            <w:tcW w:w="1304"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各类设备≥29台</w:t>
            </w:r>
          </w:p>
        </w:tc>
        <w:tc>
          <w:tcPr>
            <w:tcW w:w="2269" w:type="pct"/>
            <w:shd w:val="clear" w:color="auto" w:fill="auto"/>
            <w:tcMar>
              <w:top w:w="72" w:type="dxa"/>
              <w:left w:w="192" w:type="dxa"/>
              <w:bottom w:w="72" w:type="dxa"/>
              <w:right w:w="192" w:type="dxa"/>
            </w:tcMar>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中心医院≥25台，妇儿院区≥4台</w:t>
            </w:r>
          </w:p>
        </w:tc>
      </w:tr>
    </w:tbl>
    <w:p>
      <w:pPr>
        <w:pStyle w:val="87"/>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服务内容</w:t>
      </w:r>
    </w:p>
    <w:p>
      <w:pPr>
        <w:pStyle w:val="87"/>
        <w:numPr>
          <w:ilvl w:val="0"/>
          <w:numId w:val="2"/>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咨询规划。在机房和网络的规划设计、工程建设、人员培训、管理体系、技术支撑等方面提供管理、技术和方案咨询。</w:t>
      </w:r>
    </w:p>
    <w:p>
      <w:pPr>
        <w:pStyle w:val="87"/>
        <w:numPr>
          <w:ilvl w:val="0"/>
          <w:numId w:val="2"/>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技术培训。在机房和网络的建设标准、管理运营、应用技术、故障处理等方面提供培训。</w:t>
      </w:r>
    </w:p>
    <w:p>
      <w:pPr>
        <w:pStyle w:val="87"/>
        <w:numPr>
          <w:ilvl w:val="0"/>
          <w:numId w:val="2"/>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项目支持。在医院项目建设过程中，对涉及的机房动力及环境、主机、存储、网络、安全和数据等实施工作，提供必要的协助和支持。</w:t>
      </w:r>
    </w:p>
    <w:p>
      <w:pPr>
        <w:pStyle w:val="87"/>
        <w:numPr>
          <w:ilvl w:val="0"/>
          <w:numId w:val="2"/>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运行维护。</w:t>
      </w:r>
    </w:p>
    <w:p>
      <w:pPr>
        <w:pStyle w:val="87"/>
        <w:numPr>
          <w:ilvl w:val="0"/>
          <w:numId w:val="3"/>
        </w:num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机房运维。对保证机房正常运行所必需的电力、空调、消防、安防等动力及环境进行运维。包括：例行巡检、状态监控、响应支持、故障处理、性能优化、清洁养护、线路整理、标识标注等服务。</w:t>
      </w:r>
    </w:p>
    <w:p>
      <w:pPr>
        <w:pStyle w:val="87"/>
        <w:numPr>
          <w:ilvl w:val="0"/>
          <w:numId w:val="3"/>
        </w:num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主机运维。对小型机、X86服务器等主机设备及主机上的操作系统、虚拟化系统、数据库系统等基础软件进行运维。包括：例行巡检、状态监控、响应支持、故障处理、性能优化、系统备份、安装调试、设备移机、清洁养护、线路整理、标识标注等服务。</w:t>
      </w:r>
    </w:p>
    <w:p>
      <w:pPr>
        <w:pStyle w:val="87"/>
        <w:numPr>
          <w:ilvl w:val="0"/>
          <w:numId w:val="3"/>
        </w:num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存储运维。对存储交换机、存储控制器、存储磁盘阵列、分布式存储、磁带机等存储设备进行运维。包括：例行巡检、状态监控、响应支持、故障处理、性能优化、系统备份、数据恢复、安装调试、设备移机、清洁养护、线路整理、标识标注等服务。</w:t>
      </w:r>
    </w:p>
    <w:p>
      <w:pPr>
        <w:pStyle w:val="87"/>
        <w:numPr>
          <w:ilvl w:val="0"/>
          <w:numId w:val="3"/>
        </w:num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网络运维。对交换机、基站、AP、天线等网络设备以及各楼宇弱电间和网络机柜的动力及环境进行运维。包括：例行巡检、状态监控、响应支持、故障处理、性能优化、配置备份、安装调试、设备移机、清洁养护、线路整理、标识标注等服务。</w:t>
      </w:r>
    </w:p>
    <w:p>
      <w:pPr>
        <w:pStyle w:val="87"/>
        <w:numPr>
          <w:ilvl w:val="0"/>
          <w:numId w:val="3"/>
        </w:num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安全运维。对防火墙、WAF、IPS、网闸、上网行为管理、负载均衡等安全设备进行运维。包括：例行巡检、状态监控、响应支持、故障处理、性能优化、配置备份、安装调试、设备移机、清洁养护、线路整理、标识标注等服务。</w:t>
      </w:r>
    </w:p>
    <w:p>
      <w:pPr>
        <w:pStyle w:val="87"/>
        <w:numPr>
          <w:ilvl w:val="0"/>
          <w:numId w:val="2"/>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应急保障。在突发网络安全事件以及重要节日活动（如国庆、两会、网络安全攻防演习、网络安全检查等）期间，提供现场值守应急保障服务。</w:t>
      </w:r>
    </w:p>
    <w:p>
      <w:pPr>
        <w:pStyle w:val="87"/>
        <w:numPr>
          <w:ilvl w:val="0"/>
          <w:numId w:val="2"/>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设备维保。对主机、存储、网络和安全设备提供原厂软硬件整机维保，提供原厂现场技术支持，对设备软件版本和规则库免费升级，对设备硬件故障免费更换原厂配件或整机。</w:t>
      </w:r>
    </w:p>
    <w:p>
      <w:pPr>
        <w:pStyle w:val="87"/>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交付要求</w:t>
      </w:r>
    </w:p>
    <w:p>
      <w:pPr>
        <w:pStyle w:val="87"/>
        <w:numPr>
          <w:ilvl w:val="0"/>
          <w:numId w:val="4"/>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提供并维护设备统计表，对机房和网络各种设备进行编号，详细记录设备名称，设备型号，硬件配置、序列号、设备安装地点、维保期限等信息。</w:t>
      </w:r>
    </w:p>
    <w:p>
      <w:pPr>
        <w:pStyle w:val="87"/>
        <w:numPr>
          <w:ilvl w:val="0"/>
          <w:numId w:val="4"/>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提供并维护资源统计表，详细记录链路、域名租赁等资源信息。</w:t>
      </w:r>
    </w:p>
    <w:p>
      <w:pPr>
        <w:pStyle w:val="87"/>
        <w:numPr>
          <w:ilvl w:val="0"/>
          <w:numId w:val="4"/>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提供并维护网络拓扑图，详细记录网络设备级联管理。</w:t>
      </w:r>
    </w:p>
    <w:p>
      <w:pPr>
        <w:pStyle w:val="87"/>
        <w:numPr>
          <w:ilvl w:val="0"/>
          <w:numId w:val="4"/>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提供并维护各类IT技术文档，如地址分配、主机分配、支持和管理的系统信息，安全防护策略、配置信息、逻辑图、各系统口令等。</w:t>
      </w:r>
    </w:p>
    <w:p>
      <w:pPr>
        <w:pStyle w:val="87"/>
        <w:numPr>
          <w:ilvl w:val="0"/>
          <w:numId w:val="4"/>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提供设备维护档案，详细记录设备编号、设备名称、设备型号、故障时间、故障类型、维护措施、维护质量、维护时间及维修人员等信息。</w:t>
      </w:r>
    </w:p>
    <w:p>
      <w:pPr>
        <w:pStyle w:val="87"/>
        <w:numPr>
          <w:ilvl w:val="0"/>
          <w:numId w:val="4"/>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提供设备巡检记录。巡检分为机房巡检和各楼宇弱电间、网络设备巡检，包括设备软件检查、硬件检查和环境检查三项内容。软件检查内容包括：数据完整性检查、性能指标检查、告警功能检查、软件可用性与安全性检查等；硬件检查内容包括：硬件告警、系统日志检查、运行状态检查、配线系统检查等；环境检查内容包括：地线架检查、配电检查、温湿度检查、环境防护检查等。机房常规巡检每天≥1次，现场查看结合运维管理平台监控方式，检查机房设备硬件告警和机房动力及环境告警。机房大型检查每月≥1次，现场检查结合运维管理平台监控和登机检查方式，全面检查机房设备软硬件和机房动力及环境状态。各楼宇弱电间、网络设备巡检每月≥1次，现场检查结合运维管理平台监控和登机检查方式，全面检查各楼宇网络设备软硬件和物理运行环境状态。在设备巡检过程中发现问题，依据故障分类标准，及时进行故障处理，性能优化，并对重要配置信息进行备份。</w:t>
      </w:r>
    </w:p>
    <w:p>
      <w:pPr>
        <w:pStyle w:val="87"/>
        <w:numPr>
          <w:ilvl w:val="0"/>
          <w:numId w:val="4"/>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提供运维服务报告，每月≥1份，总结本周期内机房和网络设备状态监控情况、</w:t>
      </w:r>
      <w:r>
        <w:rPr>
          <w:rFonts w:hint="eastAsia" w:ascii="宋体" w:hAnsi="宋体" w:eastAsia="宋体" w:cs="宋体"/>
          <w:color w:val="333333"/>
          <w:sz w:val="24"/>
          <w:szCs w:val="24"/>
          <w:shd w:val="clear" w:color="auto" w:fill="FFFFFF"/>
        </w:rPr>
        <w:t>故障隐患主动发现情况、服务请求及时响应情况、问题故障及时解决情况、维护计划及时完成情况</w:t>
      </w:r>
      <w:r>
        <w:rPr>
          <w:rFonts w:hint="eastAsia" w:ascii="宋体" w:hAnsi="宋体" w:eastAsia="宋体" w:cs="宋体"/>
          <w:sz w:val="24"/>
          <w:szCs w:val="24"/>
        </w:rPr>
        <w:t>等内容，制定下一周期运维工作计划。</w:t>
      </w:r>
    </w:p>
    <w:p>
      <w:pPr>
        <w:pStyle w:val="87"/>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服务方式</w:t>
      </w:r>
    </w:p>
    <w:p>
      <w:pPr>
        <w:pStyle w:val="87"/>
        <w:numPr>
          <w:ilvl w:val="0"/>
          <w:numId w:val="5"/>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7*24小时服务，随时电话畅通。</w:t>
      </w:r>
    </w:p>
    <w:p>
      <w:pPr>
        <w:pStyle w:val="87"/>
        <w:numPr>
          <w:ilvl w:val="0"/>
          <w:numId w:val="5"/>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法定工作日工作时间，提供一线驻场服务，中心院区≥1人，妇儿院区≥1人。</w:t>
      </w:r>
    </w:p>
    <w:p>
      <w:pPr>
        <w:pStyle w:val="87"/>
        <w:numPr>
          <w:ilvl w:val="0"/>
          <w:numId w:val="5"/>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应急保障时期，应医院要求，提供7*24小时不间断现场值守服务。</w:t>
      </w:r>
    </w:p>
    <w:p>
      <w:pPr>
        <w:pStyle w:val="87"/>
        <w:numPr>
          <w:ilvl w:val="0"/>
          <w:numId w:val="5"/>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具备二线远程支持团队，能够随时协助驻场人员处理问题，必要时能够上门服务。</w:t>
      </w:r>
    </w:p>
    <w:p>
      <w:pPr>
        <w:pStyle w:val="87"/>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响应时效</w:t>
      </w:r>
    </w:p>
    <w:p>
      <w:pPr>
        <w:pStyle w:val="87"/>
        <w:numPr>
          <w:ilvl w:val="0"/>
          <w:numId w:val="6"/>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接到服务请求后，驻场人员须在0.5小时内到达现场。</w:t>
      </w:r>
    </w:p>
    <w:p>
      <w:pPr>
        <w:pStyle w:val="87"/>
        <w:numPr>
          <w:ilvl w:val="0"/>
          <w:numId w:val="6"/>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驻场人员无法解决故障时，二线人员须在4小时内到达现场，并立即开始不间断现场支持。</w:t>
      </w:r>
    </w:p>
    <w:p>
      <w:pPr>
        <w:pStyle w:val="87"/>
        <w:numPr>
          <w:ilvl w:val="0"/>
          <w:numId w:val="6"/>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一旦定位是硬件故障，应在1小时内将原厂正品备件先行运抵现场，保证故障部件得到及时更换，使业务能在最短时间内恢复正常。</w:t>
      </w:r>
    </w:p>
    <w:p>
      <w:pPr>
        <w:pStyle w:val="87"/>
        <w:numPr>
          <w:ilvl w:val="0"/>
          <w:numId w:val="6"/>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不同级别故障，分别承诺不同的解决时限。</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6114"/>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故障级别</w:t>
            </w:r>
          </w:p>
        </w:tc>
        <w:tc>
          <w:tcPr>
            <w:tcW w:w="3332"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故障描述</w:t>
            </w:r>
          </w:p>
        </w:tc>
        <w:tc>
          <w:tcPr>
            <w:tcW w:w="817"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解决时限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一级故障</w:t>
            </w:r>
          </w:p>
        </w:tc>
        <w:tc>
          <w:tcPr>
            <w:tcW w:w="3332"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系统瘫痪、设备无法运行或网络中断，影响生产经营活动正常运行的故障。</w:t>
            </w:r>
          </w:p>
        </w:tc>
        <w:tc>
          <w:tcPr>
            <w:tcW w:w="817"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二级故障</w:t>
            </w:r>
          </w:p>
        </w:tc>
        <w:tc>
          <w:tcPr>
            <w:tcW w:w="3332"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现有设备的操作性能严重下降，或由于设备性能明显下降，使最终的业务运作重要影响。</w:t>
            </w:r>
          </w:p>
        </w:tc>
        <w:tc>
          <w:tcPr>
            <w:tcW w:w="817"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52"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三级故障</w:t>
            </w:r>
          </w:p>
        </w:tc>
        <w:tc>
          <w:tcPr>
            <w:tcW w:w="3332"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设备的操作性能受损，但大部分业务运作仍可正常工作</w:t>
            </w:r>
          </w:p>
        </w:tc>
        <w:tc>
          <w:tcPr>
            <w:tcW w:w="817"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四级故障</w:t>
            </w:r>
          </w:p>
        </w:tc>
        <w:tc>
          <w:tcPr>
            <w:tcW w:w="3332"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在产品功能安装或配置方面需要信息或支援，对业务系统几乎无影响</w:t>
            </w:r>
          </w:p>
        </w:tc>
        <w:tc>
          <w:tcPr>
            <w:tcW w:w="817" w:type="pc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24小时</w:t>
            </w:r>
          </w:p>
        </w:tc>
      </w:tr>
    </w:tbl>
    <w:p>
      <w:pPr>
        <w:pStyle w:val="87"/>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供应商要求</w:t>
      </w:r>
    </w:p>
    <w:p>
      <w:pPr>
        <w:pStyle w:val="87"/>
        <w:numPr>
          <w:ilvl w:val="0"/>
          <w:numId w:val="7"/>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要求供应商ISO20000信息技术服务管理体系认证。</w:t>
      </w:r>
    </w:p>
    <w:p>
      <w:pPr>
        <w:pStyle w:val="87"/>
        <w:numPr>
          <w:ilvl w:val="0"/>
          <w:numId w:val="7"/>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要求供应商具备相关经验，提供类似业绩证明≥2份。</w:t>
      </w:r>
    </w:p>
    <w:p>
      <w:pPr>
        <w:pStyle w:val="87"/>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人员配置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服务团队应包含运维服务项目经理和运维服务工程师，具体要求如下：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（一）运维服务项目经理</w:t>
      </w:r>
    </w:p>
    <w:p>
      <w:pPr>
        <w:pStyle w:val="87"/>
        <w:numPr>
          <w:ilvl w:val="0"/>
          <w:numId w:val="8"/>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计算机相关专业，5年以上工作经验。</w:t>
      </w:r>
    </w:p>
    <w:p>
      <w:pPr>
        <w:pStyle w:val="87"/>
        <w:numPr>
          <w:ilvl w:val="0"/>
          <w:numId w:val="8"/>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对主机、存储、网络、安全、虚拟化、操作系统、数据库等有丰富的运维服务经验。</w:t>
      </w:r>
    </w:p>
    <w:p>
      <w:pPr>
        <w:pStyle w:val="87"/>
        <w:numPr>
          <w:ilvl w:val="0"/>
          <w:numId w:val="8"/>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具备VMware  VCP的认证证书。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（二）主机运维服务工程师</w:t>
      </w:r>
    </w:p>
    <w:p>
      <w:pPr>
        <w:pStyle w:val="87"/>
        <w:numPr>
          <w:ilvl w:val="0"/>
          <w:numId w:val="9"/>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计算机相关专业，3年以上工作经验。</w:t>
      </w:r>
    </w:p>
    <w:p>
      <w:pPr>
        <w:pStyle w:val="87"/>
        <w:numPr>
          <w:ilvl w:val="0"/>
          <w:numId w:val="9"/>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具备IBM、HPE、华为、联想等小型机、X86服务器的安装、调试、排障等运维服务能力。</w:t>
      </w:r>
    </w:p>
    <w:p>
      <w:pPr>
        <w:pStyle w:val="87"/>
        <w:numPr>
          <w:ilvl w:val="0"/>
          <w:numId w:val="9"/>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具备VMware、H3C等虚拟化系统的安装、调试、排障等运维服务能力。</w:t>
      </w:r>
    </w:p>
    <w:p>
      <w:pPr>
        <w:pStyle w:val="87"/>
        <w:numPr>
          <w:ilvl w:val="0"/>
          <w:numId w:val="9"/>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具备Window Server、Linux等操作系统的安装、调试、排障等运维服务能力。</w:t>
      </w:r>
    </w:p>
    <w:p>
      <w:pPr>
        <w:pStyle w:val="87"/>
        <w:numPr>
          <w:ilvl w:val="0"/>
          <w:numId w:val="9"/>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具备Oracle和SQL Server等数据库的安装、调试、排障等运维服务能力。</w:t>
      </w:r>
    </w:p>
    <w:p>
      <w:pPr>
        <w:pStyle w:val="87"/>
        <w:numPr>
          <w:ilvl w:val="0"/>
          <w:numId w:val="10"/>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存储运维服务工程师</w:t>
      </w:r>
    </w:p>
    <w:p>
      <w:pPr>
        <w:pStyle w:val="87"/>
        <w:numPr>
          <w:ilvl w:val="0"/>
          <w:numId w:val="11"/>
        </w:numPr>
        <w:spacing w:line="360" w:lineRule="auto"/>
        <w:ind w:left="0" w:firstLine="420" w:firstLineChars="0"/>
        <w:rPr>
          <w:rFonts w:hint="eastAsia" w:ascii="宋体" w:hAnsi="宋体" w:eastAsia="宋体" w:cs="宋体"/>
          <w:sz w:val="24"/>
          <w:szCs w:val="24"/>
        </w:rPr>
      </w:pPr>
      <w:r>
        <w:rPr>
          <w:rFonts w:hint="eastAsia" w:ascii="宋体" w:hAnsi="宋体" w:eastAsia="宋体" w:cs="宋体"/>
          <w:sz w:val="24"/>
          <w:szCs w:val="24"/>
        </w:rPr>
        <w:t>计算机相关专业，3年以上工作经验。</w:t>
      </w:r>
    </w:p>
    <w:p>
      <w:pPr>
        <w:pStyle w:val="87"/>
        <w:numPr>
          <w:ilvl w:val="0"/>
          <w:numId w:val="11"/>
        </w:numPr>
        <w:spacing w:line="360" w:lineRule="auto"/>
        <w:ind w:left="0" w:firstLine="420" w:firstLineChars="0"/>
        <w:rPr>
          <w:rFonts w:hint="eastAsia" w:ascii="宋体" w:hAnsi="宋体" w:eastAsia="宋体" w:cs="宋体"/>
          <w:sz w:val="24"/>
          <w:szCs w:val="24"/>
        </w:rPr>
      </w:pPr>
      <w:r>
        <w:rPr>
          <w:rFonts w:hint="eastAsia" w:ascii="宋体" w:hAnsi="宋体" w:eastAsia="宋体" w:cs="宋体"/>
          <w:sz w:val="24"/>
          <w:szCs w:val="24"/>
        </w:rPr>
        <w:t>具备华为、H3C、HDS等集中存储、分布式存储的安装、调试、排障等运维服务能力。</w:t>
      </w:r>
    </w:p>
    <w:p>
      <w:pPr>
        <w:pStyle w:val="87"/>
        <w:numPr>
          <w:ilvl w:val="0"/>
          <w:numId w:val="11"/>
        </w:numPr>
        <w:spacing w:line="360" w:lineRule="auto"/>
        <w:ind w:left="0" w:firstLine="420" w:firstLineChars="0"/>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具备存储相关认证证书。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（四）网络运维服务工程师</w:t>
      </w:r>
    </w:p>
    <w:p>
      <w:pPr>
        <w:pStyle w:val="87"/>
        <w:numPr>
          <w:ilvl w:val="0"/>
          <w:numId w:val="12"/>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计算机相关专业，3年以上工作经验。</w:t>
      </w:r>
    </w:p>
    <w:p>
      <w:pPr>
        <w:pStyle w:val="87"/>
        <w:numPr>
          <w:ilvl w:val="0"/>
          <w:numId w:val="12"/>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具备H3C、华为、锐捷、深信服、金电网安等设备的安装、调试、排障等运维服务能力。</w:t>
      </w:r>
    </w:p>
    <w:p>
      <w:pPr>
        <w:pStyle w:val="87"/>
        <w:numPr>
          <w:ilvl w:val="0"/>
          <w:numId w:val="12"/>
        </w:numPr>
        <w:spacing w:line="360" w:lineRule="auto"/>
        <w:ind w:left="0" w:firstLine="420"/>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具备网络工程师中级或以上认证证书。</w:t>
      </w:r>
    </w:p>
    <w:p>
      <w:pPr>
        <w:pStyle w:val="87"/>
        <w:spacing w:line="360" w:lineRule="auto"/>
        <w:rPr>
          <w:rFonts w:hint="eastAsia" w:ascii="宋体" w:hAnsi="宋体" w:eastAsia="宋体" w:cs="宋体"/>
          <w:sz w:val="24"/>
          <w:szCs w:val="24"/>
        </w:rPr>
      </w:pPr>
      <w:r>
        <w:rPr>
          <w:rFonts w:hint="eastAsia" w:ascii="宋体" w:hAnsi="宋体" w:eastAsia="宋体" w:cs="宋体"/>
          <w:sz w:val="24"/>
          <w:szCs w:val="24"/>
        </w:rPr>
        <w:t>以上人员的证书须提供复印件并加盖公司公章，同时提供该工程师在本公司</w:t>
      </w:r>
      <w:r>
        <w:rPr>
          <w:rFonts w:hint="eastAsia" w:ascii="宋体" w:hAnsi="宋体" w:eastAsia="宋体" w:cs="宋体"/>
          <w:sz w:val="24"/>
          <w:szCs w:val="24"/>
          <w:lang w:val="en-US" w:eastAsia="zh-CN"/>
        </w:rPr>
        <w:t>2023年以来任一个月</w:t>
      </w:r>
      <w:r>
        <w:rPr>
          <w:rFonts w:hint="eastAsia" w:ascii="宋体" w:hAnsi="宋体" w:eastAsia="宋体" w:cs="宋体"/>
          <w:sz w:val="24"/>
          <w:szCs w:val="24"/>
        </w:rPr>
        <w:t>的社保证明文件。</w:t>
      </w:r>
    </w:p>
    <w:p>
      <w:pPr>
        <w:pStyle w:val="87"/>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rPr>
        <w:t>备件要求</w:t>
      </w:r>
    </w:p>
    <w:p>
      <w:pPr>
        <w:pStyle w:val="87"/>
        <w:numPr>
          <w:ilvl w:val="0"/>
          <w:numId w:val="13"/>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对维保范围内设备的所有部件或整机，有充足的备件(尤其是CPU、内存、电源 电源、硬盘、风扇)，当机器发生故障或机件损坏时，保证能及时提供现场更换服务，免费提供原装备件，备件含原厂1年保修，可以接受原厂官方服务电话查询。</w:t>
      </w:r>
    </w:p>
    <w:p>
      <w:pPr>
        <w:pStyle w:val="87"/>
        <w:numPr>
          <w:ilvl w:val="0"/>
          <w:numId w:val="13"/>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提供浪潮小型机、HDS存储、H3C交换机、深信服安全设备官方售后服务中心针对本项目的售后服务承诺函，提供售后服务中心证明材料。</w:t>
      </w:r>
    </w:p>
    <w:p>
      <w:pPr>
        <w:pStyle w:val="87"/>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管理要求</w:t>
      </w:r>
    </w:p>
    <w:p>
      <w:pPr>
        <w:pStyle w:val="87"/>
        <w:numPr>
          <w:ilvl w:val="0"/>
          <w:numId w:val="14"/>
        </w:numPr>
        <w:spacing w:line="360" w:lineRule="auto"/>
        <w:ind w:left="0" w:firstLine="420" w:firstLineChars="0"/>
        <w:rPr>
          <w:rFonts w:hint="eastAsia" w:ascii="宋体" w:hAnsi="宋体" w:eastAsia="宋体" w:cs="宋体"/>
          <w:sz w:val="24"/>
          <w:szCs w:val="24"/>
        </w:rPr>
      </w:pPr>
      <w:r>
        <w:rPr>
          <w:rFonts w:hint="eastAsia" w:ascii="宋体" w:hAnsi="宋体" w:eastAsia="宋体" w:cs="宋体"/>
          <w:sz w:val="24"/>
          <w:szCs w:val="24"/>
        </w:rPr>
        <w:t>运维工程师在医院提供服务期间需接受医院管理，服从医院工作安排，严格遵守医院的各项管理及规章制；医院信息科对运维工程师进行考核、监督及评价。如需更换驻场工程师，须征得院方同意方可。</w:t>
      </w:r>
    </w:p>
    <w:p>
      <w:pPr>
        <w:pStyle w:val="87"/>
        <w:numPr>
          <w:ilvl w:val="0"/>
          <w:numId w:val="14"/>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服务期内，双方须签订保密协议，供应商须严格保护医院系统、数据、信息的安全，不得泄露服务过程中获取的敏感信息。由于供应商违反保密协议而导致的泄密或给医院造成损失的，由供应商负全责，并由供应商赔偿医院所有损失；构成犯罪的，移交司法机关处理。</w:t>
      </w:r>
    </w:p>
    <w:p>
      <w:pPr>
        <w:pStyle w:val="87"/>
        <w:numPr>
          <w:ilvl w:val="0"/>
          <w:numId w:val="14"/>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rPr>
        <w:t>服务期内，供应商对运维人员财物或人身受到损害的事故负责。</w:t>
      </w:r>
    </w:p>
    <w:p>
      <w:pPr>
        <w:pStyle w:val="87"/>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十、</w:t>
      </w:r>
      <w:r>
        <w:rPr>
          <w:rFonts w:hint="eastAsia" w:ascii="宋体" w:hAnsi="宋体" w:eastAsia="宋体" w:cs="宋体"/>
          <w:b/>
          <w:bCs/>
          <w:sz w:val="24"/>
          <w:szCs w:val="24"/>
        </w:rPr>
        <w:t>服务期限</w:t>
      </w:r>
    </w:p>
    <w:p>
      <w:pPr>
        <w:pStyle w:val="87"/>
        <w:numPr>
          <w:ilvl w:val="0"/>
          <w:numId w:val="15"/>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自合同签订之日起开始。</w:t>
      </w:r>
    </w:p>
    <w:p>
      <w:pPr>
        <w:pStyle w:val="87"/>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rPr>
        <w:t>服务费用</w:t>
      </w:r>
    </w:p>
    <w:p>
      <w:pPr>
        <w:pStyle w:val="87"/>
        <w:numPr>
          <w:ilvl w:val="0"/>
          <w:numId w:val="16"/>
        </w:numPr>
        <w:spacing w:line="360" w:lineRule="auto"/>
        <w:ind w:left="0" w:firstLine="420" w:firstLineChars="0"/>
        <w:rPr>
          <w:rFonts w:hint="eastAsia" w:ascii="宋体" w:hAnsi="宋体" w:eastAsia="宋体" w:cs="宋体"/>
          <w:sz w:val="24"/>
          <w:szCs w:val="24"/>
        </w:rPr>
      </w:pPr>
      <w:r>
        <w:rPr>
          <w:rFonts w:hint="eastAsia" w:ascii="宋体" w:hAnsi="宋体" w:eastAsia="宋体" w:cs="宋体"/>
          <w:sz w:val="24"/>
          <w:szCs w:val="24"/>
        </w:rPr>
        <w:t>服务期内，所有费用包含在合同价款内，除合同价款外，不产生其他任何费用。</w:t>
      </w:r>
    </w:p>
    <w:p>
      <w:pPr>
        <w:pStyle w:val="87"/>
        <w:numPr>
          <w:ilvl w:val="0"/>
          <w:numId w:val="16"/>
        </w:numPr>
        <w:spacing w:line="360" w:lineRule="auto"/>
        <w:ind w:left="0" w:firstLine="420" w:firstLineChars="0"/>
        <w:rPr>
          <w:rFonts w:hint="eastAsia" w:ascii="宋体" w:hAnsi="宋体" w:eastAsia="宋体" w:cs="宋体"/>
          <w:sz w:val="24"/>
          <w:szCs w:val="24"/>
        </w:rPr>
      </w:pPr>
      <w:r>
        <w:rPr>
          <w:rFonts w:hint="eastAsia" w:ascii="宋体" w:hAnsi="宋体" w:eastAsia="宋体" w:cs="宋体"/>
          <w:sz w:val="24"/>
          <w:szCs w:val="24"/>
        </w:rPr>
        <w:t>合同价款的50%作为首款，服务满半年后，经医院确认供应商按标准履行服务义务无违约行为后按医院付款流程支付首款。</w:t>
      </w:r>
    </w:p>
    <w:p>
      <w:pPr>
        <w:pStyle w:val="87"/>
        <w:numPr>
          <w:ilvl w:val="0"/>
          <w:numId w:val="16"/>
        </w:numPr>
        <w:spacing w:line="360" w:lineRule="auto"/>
        <w:ind w:left="0" w:firstLine="420" w:firstLineChars="0"/>
        <w:rPr>
          <w:rFonts w:hint="eastAsia" w:ascii="宋体" w:hAnsi="宋体" w:eastAsia="宋体" w:cs="宋体"/>
          <w:sz w:val="24"/>
          <w:szCs w:val="24"/>
        </w:rPr>
      </w:pPr>
      <w:r>
        <w:rPr>
          <w:rFonts w:hint="eastAsia" w:ascii="宋体" w:hAnsi="宋体" w:eastAsia="宋体" w:cs="宋体"/>
          <w:sz w:val="24"/>
          <w:szCs w:val="24"/>
        </w:rPr>
        <w:t>合同价款的50%作为尾款，服务期结束后，经医院确认供应商按标准履行服务义务无违约行为后按医院付款流程支付尾款。</w:t>
      </w:r>
    </w:p>
    <w:p>
      <w:pPr>
        <w:pStyle w:val="87"/>
        <w:numPr>
          <w:ilvl w:val="0"/>
          <w:numId w:val="16"/>
        </w:numPr>
        <w:spacing w:line="360" w:lineRule="auto"/>
        <w:ind w:left="0" w:firstLine="420" w:firstLineChars="0"/>
        <w:rPr>
          <w:rFonts w:hint="eastAsia" w:ascii="宋体" w:hAnsi="宋体" w:eastAsia="宋体" w:cs="宋体"/>
          <w:sz w:val="24"/>
          <w:szCs w:val="24"/>
        </w:rPr>
      </w:pPr>
      <w:r>
        <w:rPr>
          <w:rFonts w:hint="eastAsia" w:ascii="宋体" w:hAnsi="宋体" w:eastAsia="宋体" w:cs="宋体"/>
          <w:sz w:val="24"/>
          <w:szCs w:val="24"/>
        </w:rPr>
        <w:t>服务期内，供应商未按标准履行服务义务发生1次，供应商应按合同总价的百分之三的款额向医院支付违约金；发生2次，供应商应按合同总价的百分之五的款额向医院支付违约金；发生3次，供应商应按合同总价的百分之十的款额向医院支付违约金，医院还有权终止合同；供应商偿付的违约金由医院从尾款中扣除，不足的款额由供应商另向医院支付。供应商偿付的违约金不足以弥补医院损失的，还应按医院损失尚未弥补的部分，支付赔偿金给医院。</w:t>
      </w:r>
    </w:p>
    <w:p>
      <w:pPr>
        <w:pStyle w:val="12"/>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售后服务条件及交货日期（或工期）：</w:t>
      </w:r>
      <w:r>
        <w:rPr>
          <w:rFonts w:hint="eastAsia" w:ascii="宋体" w:hAnsi="宋体" w:eastAsia="宋体" w:cs="宋体"/>
          <w:b w:val="0"/>
          <w:bCs w:val="0"/>
          <w:kern w:val="2"/>
          <w:sz w:val="24"/>
          <w:szCs w:val="24"/>
          <w:lang w:val="en-US" w:eastAsia="zh-CN" w:bidi="ar-SA"/>
        </w:rPr>
        <w:t>维保服务期：一年</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商务要求</w:t>
      </w:r>
    </w:p>
    <w:tbl>
      <w:tblPr>
        <w:tblStyle w:val="32"/>
        <w:tblpPr w:leftFromText="180" w:rightFromText="180" w:vertAnchor="text" w:tblpXSpec="center" w:tblpY="1"/>
        <w:tblOverlap w:val="never"/>
        <w:tblW w:w="92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2"/>
        <w:gridCol w:w="6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合同签订时间</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自成交通知书发出之日起三十个日历日内。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服务地点</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合同履行期限</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验   收</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服务要求</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合格（以采购人要求为准）。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售后技术服务要求、售后服务保障要求</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中标人须提供后期服务保障和技术支持。</w:t>
            </w:r>
          </w:p>
        </w:tc>
      </w:tr>
    </w:tbl>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采购人对项目的特殊要求及说明</w:t>
      </w:r>
    </w:p>
    <w:tbl>
      <w:tblPr>
        <w:tblStyle w:val="32"/>
        <w:tblW w:w="92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2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采购人的特殊要求及说明理由</w:t>
            </w:r>
          </w:p>
        </w:tc>
        <w:tc>
          <w:tcPr>
            <w:tcW w:w="7244" w:type="dxa"/>
            <w:tcBorders>
              <w:top w:val="single" w:color="auto" w:sz="4" w:space="0"/>
              <w:left w:val="single" w:color="auto" w:sz="4" w:space="0"/>
              <w:bottom w:val="single" w:color="auto" w:sz="4" w:space="0"/>
              <w:right w:val="single" w:color="auto" w:sz="4" w:space="0"/>
            </w:tcBorders>
            <w:vAlign w:val="center"/>
          </w:tcPr>
          <w:p>
            <w:pPr>
              <w:widowControl/>
              <w:numPr>
                <w:ilvl w:val="0"/>
                <w:numId w:val="17"/>
              </w:num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不接受联合体投标，不允许转包和分包。</w:t>
            </w:r>
          </w:p>
          <w:p>
            <w:pPr>
              <w:widowControl/>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2、授权评标委员会确定一名中标人并推荐两名中标候选人。</w:t>
            </w:r>
          </w:p>
          <w:p>
            <w:pPr>
              <w:widowControl/>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3、供应商应根据采购文件的要求提供技术响应表、商务响应表等内容以对采购文件作出响应。</w:t>
            </w:r>
          </w:p>
        </w:tc>
      </w:tr>
    </w:tbl>
    <w:p>
      <w:pPr>
        <w:jc w:val="both"/>
        <w:rPr>
          <w:rFonts w:hint="eastAsia" w:ascii="宋体" w:hAnsi="宋体" w:eastAsia="宋体" w:cs="宋体"/>
          <w:b/>
          <w:bCs/>
          <w:color w:val="auto"/>
          <w:sz w:val="32"/>
          <w:szCs w:val="32"/>
          <w:highlight w:val="none"/>
        </w:rPr>
        <w:sectPr>
          <w:pgSz w:w="11906" w:h="16838"/>
          <w:pgMar w:top="1417" w:right="1474" w:bottom="1417" w:left="1474" w:header="851" w:footer="624" w:gutter="0"/>
          <w:pgNumType w:fmt="decimal"/>
          <w:cols w:space="720" w:num="1"/>
          <w:docGrid w:type="lines" w:linePitch="319" w:charSpace="0"/>
        </w:sectPr>
      </w:pP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第三章  </w:t>
      </w:r>
      <w:r>
        <w:rPr>
          <w:rFonts w:hint="eastAsia" w:ascii="宋体" w:hAnsi="宋体" w:eastAsia="宋体" w:cs="宋体"/>
          <w:b/>
          <w:bCs/>
          <w:color w:val="auto"/>
          <w:sz w:val="32"/>
          <w:szCs w:val="32"/>
          <w:highlight w:val="none"/>
          <w:lang w:eastAsia="zh-CN"/>
        </w:rPr>
        <w:t>供应商</w:t>
      </w:r>
      <w:r>
        <w:rPr>
          <w:rFonts w:hint="eastAsia" w:ascii="宋体" w:hAnsi="宋体" w:eastAsia="宋体" w:cs="宋体"/>
          <w:b/>
          <w:bCs/>
          <w:color w:val="auto"/>
          <w:sz w:val="32"/>
          <w:szCs w:val="32"/>
          <w:highlight w:val="none"/>
        </w:rPr>
        <w:t>须知</w:t>
      </w:r>
      <w:bookmarkEnd w:id="40"/>
    </w:p>
    <w:p>
      <w:pPr>
        <w:snapToGrid w:val="0"/>
        <w:spacing w:beforeLines="5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须知前附表</w:t>
      </w:r>
    </w:p>
    <w:tbl>
      <w:tblPr>
        <w:tblStyle w:val="32"/>
        <w:tblW w:w="9239" w:type="dxa"/>
        <w:jc w:val="center"/>
        <w:tblLayout w:type="fixed"/>
        <w:tblCellMar>
          <w:top w:w="0" w:type="dxa"/>
          <w:left w:w="0" w:type="dxa"/>
          <w:bottom w:w="0" w:type="dxa"/>
          <w:right w:w="0" w:type="dxa"/>
        </w:tblCellMar>
      </w:tblPr>
      <w:tblGrid>
        <w:gridCol w:w="869"/>
        <w:gridCol w:w="8370"/>
      </w:tblGrid>
      <w:tr>
        <w:tblPrEx>
          <w:tblCellMar>
            <w:top w:w="0" w:type="dxa"/>
            <w:left w:w="0" w:type="dxa"/>
            <w:bottom w:w="0" w:type="dxa"/>
            <w:right w:w="0" w:type="dxa"/>
          </w:tblCellMar>
        </w:tblPrEx>
        <w:trPr>
          <w:trHeight w:val="523" w:hRule="atLeast"/>
          <w:jc w:val="center"/>
        </w:trPr>
        <w:tc>
          <w:tcPr>
            <w:tcW w:w="869"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370"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143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outlineLvl w:val="0"/>
              <w:rPr>
                <w:rFonts w:hint="eastAsia" w:ascii="宋体" w:hAnsi="宋体" w:eastAsia="宋体" w:cs="宋体"/>
                <w:sz w:val="24"/>
                <w:szCs w:val="24"/>
              </w:rPr>
            </w:pPr>
            <w:r>
              <w:rPr>
                <w:rFonts w:hint="eastAsia" w:ascii="宋体" w:hAnsi="宋体" w:eastAsia="宋体" w:cs="宋体"/>
                <w:color w:val="auto"/>
                <w:sz w:val="24"/>
                <w:szCs w:val="24"/>
                <w:highlight w:val="none"/>
              </w:rPr>
              <w:t>1.1项目名称：</w:t>
            </w:r>
            <w:r>
              <w:rPr>
                <w:rFonts w:hint="eastAsia" w:ascii="宋体" w:hAnsi="宋体" w:cs="宋体"/>
                <w:color w:val="auto"/>
                <w:sz w:val="24"/>
                <w:szCs w:val="24"/>
                <w:highlight w:val="none"/>
                <w:lang w:val="en-US" w:eastAsia="zh-CN"/>
              </w:rPr>
              <w:t>驻马店市中心医院机房及网络IT基础设施维保</w:t>
            </w:r>
          </w:p>
          <w:p>
            <w:pPr>
              <w:widowControl/>
              <w:snapToGrid w:val="0"/>
              <w:spacing w:line="360" w:lineRule="auto"/>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1.2采购人名称：驻马店市中心医院</w:t>
            </w:r>
          </w:p>
          <w:p>
            <w:pPr>
              <w:widowControl/>
              <w:snapToGrid w:val="0"/>
              <w:spacing w:line="360" w:lineRule="auto"/>
              <w:jc w:val="left"/>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采购范围：详</w:t>
            </w:r>
            <w:r>
              <w:rPr>
                <w:rFonts w:hint="eastAsia" w:ascii="宋体" w:hAnsi="宋体" w:eastAsia="宋体" w:cs="宋体"/>
                <w:color w:val="auto"/>
                <w:sz w:val="24"/>
                <w:szCs w:val="24"/>
                <w:highlight w:val="none"/>
                <w:lang w:val="en-US" w:eastAsia="zh-CN"/>
              </w:rPr>
              <w:t>见第二章采购</w:t>
            </w:r>
            <w:r>
              <w:rPr>
                <w:rFonts w:hint="eastAsia" w:ascii="宋体" w:hAnsi="宋体" w:eastAsia="宋体" w:cs="宋体"/>
                <w:color w:val="auto"/>
                <w:sz w:val="24"/>
                <w:szCs w:val="24"/>
                <w:highlight w:val="none"/>
              </w:rPr>
              <w:t>需求</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1903"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采购预算（最高投标限价）：</w:t>
            </w:r>
            <w:r>
              <w:rPr>
                <w:rFonts w:hint="eastAsia" w:ascii="宋体" w:hAnsi="宋体" w:eastAsia="宋体" w:cs="宋体"/>
                <w:color w:val="auto"/>
                <w:kern w:val="0"/>
                <w:sz w:val="24"/>
                <w:szCs w:val="24"/>
                <w:highlight w:val="none"/>
                <w:lang w:val="en-US" w:eastAsia="zh-CN"/>
              </w:rPr>
              <w:t>36万</w:t>
            </w:r>
            <w:r>
              <w:rPr>
                <w:rFonts w:hint="eastAsia" w:ascii="宋体" w:hAnsi="宋体" w:eastAsia="宋体" w:cs="宋体"/>
                <w:color w:val="auto"/>
                <w:kern w:val="0"/>
                <w:sz w:val="24"/>
                <w:szCs w:val="24"/>
                <w:highlight w:val="none"/>
              </w:rPr>
              <w:t>元</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响应性文件</w:t>
            </w:r>
            <w:r>
              <w:rPr>
                <w:rFonts w:hint="eastAsia" w:ascii="宋体" w:hAnsi="宋体" w:eastAsia="宋体" w:cs="宋体"/>
                <w:sz w:val="24"/>
                <w:szCs w:val="24"/>
              </w:rPr>
              <w:t>组成：纸质</w:t>
            </w:r>
            <w:r>
              <w:rPr>
                <w:rFonts w:hint="eastAsia" w:ascii="宋体" w:hAnsi="宋体" w:eastAsia="宋体" w:cs="宋体"/>
                <w:sz w:val="24"/>
                <w:szCs w:val="24"/>
                <w:lang w:eastAsia="zh-CN"/>
              </w:rPr>
              <w:t>响应性文件</w:t>
            </w:r>
            <w:r>
              <w:rPr>
                <w:rFonts w:hint="eastAsia" w:ascii="宋体" w:hAnsi="宋体" w:eastAsia="宋体" w:cs="宋体"/>
                <w:sz w:val="24"/>
                <w:szCs w:val="24"/>
              </w:rPr>
              <w:t>正本1份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副本2份</w:t>
            </w:r>
            <w:r>
              <w:rPr>
                <w:rFonts w:hint="eastAsia" w:ascii="宋体" w:hAnsi="宋体" w:eastAsia="宋体" w:cs="宋体"/>
                <w:sz w:val="24"/>
                <w:szCs w:val="24"/>
              </w:rPr>
              <w:t>。</w:t>
            </w:r>
          </w:p>
        </w:tc>
      </w:tr>
      <w:tr>
        <w:tblPrEx>
          <w:tblCellMar>
            <w:top w:w="0" w:type="dxa"/>
            <w:left w:w="0" w:type="dxa"/>
            <w:bottom w:w="0" w:type="dxa"/>
            <w:right w:w="0" w:type="dxa"/>
          </w:tblCellMar>
        </w:tblPrEx>
        <w:trPr>
          <w:trHeight w:val="96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98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及以上单数</w:t>
            </w:r>
            <w:r>
              <w:rPr>
                <w:rFonts w:hint="eastAsia" w:ascii="宋体" w:hAnsi="宋体" w:eastAsia="宋体" w:cs="宋体"/>
                <w:color w:val="auto"/>
                <w:kern w:val="0"/>
                <w:sz w:val="24"/>
                <w:szCs w:val="24"/>
                <w:highlight w:val="none"/>
              </w:rPr>
              <w:t>。</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1468"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公告及</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通知书：由采购人授权</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确定一名</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并推荐两名</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上发布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公告，</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发出</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11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blPrEx>
          <w:tblCellMar>
            <w:top w:w="0" w:type="dxa"/>
            <w:left w:w="0" w:type="dxa"/>
            <w:bottom w:w="0" w:type="dxa"/>
            <w:right w:w="0" w:type="dxa"/>
          </w:tblCellMar>
        </w:tblPrEx>
        <w:trPr>
          <w:trHeight w:val="98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有效期：</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lang w:val="en-US" w:eastAsia="zh-CN"/>
              </w:rPr>
              <w:t>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是合同的组成部分,有效期至合同完全履行止。 </w:t>
            </w:r>
          </w:p>
        </w:tc>
      </w:tr>
      <w:tr>
        <w:tblPrEx>
          <w:tblCellMar>
            <w:top w:w="0" w:type="dxa"/>
            <w:left w:w="0" w:type="dxa"/>
            <w:bottom w:w="0" w:type="dxa"/>
            <w:right w:w="0" w:type="dxa"/>
          </w:tblCellMar>
        </w:tblPrEx>
        <w:trPr>
          <w:trHeight w:val="70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195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339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390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解释：1、构成本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文件中有特殊规定外，仅适用于招标投标阶段的规定，按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公告、供应商须知、评标办法、</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格式的先后顺序解释；同一组成文件中就同一事项的规定或约定不一致的，以编排顺序在后者为准；当</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文件解释权归采购人。</w:t>
            </w:r>
          </w:p>
        </w:tc>
      </w:tr>
    </w:tbl>
    <w:p>
      <w:pPr>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000000" w:themeColor="text1"/>
          <w:kern w:val="0"/>
          <w:sz w:val="24"/>
          <w:szCs w:val="24"/>
          <w:highlight w:val="none"/>
          <w14:textFill>
            <w14:solidFill>
              <w14:schemeClr w14:val="tx1"/>
            </w14:solidFill>
          </w14:textFill>
        </w:rPr>
        <w:t>公告中所叙述项目的服务采购。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rPr>
        <w:t>2.1 “采购人</w:t>
      </w:r>
      <w:r>
        <w:rPr>
          <w:rFonts w:hint="eastAsia" w:ascii="宋体" w:hAnsi="宋体" w:eastAsia="宋体" w:cs="宋体"/>
          <w:color w:val="000000" w:themeColor="text1"/>
          <w:kern w:val="0"/>
          <w:sz w:val="24"/>
          <w:szCs w:val="24"/>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2.2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”系指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领取</w:t>
      </w:r>
      <w:r>
        <w:rPr>
          <w:rFonts w:hint="eastAsia" w:ascii="宋体" w:hAnsi="宋体" w:eastAsia="宋体" w:cs="宋体"/>
          <w:color w:val="000000" w:themeColor="text1"/>
          <w:kern w:val="0"/>
          <w:sz w:val="24"/>
          <w:szCs w:val="24"/>
          <w:highlight w:val="none"/>
          <w14:textFill>
            <w14:solidFill>
              <w14:schemeClr w14:val="tx1"/>
            </w14:solidFill>
          </w14:textFill>
        </w:rPr>
        <w:t>了本</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文件，且已经提交本次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响应性文件</w:t>
      </w:r>
      <w:r>
        <w:rPr>
          <w:rFonts w:hint="eastAsia" w:ascii="宋体" w:hAnsi="宋体" w:eastAsia="宋体" w:cs="宋体"/>
          <w:color w:val="000000" w:themeColor="text1"/>
          <w:kern w:val="0"/>
          <w:sz w:val="24"/>
          <w:szCs w:val="24"/>
          <w:highlight w:val="none"/>
          <w14:textFill>
            <w14:solidFill>
              <w14:schemeClr w14:val="tx1"/>
            </w14:solidFill>
          </w14:textFill>
        </w:rPr>
        <w:t>的</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2.3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代表”系指代表</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参加本次</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活动的</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的法定代表人或其委托代理人。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eastAsia="宋体" w:cs="宋体"/>
          <w:b/>
          <w:bCs/>
          <w:color w:val="auto"/>
          <w:kern w:val="0"/>
          <w:sz w:val="24"/>
          <w:szCs w:val="24"/>
          <w:highlight w:val="none"/>
          <w:lang w:val="en-US" w:eastAsia="zh-CN"/>
        </w:rPr>
        <w:t>36万</w:t>
      </w:r>
      <w:r>
        <w:rPr>
          <w:rFonts w:hint="eastAsia" w:ascii="宋体" w:hAnsi="宋体" w:eastAsia="宋体" w:cs="宋体"/>
          <w:b/>
          <w:bCs/>
          <w:color w:val="auto"/>
          <w:kern w:val="0"/>
          <w:sz w:val="24"/>
          <w:szCs w:val="24"/>
          <w:highlight w:val="none"/>
        </w:rPr>
        <w:t>元</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w:t>
      </w:r>
      <w:r>
        <w:rPr>
          <w:rFonts w:hint="eastAsia" w:ascii="宋体" w:hAnsi="宋体" w:eastAsia="宋体" w:cs="宋体"/>
          <w:b/>
          <w:bCs/>
          <w:color w:val="auto"/>
          <w:kern w:val="0"/>
          <w:sz w:val="24"/>
          <w:szCs w:val="24"/>
          <w:highlight w:val="none"/>
          <w:lang w:eastAsia="zh-CN"/>
        </w:rPr>
        <w:t>供应商</w:t>
      </w:r>
      <w:r>
        <w:rPr>
          <w:rFonts w:hint="eastAsia" w:ascii="宋体" w:hAnsi="宋体" w:eastAsia="宋体" w:cs="宋体"/>
          <w:b/>
          <w:bCs/>
          <w:color w:val="auto"/>
          <w:kern w:val="0"/>
          <w:sz w:val="24"/>
          <w:szCs w:val="24"/>
          <w:highlight w:val="none"/>
        </w:rPr>
        <w:t>应提交的证明文件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供应商应提供2021年度或2022年度经审计的财务报告或者其基本开户银行出具的资信证明；采购活动前近三个月内或</w:t>
      </w:r>
      <w:r>
        <w:rPr>
          <w:rFonts w:hint="eastAsia" w:ascii="宋体" w:hAnsi="宋体" w:eastAsia="宋体" w:cs="宋体"/>
          <w:color w:val="auto"/>
          <w:kern w:val="2"/>
          <w:sz w:val="24"/>
          <w:szCs w:val="32"/>
          <w:lang w:val="en-US" w:eastAsia="zh-CN" w:bidi="ar-SA"/>
        </w:rPr>
        <w:t>上个季度任一个月</w:t>
      </w:r>
      <w:r>
        <w:rPr>
          <w:rFonts w:hint="eastAsia" w:ascii="宋体" w:hAnsi="宋体" w:eastAsia="宋体" w:cs="宋体"/>
          <w:color w:val="auto"/>
          <w:sz w:val="24"/>
          <w:szCs w:val="24"/>
          <w:lang w:val="en-US" w:eastAsia="zh-CN"/>
        </w:rPr>
        <w:t>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 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9.1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代表只能接受一个</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或者其法定代表人、董事、监事、高级管理人员因经营活动中的违法行为受到行政处罚，但警告和罚款额在人民币3万元以下的行政处罚除外；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w:t>
      </w:r>
      <w:r>
        <w:rPr>
          <w:rFonts w:hint="eastAsia" w:ascii="宋体" w:hAnsi="宋体" w:eastAsia="宋体" w:cs="宋体"/>
          <w:bCs/>
          <w:color w:val="auto"/>
          <w:kern w:val="0"/>
          <w:sz w:val="24"/>
          <w:szCs w:val="24"/>
          <w:highlight w:val="none"/>
        </w:rPr>
        <w:t>质疑、投诉应当采用书面形式，质疑书、投诉书均应明确阐述</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w:t>
      </w:r>
      <w:r>
        <w:rPr>
          <w:rFonts w:hint="eastAsia" w:ascii="宋体" w:hAnsi="宋体" w:eastAsia="宋体" w:cs="宋体"/>
          <w:b/>
          <w:bCs/>
          <w:color w:val="auto"/>
          <w:kern w:val="0"/>
          <w:sz w:val="24"/>
          <w:szCs w:val="24"/>
          <w:highlight w:val="none"/>
          <w:lang w:eastAsia="zh-CN"/>
        </w:rPr>
        <w:t>供应商</w:t>
      </w:r>
      <w:r>
        <w:rPr>
          <w:rFonts w:hint="eastAsia" w:ascii="宋体" w:hAnsi="宋体" w:eastAsia="宋体" w:cs="宋体"/>
          <w:b/>
          <w:bCs/>
          <w:color w:val="auto"/>
          <w:kern w:val="0"/>
          <w:sz w:val="24"/>
          <w:szCs w:val="24"/>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二、</w:t>
      </w:r>
      <w:r>
        <w:rPr>
          <w:rFonts w:hint="eastAsia" w:ascii="宋体" w:hAnsi="宋体" w:eastAsia="宋体" w:cs="宋体"/>
          <w:b/>
          <w:bCs/>
          <w:color w:val="auto"/>
          <w:kern w:val="0"/>
          <w:sz w:val="28"/>
          <w:szCs w:val="28"/>
          <w:highlight w:val="none"/>
          <w:lang w:val="en-US" w:eastAsia="zh-CN"/>
        </w:rPr>
        <w:t>采购</w:t>
      </w:r>
      <w:r>
        <w:rPr>
          <w:rFonts w:hint="eastAsia" w:ascii="宋体" w:hAnsi="宋体" w:eastAsia="宋体" w:cs="宋体"/>
          <w:b/>
          <w:bCs/>
          <w:color w:val="auto"/>
          <w:kern w:val="0"/>
          <w:sz w:val="28"/>
          <w:szCs w:val="28"/>
          <w:highlight w:val="none"/>
        </w:rPr>
        <w:t>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12.</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文件的构成。本</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12.3 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 采购合同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12.6 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对已发出的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文件进行必要澄清、修改或补充的，应当在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截止时间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前，在</w:t>
      </w:r>
      <w:r>
        <w:rPr>
          <w:rFonts w:hint="eastAsia" w:ascii="宋体" w:hAnsi="宋体" w:eastAsia="宋体" w:cs="宋体"/>
          <w:color w:val="auto"/>
          <w:kern w:val="0"/>
          <w:sz w:val="24"/>
          <w:szCs w:val="24"/>
          <w:highlight w:val="none"/>
          <w:lang w:val="en-US" w:eastAsia="zh-CN"/>
        </w:rPr>
        <w:t>原采购公告发布</w:t>
      </w:r>
      <w:r>
        <w:rPr>
          <w:rFonts w:hint="eastAsia" w:ascii="宋体" w:hAnsi="宋体" w:eastAsia="宋体" w:cs="宋体"/>
          <w:color w:val="auto"/>
          <w:kern w:val="0"/>
          <w:sz w:val="24"/>
          <w:szCs w:val="24"/>
          <w:highlight w:val="none"/>
        </w:rPr>
        <w:t>相关媒体上发布更正公告或变更公告。</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文件公示期间对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文件澄清、修改或补充的内容为</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文件的澄清、修改或补充都应以法定形式发布。采购人未对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13.4 </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可以视招标具体情况延长投标截止时间和开标时间，但至少应当在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的截止时间3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前，将变更时间</w:t>
      </w:r>
      <w:r>
        <w:rPr>
          <w:rFonts w:hint="eastAsia" w:ascii="宋体" w:hAnsi="宋体" w:eastAsia="宋体" w:cs="宋体"/>
          <w:color w:val="auto"/>
          <w:kern w:val="0"/>
          <w:sz w:val="24"/>
          <w:szCs w:val="24"/>
          <w:highlight w:val="none"/>
          <w:lang w:val="en-US" w:eastAsia="zh-CN"/>
        </w:rPr>
        <w:t>通知所有潜在供应商</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三、</w:t>
      </w:r>
      <w:r>
        <w:rPr>
          <w:rFonts w:hint="eastAsia" w:ascii="宋体" w:hAnsi="宋体" w:eastAsia="宋体" w:cs="宋体"/>
          <w:b/>
          <w:bCs/>
          <w:color w:val="auto"/>
          <w:kern w:val="0"/>
          <w:sz w:val="28"/>
          <w:szCs w:val="28"/>
          <w:highlight w:val="none"/>
          <w:lang w:eastAsia="zh-CN"/>
        </w:rPr>
        <w:t>响应性文件</w:t>
      </w:r>
      <w:r>
        <w:rPr>
          <w:rFonts w:hint="eastAsia" w:ascii="宋体" w:hAnsi="宋体" w:eastAsia="宋体" w:cs="宋体"/>
          <w:b/>
          <w:bCs/>
          <w:color w:val="auto"/>
          <w:kern w:val="0"/>
          <w:sz w:val="28"/>
          <w:szCs w:val="28"/>
          <w:highlight w:val="none"/>
        </w:rPr>
        <w:t>的编制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应仔细阅读</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文件的所有内容，按照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文件提供的格式编写</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，不得缺少或留空任何</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文件要求填写的表格或提交的资料。</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文件提供格式的按格式填列，未提供格式的可自行拟定。</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文件的要求作出实质性响应（包括</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资格要求、技术要求、商务要求和</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格式中对投标的要求），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应完整签署</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格式附件中《投标书》和《抵制商业贿赂承诺》，不得增减或修改内容。否则视为对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15.</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以及</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关于投标计量单位，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文件已有明确规定的，使用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文件规定的计量单位；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文件没有规定的，应采用中华人民共和国法定计量单位。否则视为对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 原版为外文的证书类文件，以及由外国人做出的本人签名、外国公司的名称或外国印章等可以是外文，但应当提供中文翻译文件并加盖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公章。必要时</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可以要求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16.</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的组成</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应包括下列部分：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16.1、投标书及开标一览表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16.2、</w:t>
      </w:r>
      <w:r>
        <w:rPr>
          <w:rFonts w:hint="eastAsia" w:ascii="宋体" w:hAnsi="宋体" w:eastAsia="宋体" w:cs="宋体"/>
          <w:color w:val="auto"/>
          <w:kern w:val="0"/>
          <w:sz w:val="24"/>
          <w:szCs w:val="24"/>
          <w:highlight w:val="none"/>
        </w:rPr>
        <w:t>报价明细表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技术响应</w:t>
      </w:r>
      <w:r>
        <w:rPr>
          <w:rFonts w:hint="eastAsia" w:ascii="宋体" w:hAnsi="宋体" w:eastAsia="宋体" w:cs="宋体"/>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商务响应</w:t>
      </w:r>
      <w:r>
        <w:rPr>
          <w:rFonts w:hint="eastAsia" w:ascii="宋体" w:hAnsi="宋体" w:eastAsia="宋体" w:cs="宋体"/>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left="208" w:leftChars="99"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、法定代表人身份证明</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、法定代表人授权书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供应商承诺书</w:t>
      </w:r>
    </w:p>
    <w:p>
      <w:pPr>
        <w:pStyle w:val="31"/>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lang w:val="en-US" w:eastAsia="zh-CN"/>
        </w:rPr>
        <w:t>供应商信用承诺函</w:t>
      </w:r>
    </w:p>
    <w:p>
      <w:pPr>
        <w:pStyle w:val="31"/>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16.10、</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认为有必要的其他资料</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公告所规定的投标截止期之后开始生效，在</w:t>
      </w:r>
      <w:r>
        <w:rPr>
          <w:rFonts w:hint="eastAsia" w:ascii="宋体" w:hAnsi="宋体" w:eastAsia="宋体" w:cs="宋体"/>
          <w:bCs/>
          <w:color w:val="auto"/>
          <w:kern w:val="0"/>
          <w:sz w:val="24"/>
          <w:szCs w:val="24"/>
          <w:highlight w:val="none"/>
          <w:lang w:eastAsia="zh-CN"/>
        </w:rPr>
        <w:t>供应商</w:t>
      </w:r>
      <w:r>
        <w:rPr>
          <w:rFonts w:hint="eastAsia" w:ascii="宋体" w:hAnsi="宋体" w:eastAsia="宋体" w:cs="宋体"/>
          <w:bCs/>
          <w:color w:val="auto"/>
          <w:kern w:val="0"/>
          <w:sz w:val="24"/>
          <w:szCs w:val="24"/>
          <w:highlight w:val="none"/>
        </w:rPr>
        <w:t>须知前附表</w:t>
      </w:r>
      <w:r>
        <w:rPr>
          <w:rFonts w:hint="eastAsia" w:ascii="宋体" w:hAnsi="宋体" w:eastAsia="宋体" w:cs="宋体"/>
          <w:color w:val="auto"/>
          <w:kern w:val="0"/>
          <w:sz w:val="24"/>
          <w:szCs w:val="24"/>
          <w:highlight w:val="none"/>
        </w:rPr>
        <w:t>第1</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项所规定的期限内保持有效。有效期不足将导致其</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被拒绝。</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17.2特殊情况下</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可于投标有效期满之前书面要求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同意延长有效期，</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规定的期限内以书面形式予以答复。</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可以拒绝上述要求。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答复不明确或者逾期未答复的，均视为拒绝上述要求。对于接受该要求的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，既不要求也不允许其修改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18.3 </w:t>
      </w:r>
      <w:r>
        <w:rPr>
          <w:rFonts w:hint="eastAsia" w:ascii="宋体" w:hAnsi="宋体" w:eastAsia="宋体" w:cs="宋体"/>
          <w:color w:val="auto"/>
          <w:spacing w:val="10"/>
          <w:kern w:val="0"/>
          <w:sz w:val="24"/>
          <w:szCs w:val="24"/>
          <w:highlight w:val="none"/>
          <w:lang w:eastAsia="zh-CN"/>
        </w:rPr>
        <w:t>供应商</w:t>
      </w:r>
      <w:r>
        <w:rPr>
          <w:rFonts w:hint="eastAsia" w:ascii="宋体" w:hAnsi="宋体" w:eastAsia="宋体" w:cs="宋体"/>
          <w:color w:val="auto"/>
          <w:spacing w:val="10"/>
          <w:kern w:val="0"/>
          <w:sz w:val="24"/>
          <w:szCs w:val="24"/>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18.4 开标一览表</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明的价格在政府采购合同执行过程中是固定不变的，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18.5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18.6 对于</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在开标一览表和</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19.投标保证金</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详见采购公告</w:t>
      </w:r>
      <w:r>
        <w:rPr>
          <w:rFonts w:hint="eastAsia" w:ascii="宋体" w:hAnsi="宋体" w:eastAsia="宋体" w:cs="宋体"/>
          <w:b/>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20.</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的签署</w:t>
      </w:r>
      <w:r>
        <w:rPr>
          <w:rFonts w:hint="eastAsia" w:ascii="宋体" w:hAnsi="宋体" w:eastAsia="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应按第六章“</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格式”进行编写，如有必要，可以增加附页，作为</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的组成部分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但不得随意改变响应文件格式，否则，评标委员会有权予以废标</w:t>
      </w:r>
      <w:r>
        <w:rPr>
          <w:rFonts w:hint="eastAsia" w:ascii="宋体" w:hAnsi="宋体" w:eastAsia="宋体" w:cs="宋体"/>
          <w:color w:val="auto"/>
          <w:kern w:val="0"/>
          <w:sz w:val="24"/>
          <w:szCs w:val="24"/>
          <w:highlight w:val="none"/>
        </w:rPr>
        <w:t>。其中，投标报价一览表在满足</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kern w:val="0"/>
          <w:sz w:val="24"/>
          <w:szCs w:val="24"/>
          <w:highlight w:val="none"/>
          <w14:textFill>
            <w14:solidFill>
              <w14:schemeClr w14:val="tx1"/>
            </w14:solidFill>
          </w14:textFill>
        </w:rPr>
        <w:t xml:space="preserve">.2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响应性文件</w:t>
      </w:r>
      <w:r>
        <w:rPr>
          <w:rFonts w:hint="eastAsia" w:ascii="宋体" w:hAnsi="宋体" w:eastAsia="宋体" w:cs="宋体"/>
          <w:color w:val="000000" w:themeColor="text1"/>
          <w:kern w:val="0"/>
          <w:sz w:val="24"/>
          <w:szCs w:val="24"/>
          <w:highlight w:val="none"/>
          <w14:textFill>
            <w14:solidFill>
              <w14:schemeClr w14:val="tx1"/>
            </w14:solidFill>
          </w14:textFill>
        </w:rPr>
        <w:t>应当对</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文件有关服务期、投标有效期、</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服务</w:t>
      </w:r>
      <w:r>
        <w:rPr>
          <w:rFonts w:hint="eastAsia" w:ascii="宋体" w:hAnsi="宋体" w:eastAsia="宋体" w:cs="宋体"/>
          <w:color w:val="000000" w:themeColor="text1"/>
          <w:kern w:val="0"/>
          <w:sz w:val="24"/>
          <w:szCs w:val="24"/>
          <w:highlight w:val="none"/>
          <w14:textFill>
            <w14:solidFill>
              <w14:schemeClr w14:val="tx1"/>
            </w14:solidFill>
          </w14:textFill>
        </w:rPr>
        <w:t>要求、技术标准和要求、</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应用不褪色的材料书写或打印，并由</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的法定代表人盖章或盖单位公章；</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应尽量避免涂改、行间插字或删除，如果出现上述情况，改动之处应加盖单位公章或由</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的法定代表人盖章确认。签字或盖章的具体要求见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份数见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的具体装订要求见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须知前附表规定。</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8"/>
          <w:szCs w:val="28"/>
          <w:highlight w:val="none"/>
        </w:rPr>
        <w:t>四、</w:t>
      </w:r>
      <w:r>
        <w:rPr>
          <w:rFonts w:hint="eastAsia" w:ascii="宋体" w:hAnsi="宋体" w:eastAsia="宋体" w:cs="宋体"/>
          <w:b/>
          <w:color w:val="auto"/>
          <w:kern w:val="0"/>
          <w:sz w:val="28"/>
          <w:szCs w:val="28"/>
          <w:highlight w:val="none"/>
          <w:lang w:eastAsia="zh-CN"/>
        </w:rPr>
        <w:t>响应性文件</w:t>
      </w:r>
      <w:r>
        <w:rPr>
          <w:rFonts w:hint="eastAsia" w:ascii="宋体" w:hAnsi="宋体" w:eastAsia="宋体" w:cs="宋体"/>
          <w:b/>
          <w:color w:val="auto"/>
          <w:kern w:val="0"/>
          <w:sz w:val="28"/>
          <w:szCs w:val="28"/>
          <w:highlight w:val="none"/>
        </w:rPr>
        <w:t>的递交</w:t>
      </w:r>
    </w:p>
    <w:p>
      <w:pPr>
        <w:keepNext w:val="0"/>
        <w:keepLines w:val="0"/>
        <w:pageBreakBefore w:val="0"/>
        <w:widowControl/>
        <w:kinsoku/>
        <w:wordWrap/>
        <w:overflowPunct/>
        <w:topLinePunct w:val="0"/>
        <w:autoSpaceDE/>
        <w:autoSpaceDN/>
        <w:bidi w:val="0"/>
        <w:adjustRightInd/>
        <w:snapToGrid w:val="0"/>
        <w:spacing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21. </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的密封、标记</w:t>
      </w:r>
    </w:p>
    <w:p>
      <w:pPr>
        <w:keepNext w:val="0"/>
        <w:keepLines w:val="0"/>
        <w:pageBreakBefore w:val="0"/>
        <w:kinsoku/>
        <w:wordWrap/>
        <w:overflowPunct/>
        <w:topLinePunct w:val="0"/>
        <w:autoSpaceDE/>
        <w:autoSpaceDN/>
        <w:bidi w:val="0"/>
        <w:adjustRightInd/>
        <w:spacing w:line="360" w:lineRule="auto"/>
        <w:ind w:firstLine="484" w:firstLineChars="202"/>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w:t>
      </w:r>
      <w:r>
        <w:rPr>
          <w:rFonts w:hint="eastAsia" w:ascii="宋体" w:hAnsi="宋体" w:eastAsia="宋体" w:cs="宋体"/>
          <w:color w:val="auto"/>
          <w:sz w:val="24"/>
          <w:szCs w:val="24"/>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21.2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的封套上应清楚地标记“正本”或“副本”字样，封套上应写明的其他内容见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.3 未按本章第2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.1项或第2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.2项要求密封和加写标记的响应性文件，采购人不予受理。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22. </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 xml:space="preserve">.1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应在规定的投标截止时间前</w:t>
      </w:r>
      <w:r>
        <w:rPr>
          <w:rFonts w:hint="eastAsia" w:ascii="宋体" w:hAnsi="宋体" w:eastAsia="宋体" w:cs="宋体"/>
          <w:color w:val="auto"/>
          <w:kern w:val="0"/>
          <w:sz w:val="24"/>
          <w:szCs w:val="24"/>
          <w:highlight w:val="none"/>
          <w:lang w:eastAsia="zh-CN"/>
        </w:rPr>
        <w:t>递交响应性文件</w:t>
      </w:r>
      <w:r>
        <w:rPr>
          <w:rFonts w:hint="eastAsia" w:ascii="宋体" w:hAnsi="宋体" w:eastAsia="宋体" w:cs="宋体"/>
          <w:color w:val="auto"/>
          <w:kern w:val="0"/>
          <w:sz w:val="24"/>
          <w:szCs w:val="24"/>
          <w:highlight w:val="none"/>
        </w:rPr>
        <w:t>。</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递交</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的地点：见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须知前附表另有规定外，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所递交的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23. </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的修改和撤回</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23.1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在投标截止时间前，可以对所提交的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的组成部分。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23.2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在投标截止期后不得修改、撤回</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在投标截止期后修改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的，其投标将被拒绝。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五</w:t>
      </w:r>
      <w:r>
        <w:rPr>
          <w:rFonts w:hint="eastAsia" w:ascii="宋体" w:hAnsi="宋体" w:eastAsia="宋体" w:cs="宋体"/>
          <w:b/>
          <w:bCs/>
          <w:color w:val="auto"/>
          <w:kern w:val="0"/>
          <w:sz w:val="28"/>
          <w:szCs w:val="28"/>
          <w:highlight w:val="none"/>
        </w:rPr>
        <w:t>、评标</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 组建</w:t>
      </w:r>
      <w:r>
        <w:rPr>
          <w:rFonts w:hint="eastAsia" w:ascii="宋体" w:hAnsi="宋体" w:eastAsia="宋体" w:cs="宋体"/>
          <w:b/>
          <w:bCs/>
          <w:color w:val="auto"/>
          <w:kern w:val="0"/>
          <w:sz w:val="24"/>
          <w:szCs w:val="24"/>
          <w:highlight w:val="none"/>
          <w:lang w:eastAsia="zh-CN"/>
        </w:rPr>
        <w:t>评标委员会</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.1 </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由采购人代表和评审专家组成。成员由</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人以上单数组成。</w:t>
      </w:r>
      <w:r>
        <w:rPr>
          <w:rFonts w:hint="eastAsia" w:ascii="宋体" w:hAnsi="宋体" w:eastAsia="宋体" w:cs="宋体"/>
          <w:color w:val="auto"/>
          <w:sz w:val="24"/>
          <w:szCs w:val="24"/>
          <w:highlight w:val="none"/>
        </w:rPr>
        <w:t>在开标后由</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进行审查、质疑、评估和比较，并做合理的建议。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成员要依法独立评审，并对评审意见承担个人责任。</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成员对需要共同认定的事项存在争议的，按照少数服从多数的原则</w:t>
      </w:r>
      <w:r>
        <w:rPr>
          <w:rFonts w:hint="eastAsia" w:ascii="宋体" w:hAnsi="宋体" w:eastAsia="宋体" w:cs="宋体"/>
          <w:color w:val="auto"/>
          <w:kern w:val="0"/>
          <w:sz w:val="24"/>
          <w:szCs w:val="24"/>
          <w:highlight w:val="none"/>
        </w:rPr>
        <w:t>做</w:t>
      </w:r>
      <w:r>
        <w:rPr>
          <w:rFonts w:hint="eastAsia" w:ascii="宋体" w:hAnsi="宋体" w:eastAsia="宋体" w:cs="宋体"/>
          <w:color w:val="auto"/>
          <w:sz w:val="24"/>
          <w:szCs w:val="24"/>
          <w:highlight w:val="none"/>
        </w:rPr>
        <w:t>出结论。持不同意见的</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成员应当在评标报告上签署不同意见</w:t>
      </w:r>
      <w:r>
        <w:rPr>
          <w:rFonts w:hint="eastAsia" w:ascii="宋体" w:hAnsi="宋体" w:eastAsia="宋体" w:cs="宋体"/>
          <w:color w:val="auto"/>
          <w:kern w:val="0"/>
          <w:sz w:val="24"/>
          <w:szCs w:val="24"/>
          <w:highlight w:val="none"/>
        </w:rPr>
        <w:t>并说明</w:t>
      </w:r>
      <w:r>
        <w:rPr>
          <w:rFonts w:hint="eastAsia" w:ascii="宋体" w:hAnsi="宋体" w:eastAsia="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xml:space="preserve">. </w:t>
      </w:r>
      <w:r>
        <w:rPr>
          <w:rFonts w:hint="eastAsia" w:ascii="宋体" w:hAnsi="宋体" w:eastAsia="宋体" w:cs="宋体"/>
          <w:b/>
          <w:bCs/>
          <w:color w:val="auto"/>
          <w:sz w:val="24"/>
          <w:szCs w:val="24"/>
          <w:highlight w:val="none"/>
          <w:lang w:eastAsia="zh-CN"/>
        </w:rPr>
        <w:t>响应性文件</w:t>
      </w:r>
      <w:r>
        <w:rPr>
          <w:rFonts w:hint="eastAsia" w:ascii="宋体" w:hAnsi="宋体" w:eastAsia="宋体" w:cs="宋体"/>
          <w:b/>
          <w:bCs/>
          <w:color w:val="auto"/>
          <w:sz w:val="24"/>
          <w:szCs w:val="24"/>
          <w:highlight w:val="none"/>
        </w:rPr>
        <w:t>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.1对所有</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的评估，都采用相同的程序和标准。评标过程将严格按照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.2 </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将对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进行检查，以确定</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报价出现前后不一致的，除</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文件另有规定外，修正错误的原则如下：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shd w:val="clear" w:color="auto" w:fill="FFFFFF"/>
          <w:lang w:eastAsia="zh-CN"/>
        </w:rPr>
        <w:t>响应性文件</w:t>
      </w:r>
      <w:r>
        <w:rPr>
          <w:rFonts w:hint="eastAsia" w:ascii="宋体" w:hAnsi="宋体" w:eastAsia="宋体" w:cs="宋体"/>
          <w:color w:val="auto"/>
          <w:sz w:val="24"/>
          <w:szCs w:val="24"/>
          <w:highlight w:val="none"/>
          <w:shd w:val="clear" w:color="auto" w:fill="FFFFFF"/>
        </w:rPr>
        <w:t>开标一览表（报价表）内容与</w:t>
      </w:r>
      <w:r>
        <w:rPr>
          <w:rFonts w:hint="eastAsia" w:ascii="宋体" w:hAnsi="宋体" w:eastAsia="宋体" w:cs="宋体"/>
          <w:color w:val="auto"/>
          <w:sz w:val="24"/>
          <w:szCs w:val="24"/>
          <w:highlight w:val="none"/>
          <w:shd w:val="clear" w:color="auto" w:fill="FFFFFF"/>
          <w:lang w:eastAsia="zh-CN"/>
        </w:rPr>
        <w:t>响应性文件</w:t>
      </w:r>
      <w:r>
        <w:rPr>
          <w:rFonts w:hint="eastAsia" w:ascii="宋体" w:hAnsi="宋体" w:eastAsia="宋体" w:cs="宋体"/>
          <w:color w:val="auto"/>
          <w:sz w:val="24"/>
          <w:szCs w:val="24"/>
          <w:highlight w:val="none"/>
          <w:shd w:val="clear" w:color="auto" w:fill="FFFFFF"/>
        </w:rPr>
        <w:t>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shd w:val="clear" w:color="auto" w:fill="FFFFFF"/>
        </w:rPr>
        <w:t>大写金额</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.3.5 对不同文字文本</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的解释发生异议的，以中文文本为准。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.3.6 同时出现两种以上不一致的，按照前款规定的顺序修正。修正后的报价按照财政部87号令第五十一条第二款的规定经</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确认后产生约束力，</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不确认的，其投标无效。</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.4.1</w:t>
      </w:r>
      <w:r>
        <w:rPr>
          <w:rFonts w:hint="eastAsia" w:ascii="宋体" w:hAnsi="宋体" w:eastAsia="宋体" w:cs="宋体"/>
          <w:color w:val="auto"/>
          <w:sz w:val="24"/>
          <w:szCs w:val="24"/>
          <w:highlight w:val="none"/>
        </w:rPr>
        <w:t>资格性检查。依据法规政策和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文件的规定，在对</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详细评估之前，采购人将依据</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提交的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公告第二项和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文件第三章4.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应提交的证明文件所述的资格标准对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进行资格审查,以确定其是否具备投标资格。如果</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不具备投标资格、不满足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文件所规定的资格标准或提供资格证明文件不全,其投标将被作为无效投标。在审查过程中，采购人有权要求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文件的规定提供相关资格证明材料的原件以供审查。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应在规定的时限内提供。</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.4.2 资格审查后合格的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不足3家的，不得评标。</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.4.3 符合性检查。依据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文件的规定，</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将从</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的有效性、完整性和对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文件的响应程度进行审查，以确定是否符合对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文件的实质性要求作出响应。对没有实质性响应的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将不进行评估，其投标被作为无效投标。凡有下列情况之一者，</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也将被视为未实质性响应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未按规定签字、盖章的。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w:t>
      </w:r>
      <w:r>
        <w:rPr>
          <w:rFonts w:hint="eastAsia" w:ascii="宋体" w:hAnsi="宋体" w:eastAsia="宋体" w:cs="宋体"/>
          <w:color w:val="000000" w:themeColor="text1"/>
          <w:sz w:val="24"/>
          <w:szCs w:val="24"/>
          <w:highlight w:val="none"/>
          <w14:textFill>
            <w14:solidFill>
              <w14:schemeClr w14:val="tx1"/>
            </w14:solidFill>
          </w14:textFill>
        </w:rPr>
        <w:t>有效期、</w:t>
      </w:r>
      <w:r>
        <w:rPr>
          <w:rFonts w:hint="eastAsia" w:ascii="宋体" w:hAnsi="宋体" w:eastAsia="宋体" w:cs="宋体"/>
          <w:color w:val="000000" w:themeColor="text1"/>
          <w:sz w:val="24"/>
          <w:szCs w:val="24"/>
          <w:highlight w:val="none"/>
          <w:lang w:val="en-US" w:eastAsia="zh-CN"/>
          <w14:textFill>
            <w14:solidFill>
              <w14:schemeClr w14:val="tx1"/>
            </w14:solidFill>
          </w14:textFill>
        </w:rPr>
        <w:t>合同履行期限</w:t>
      </w:r>
      <w:r>
        <w:rPr>
          <w:rFonts w:hint="eastAsia" w:ascii="宋体" w:hAnsi="宋体" w:eastAsia="宋体" w:cs="宋体"/>
          <w:color w:val="000000" w:themeColor="text1"/>
          <w:sz w:val="24"/>
          <w:szCs w:val="24"/>
          <w:highlight w:val="none"/>
          <w14:textFill>
            <w14:solidFill>
              <w14:schemeClr w14:val="tx1"/>
            </w14:solidFill>
          </w14:textFill>
        </w:rPr>
        <w:t>、质保期等不</w:t>
      </w: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的实质性内容未使用中文表述，或意思表述不明确，或前后矛盾，或使用计量单位不符合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的关键内容字迹模糊、无法辨认,或</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内容未按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（9）不符合</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决定投标的响应性只根据</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本身的内容，而不寻求其他的外部证据。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.4.4 对资格性检查和符合性检查不合格的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，将</w:t>
      </w:r>
      <w:r>
        <w:rPr>
          <w:rFonts w:hint="eastAsia" w:ascii="宋体" w:hAnsi="宋体" w:eastAsia="宋体" w:cs="宋体"/>
          <w:color w:val="auto"/>
          <w:kern w:val="0"/>
          <w:sz w:val="24"/>
          <w:szCs w:val="24"/>
          <w:highlight w:val="none"/>
          <w:lang w:val="en-US" w:eastAsia="zh-CN"/>
        </w:rPr>
        <w:t>通过评标系统</w:t>
      </w:r>
      <w:r>
        <w:rPr>
          <w:rFonts w:hint="eastAsia" w:ascii="宋体" w:hAnsi="宋体" w:eastAsia="宋体" w:cs="宋体"/>
          <w:color w:val="auto"/>
          <w:kern w:val="0"/>
          <w:sz w:val="24"/>
          <w:szCs w:val="24"/>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 在评审过程中，</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发现</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有下列情形之一的，视为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.5.1不同</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.5.2不同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.5.3不同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.5.4不同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.5.5不同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.5.6不同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456" w:firstLineChars="19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.5.7 有证据证明</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串通投标的其他情形的；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.5.8 不同</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制作机器码一致；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 xml:space="preserve">.5.9 </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的澄清</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中含义不明确、同类问题表述不一致或者有明显文字和计算错误的内容，</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可以书面形式要求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作出必要的澄清。</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的澄清应当在</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规定的时间内以书面形式作出，由其</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代表签字。但澄清事项不得超出</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的范围，不得实质性改变</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的内容，不得通过澄清等方式对</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实行差别对待。</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不得接受</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主动提出的澄清和解释。</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将按本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文件规定的评标方法与标准，对资格性检查和符合性检查合格的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.2对漏（缺）报项的处理：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认为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的报价明显低于其他通过符合性审查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的报价，有可能影响产品质量或者不能诚信履约的，应当要求其在评标现场合理的时间内提供书面说明，必要时提交相关证明材料；</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不能证明其报价合理性的，</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 凡与本次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有关人员对属于审查、澄清、评价和比较投标的有关资料以及定标意向等，均不得向</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.2 在评标期间，</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w:t>
      </w:r>
      <w:r>
        <w:rPr>
          <w:rFonts w:hint="eastAsia" w:ascii="宋体" w:hAnsi="宋体" w:eastAsia="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六</w:t>
      </w:r>
      <w:r>
        <w:rPr>
          <w:rFonts w:hint="eastAsia" w:ascii="宋体" w:hAnsi="宋体" w:eastAsia="宋体" w:cs="宋体"/>
          <w:b/>
          <w:bCs/>
          <w:color w:val="auto"/>
          <w:kern w:val="0"/>
          <w:sz w:val="28"/>
          <w:szCs w:val="28"/>
          <w:highlight w:val="none"/>
        </w:rPr>
        <w:t>、定标</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.1 最低投标价不作为</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的保证。</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 确定实质上响应</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文件且满足下列条件的为</w:t>
      </w:r>
      <w:r>
        <w:rPr>
          <w:rFonts w:hint="eastAsia" w:ascii="宋体" w:hAnsi="宋体" w:eastAsia="宋体" w:cs="宋体"/>
          <w:bCs/>
          <w:color w:val="auto"/>
          <w:kern w:val="0"/>
          <w:sz w:val="24"/>
          <w:szCs w:val="24"/>
          <w:highlight w:val="none"/>
          <w:lang w:eastAsia="zh-CN"/>
        </w:rPr>
        <w:t>中标候选人</w:t>
      </w:r>
      <w:r>
        <w:rPr>
          <w:rFonts w:hint="eastAsia" w:ascii="宋体" w:hAnsi="宋体" w:eastAsia="宋体" w:cs="宋体"/>
          <w:bCs/>
          <w:color w:val="auto"/>
          <w:kern w:val="0"/>
          <w:sz w:val="24"/>
          <w:szCs w:val="24"/>
          <w:highlight w:val="none"/>
        </w:rPr>
        <w:t>（或</w:t>
      </w:r>
      <w:r>
        <w:rPr>
          <w:rFonts w:hint="eastAsia" w:ascii="宋体" w:hAnsi="宋体" w:eastAsia="宋体" w:cs="宋体"/>
          <w:bCs/>
          <w:color w:val="auto"/>
          <w:kern w:val="0"/>
          <w:sz w:val="24"/>
          <w:szCs w:val="24"/>
          <w:highlight w:val="none"/>
          <w:lang w:eastAsia="zh-CN"/>
        </w:rPr>
        <w:t>中标人</w:t>
      </w:r>
      <w:r>
        <w:rPr>
          <w:rFonts w:hint="eastAsia" w:ascii="宋体" w:hAnsi="宋体" w:eastAsia="宋体" w:cs="宋体"/>
          <w:bCs/>
          <w:color w:val="auto"/>
          <w:kern w:val="0"/>
          <w:sz w:val="24"/>
          <w:szCs w:val="24"/>
          <w:highlight w:val="none"/>
        </w:rPr>
        <w:t>）</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bookmarkStart w:id="41" w:name="_Toc32200"/>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.2.1</w:t>
      </w:r>
      <w:bookmarkEnd w:id="41"/>
      <w:r>
        <w:rPr>
          <w:rFonts w:hint="eastAsia" w:ascii="宋体" w:hAnsi="宋体" w:eastAsia="宋体" w:cs="宋体"/>
          <w:bCs/>
          <w:color w:val="auto"/>
          <w:kern w:val="0"/>
          <w:sz w:val="24"/>
          <w:szCs w:val="24"/>
          <w:highlight w:val="none"/>
        </w:rPr>
        <w:t>本次评标采用</w:t>
      </w:r>
      <w:r>
        <w:rPr>
          <w:rFonts w:hint="eastAsia" w:ascii="宋体" w:hAnsi="宋体" w:eastAsia="宋体" w:cs="宋体"/>
          <w:color w:val="auto"/>
          <w:sz w:val="24"/>
          <w:szCs w:val="24"/>
          <w:highlight w:val="none"/>
        </w:rPr>
        <w:t>综合评分法，是指响应文件满足采购文件全部实质性要求，且按照评审因素的量化指标评审得分最高的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lang w:eastAsia="zh-CN"/>
        </w:rPr>
        <w:t>中标候选人</w:t>
      </w:r>
      <w:r>
        <w:rPr>
          <w:rFonts w:hint="eastAsia" w:ascii="宋体" w:hAnsi="宋体" w:eastAsia="宋体" w:cs="宋体"/>
          <w:color w:val="auto"/>
          <w:sz w:val="24"/>
          <w:szCs w:val="24"/>
          <w:highlight w:val="none"/>
        </w:rPr>
        <w:t>的评标方法。</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文件全部实质性要求，且按照评审因素的量化指标评审得分最高的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为排名第一的</w:t>
      </w:r>
      <w:r>
        <w:rPr>
          <w:rFonts w:hint="eastAsia" w:ascii="宋体" w:hAnsi="宋体" w:eastAsia="宋体" w:cs="宋体"/>
          <w:color w:val="auto"/>
          <w:sz w:val="24"/>
          <w:szCs w:val="24"/>
          <w:highlight w:val="none"/>
          <w:lang w:eastAsia="zh-CN"/>
        </w:rPr>
        <w:t>中标候选人</w:t>
      </w:r>
      <w:r>
        <w:rPr>
          <w:rFonts w:hint="eastAsia" w:ascii="宋体" w:hAnsi="宋体" w:eastAsia="宋体" w:cs="宋体"/>
          <w:color w:val="auto"/>
          <w:sz w:val="24"/>
          <w:szCs w:val="24"/>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 确定</w:t>
      </w:r>
      <w:r>
        <w:rPr>
          <w:rFonts w:hint="eastAsia" w:ascii="宋体" w:hAnsi="宋体" w:eastAsia="宋体" w:cs="宋体"/>
          <w:b/>
          <w:bCs/>
          <w:color w:val="auto"/>
          <w:kern w:val="0"/>
          <w:sz w:val="24"/>
          <w:szCs w:val="24"/>
          <w:highlight w:val="none"/>
          <w:lang w:eastAsia="zh-CN"/>
        </w:rPr>
        <w:t>中标人</w:t>
      </w:r>
      <w:r>
        <w:rPr>
          <w:rFonts w:hint="eastAsia" w:ascii="宋体" w:hAnsi="宋体" w:eastAsia="宋体" w:cs="宋体"/>
          <w:b/>
          <w:bCs/>
          <w:color w:val="auto"/>
          <w:kern w:val="0"/>
          <w:sz w:val="24"/>
          <w:szCs w:val="24"/>
          <w:highlight w:val="none"/>
        </w:rPr>
        <w:t>和</w:t>
      </w:r>
      <w:r>
        <w:rPr>
          <w:rFonts w:hint="eastAsia" w:ascii="宋体" w:hAnsi="宋体" w:eastAsia="宋体" w:cs="宋体"/>
          <w:b/>
          <w:bCs/>
          <w:color w:val="auto"/>
          <w:kern w:val="0"/>
          <w:sz w:val="24"/>
          <w:szCs w:val="24"/>
          <w:highlight w:val="none"/>
          <w:lang w:eastAsia="zh-CN"/>
        </w:rPr>
        <w:t>中标候选人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本项目由采购人授权</w:t>
      </w:r>
      <w:r>
        <w:rPr>
          <w:rFonts w:hint="eastAsia" w:ascii="宋体" w:hAnsi="宋体" w:eastAsia="宋体" w:cs="宋体"/>
          <w:bCs/>
          <w:color w:val="auto"/>
          <w:kern w:val="0"/>
          <w:sz w:val="24"/>
          <w:szCs w:val="24"/>
          <w:highlight w:val="none"/>
          <w:lang w:eastAsia="zh-CN"/>
        </w:rPr>
        <w:t>评标委员会</w:t>
      </w:r>
      <w:r>
        <w:rPr>
          <w:rFonts w:hint="eastAsia" w:ascii="宋体" w:hAnsi="宋体" w:eastAsia="宋体" w:cs="宋体"/>
          <w:bCs/>
          <w:color w:val="auto"/>
          <w:kern w:val="0"/>
          <w:sz w:val="24"/>
          <w:szCs w:val="24"/>
          <w:highlight w:val="none"/>
        </w:rPr>
        <w:t>确定一名</w:t>
      </w:r>
      <w:r>
        <w:rPr>
          <w:rFonts w:hint="eastAsia" w:ascii="宋体" w:hAnsi="宋体" w:eastAsia="宋体" w:cs="宋体"/>
          <w:bCs/>
          <w:color w:val="auto"/>
          <w:kern w:val="0"/>
          <w:sz w:val="24"/>
          <w:szCs w:val="24"/>
          <w:highlight w:val="none"/>
          <w:lang w:eastAsia="zh-CN"/>
        </w:rPr>
        <w:t>中标人</w:t>
      </w:r>
      <w:r>
        <w:rPr>
          <w:rFonts w:hint="eastAsia" w:ascii="宋体" w:hAnsi="宋体" w:eastAsia="宋体" w:cs="宋体"/>
          <w:bCs/>
          <w:color w:val="auto"/>
          <w:kern w:val="0"/>
          <w:sz w:val="24"/>
          <w:szCs w:val="24"/>
          <w:highlight w:val="none"/>
        </w:rPr>
        <w:t>并推荐两名</w:t>
      </w:r>
      <w:r>
        <w:rPr>
          <w:rFonts w:hint="eastAsia" w:ascii="宋体" w:hAnsi="宋体" w:eastAsia="宋体" w:cs="宋体"/>
          <w:bCs/>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lang w:eastAsia="zh-CN"/>
        </w:rPr>
        <w:t>成交</w:t>
      </w:r>
      <w:r>
        <w:rPr>
          <w:rFonts w:hint="eastAsia" w:ascii="宋体" w:hAnsi="宋体" w:eastAsia="宋体" w:cs="宋体"/>
          <w:b/>
          <w:bCs/>
          <w:color w:val="auto"/>
          <w:kern w:val="0"/>
          <w:sz w:val="24"/>
          <w:szCs w:val="24"/>
          <w:highlight w:val="none"/>
        </w:rPr>
        <w:t>通知书及</w:t>
      </w:r>
      <w:r>
        <w:rPr>
          <w:rFonts w:hint="eastAsia" w:ascii="宋体" w:hAnsi="宋体" w:eastAsia="宋体" w:cs="宋体"/>
          <w:b/>
          <w:bCs/>
          <w:color w:val="auto"/>
          <w:kern w:val="0"/>
          <w:sz w:val="24"/>
          <w:szCs w:val="24"/>
          <w:highlight w:val="none"/>
          <w:lang w:eastAsia="zh-CN"/>
        </w:rPr>
        <w:t>成交</w:t>
      </w:r>
      <w:r>
        <w:rPr>
          <w:rFonts w:hint="eastAsia" w:ascii="宋体" w:hAnsi="宋体" w:eastAsia="宋体" w:cs="宋体"/>
          <w:b/>
          <w:bCs/>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.1评审结束后，</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人将</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的情况在本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公告发布的同一媒介予以公示，公示</w:t>
      </w:r>
      <w:r>
        <w:rPr>
          <w:rFonts w:hint="eastAsia" w:ascii="宋体" w:hAnsi="宋体" w:eastAsia="宋体" w:cs="宋体"/>
          <w:color w:val="auto"/>
          <w:kern w:val="0"/>
          <w:sz w:val="24"/>
          <w:szCs w:val="24"/>
          <w:highlight w:val="none"/>
          <w:lang w:eastAsia="zh-CN"/>
        </w:rPr>
        <w:t>期限</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个工作日</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发出</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在规定的时间内不领取</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通知书的，视为</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后自动放弃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资格；</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在有效报价中报价最低,非不可抗力放弃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通知书对采购人和</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具有同等法律效力。</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通知书发出后，采购人改变</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结果，或者</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.4</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通知书将作为签订合同的依据。合同签订后，</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通知书成为合同的一部分。</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.1出现下列情况之一时，采购人有权宣布废标，并将理由通知所有</w:t>
      </w:r>
      <w:r>
        <w:rPr>
          <w:rFonts w:hint="eastAsia" w:ascii="宋体" w:hAnsi="宋体" w:eastAsia="宋体" w:cs="宋体"/>
          <w:bCs/>
          <w:color w:val="auto"/>
          <w:kern w:val="0"/>
          <w:sz w:val="24"/>
          <w:szCs w:val="24"/>
          <w:highlight w:val="none"/>
          <w:lang w:eastAsia="zh-CN"/>
        </w:rPr>
        <w:t>供应商</w:t>
      </w:r>
      <w:r>
        <w:rPr>
          <w:rFonts w:hint="eastAsia" w:ascii="宋体" w:hAnsi="宋体" w:eastAsia="宋体" w:cs="宋体"/>
          <w:bCs/>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.1.2</w:t>
      </w:r>
      <w:r>
        <w:rPr>
          <w:rFonts w:hint="eastAsia" w:ascii="宋体" w:hAnsi="宋体" w:eastAsia="宋体" w:cs="宋体"/>
          <w:bCs/>
          <w:color w:val="auto"/>
          <w:kern w:val="0"/>
          <w:sz w:val="24"/>
          <w:szCs w:val="24"/>
          <w:highlight w:val="none"/>
          <w:lang w:eastAsia="zh-CN"/>
        </w:rPr>
        <w:t>供应商</w:t>
      </w:r>
      <w:r>
        <w:rPr>
          <w:rFonts w:hint="eastAsia" w:ascii="宋体" w:hAnsi="宋体" w:eastAsia="宋体" w:cs="宋体"/>
          <w:bCs/>
          <w:color w:val="auto"/>
          <w:kern w:val="0"/>
          <w:sz w:val="24"/>
          <w:szCs w:val="24"/>
          <w:highlight w:val="none"/>
        </w:rPr>
        <w:t>的报价均超过了</w:t>
      </w:r>
      <w:r>
        <w:rPr>
          <w:rFonts w:hint="eastAsia" w:ascii="宋体" w:hAnsi="宋体" w:eastAsia="宋体" w:cs="宋体"/>
          <w:bCs/>
          <w:color w:val="auto"/>
          <w:kern w:val="0"/>
          <w:sz w:val="24"/>
          <w:szCs w:val="24"/>
          <w:highlight w:val="none"/>
          <w:lang w:val="en-US" w:eastAsia="zh-CN"/>
        </w:rPr>
        <w:t>采购预算金额</w:t>
      </w:r>
      <w:r>
        <w:rPr>
          <w:rFonts w:hint="eastAsia" w:ascii="宋体" w:hAnsi="宋体" w:eastAsia="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sz w:val="24"/>
          <w:szCs w:val="24"/>
          <w:highlight w:val="none"/>
        </w:rPr>
        <w:t>投标截止后</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不足3家或通过资格性检查或符合性检查的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不足3家的，除采购任务取消情形外，按照以下方式处理：</w:t>
      </w:r>
    </w:p>
    <w:p>
      <w:pPr>
        <w:keepNext w:val="0"/>
        <w:keepLines w:val="0"/>
        <w:pageBreakBefore w:val="0"/>
        <w:numPr>
          <w:ilvl w:val="0"/>
          <w:numId w:val="18"/>
        </w:numPr>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七</w:t>
      </w:r>
      <w:r>
        <w:rPr>
          <w:rFonts w:hint="eastAsia" w:ascii="宋体" w:hAnsi="宋体" w:eastAsia="宋体" w:cs="宋体"/>
          <w:b/>
          <w:bCs/>
          <w:color w:val="auto"/>
          <w:kern w:val="0"/>
          <w:sz w:val="28"/>
          <w:szCs w:val="28"/>
          <w:highlight w:val="none"/>
        </w:rPr>
        <w:t>、合同授予</w:t>
      </w:r>
    </w:p>
    <w:p>
      <w:pPr>
        <w:keepNext w:val="0"/>
        <w:keepLines w:val="0"/>
        <w:pageBreakBefore w:val="0"/>
        <w:widowControl/>
        <w:kinsoku/>
        <w:wordWrap/>
        <w:overflowPunct/>
        <w:topLinePunct w:val="0"/>
        <w:bidi w:val="0"/>
        <w:snapToGrid w:val="0"/>
        <w:spacing w:line="360" w:lineRule="auto"/>
        <w:ind w:firstLine="540" w:firstLineChars="224"/>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bookmarkStart w:id="42" w:name="_Toc8594"/>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采购人、</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自</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通知书发出之日起，在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文件第三章《</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须知前附表》规定的时间内，根据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文件确定的事项和</w:t>
      </w:r>
      <w:r>
        <w:rPr>
          <w:rFonts w:hint="eastAsia" w:ascii="宋体" w:hAnsi="宋体" w:eastAsia="宋体" w:cs="宋体"/>
          <w:color w:val="auto"/>
          <w:kern w:val="0"/>
          <w:sz w:val="24"/>
          <w:szCs w:val="24"/>
          <w:highlight w:val="none"/>
          <w:lang w:eastAsia="zh-CN"/>
        </w:rPr>
        <w:t>中标人响应性文件</w:t>
      </w:r>
      <w:r>
        <w:rPr>
          <w:rFonts w:hint="eastAsia" w:ascii="宋体" w:hAnsi="宋体" w:eastAsia="宋体" w:cs="宋体"/>
          <w:color w:val="auto"/>
          <w:kern w:val="0"/>
          <w:sz w:val="24"/>
          <w:szCs w:val="24"/>
          <w:highlight w:val="none"/>
        </w:rPr>
        <w:t>签订合同。双方所签订的合同不得对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文件和</w:t>
      </w:r>
      <w:r>
        <w:rPr>
          <w:rFonts w:hint="eastAsia" w:ascii="宋体" w:hAnsi="宋体" w:eastAsia="宋体" w:cs="宋体"/>
          <w:color w:val="auto"/>
          <w:kern w:val="0"/>
          <w:sz w:val="24"/>
          <w:szCs w:val="24"/>
          <w:highlight w:val="none"/>
          <w:lang w:eastAsia="zh-CN"/>
        </w:rPr>
        <w:t>中标人响应性文件</w:t>
      </w:r>
      <w:r>
        <w:rPr>
          <w:rFonts w:hint="eastAsia" w:ascii="宋体" w:hAnsi="宋体" w:eastAsia="宋体" w:cs="宋体"/>
          <w:color w:val="auto"/>
          <w:kern w:val="0"/>
          <w:sz w:val="24"/>
          <w:szCs w:val="24"/>
          <w:highlight w:val="none"/>
        </w:rPr>
        <w:t>作实质性修改。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文件的修改文件、</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、补充或修改的文件及澄清或承诺文件等，均为双方签订合同的组成部分，并与合同一并作为本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.3 </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、因不可抗力不能履行合同、不按照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文件要求提交履约保证金，或者被查实存在影响</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结果的违法行为等情形，不符合</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条件的，采购人可以按照</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提出的</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名单排序依次确定其他</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为</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，也可以重新招标。</w:t>
      </w:r>
    </w:p>
    <w:bookmarkEnd w:id="42"/>
    <w:p>
      <w:pPr>
        <w:rPr>
          <w:rFonts w:hint="eastAsia" w:ascii="宋体" w:hAnsi="宋体" w:eastAsia="宋体" w:cs="宋体"/>
          <w:color w:val="auto"/>
          <w:highlight w:val="none"/>
        </w:rPr>
      </w:pPr>
      <w:bookmarkStart w:id="43" w:name="_Toc4700"/>
      <w:bookmarkStart w:id="44" w:name="_Toc16669"/>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color w:val="auto"/>
          <w:kern w:val="0"/>
          <w:sz w:val="24"/>
          <w:highlight w:val="none"/>
        </w:rPr>
      </w:pPr>
      <w:bookmarkStart w:id="45" w:name="_Toc9022"/>
      <w:r>
        <w:rPr>
          <w:rFonts w:hint="eastAsia" w:ascii="宋体" w:hAnsi="宋体" w:eastAsia="宋体" w:cs="宋体"/>
          <w:b/>
          <w:bCs/>
          <w:color w:val="auto"/>
          <w:kern w:val="0"/>
          <w:sz w:val="32"/>
          <w:szCs w:val="32"/>
          <w:highlight w:val="none"/>
        </w:rPr>
        <w:t>第四章  评标办法及评分标准</w:t>
      </w:r>
      <w:bookmarkEnd w:id="43"/>
      <w:bookmarkEnd w:id="45"/>
    </w:p>
    <w:p>
      <w:pPr>
        <w:rPr>
          <w:rFonts w:hint="eastAsia" w:ascii="宋体" w:hAnsi="宋体" w:eastAsia="宋体" w:cs="宋体"/>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eastAsia="zh-CN"/>
        </w:rPr>
        <w:t>评标委员会</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w:t>
      </w:r>
      <w:r>
        <w:rPr>
          <w:rFonts w:hint="eastAsia" w:ascii="宋体" w:hAnsi="宋体" w:eastAsia="宋体" w:cs="宋体"/>
          <w:b w:val="0"/>
          <w:bCs w:val="0"/>
          <w:color w:val="auto"/>
          <w:sz w:val="24"/>
          <w:szCs w:val="24"/>
          <w:highlight w:val="none"/>
          <w:lang w:eastAsia="zh-CN"/>
        </w:rPr>
        <w:t>响应性文件</w:t>
      </w:r>
      <w:r>
        <w:rPr>
          <w:rFonts w:hint="eastAsia" w:ascii="宋体" w:hAnsi="宋体" w:eastAsia="宋体" w:cs="宋体"/>
          <w:b w:val="0"/>
          <w:bCs w:val="0"/>
          <w:color w:val="auto"/>
          <w:sz w:val="24"/>
          <w:szCs w:val="24"/>
          <w:highlight w:val="none"/>
        </w:rPr>
        <w:t>进行综合比较与评价。</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响应性文件</w:t>
      </w:r>
      <w:r>
        <w:rPr>
          <w:rFonts w:hint="eastAsia" w:ascii="宋体" w:hAnsi="宋体" w:eastAsia="宋体" w:cs="宋体"/>
          <w:b w:val="0"/>
          <w:bCs w:val="0"/>
          <w:color w:val="auto"/>
          <w:sz w:val="24"/>
          <w:szCs w:val="24"/>
          <w:highlight w:val="none"/>
        </w:rPr>
        <w:t>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为第一</w:t>
      </w:r>
      <w:r>
        <w:rPr>
          <w:rFonts w:hint="eastAsia" w:ascii="宋体" w:hAnsi="宋体" w:eastAsia="宋体" w:cs="宋体"/>
          <w:b w:val="0"/>
          <w:bCs w:val="0"/>
          <w:color w:val="auto"/>
          <w:sz w:val="24"/>
          <w:szCs w:val="24"/>
          <w:highlight w:val="none"/>
          <w:lang w:eastAsia="zh-CN"/>
        </w:rPr>
        <w:t>中标候选人</w:t>
      </w:r>
      <w:r>
        <w:rPr>
          <w:rFonts w:hint="eastAsia" w:ascii="宋体" w:hAnsi="宋体" w:eastAsia="宋体" w:cs="宋体"/>
          <w:b w:val="0"/>
          <w:bCs w:val="0"/>
          <w:color w:val="auto"/>
          <w:sz w:val="24"/>
          <w:szCs w:val="24"/>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19"/>
        </w:numPr>
        <w:kinsoku/>
        <w:overflowPunct/>
        <w:topLinePunct w:val="0"/>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860"/>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说明：当</w:t>
            </w:r>
            <w:r>
              <w:rPr>
                <w:rFonts w:hint="eastAsia" w:ascii="宋体" w:hAnsi="宋体" w:eastAsia="宋体" w:cs="宋体"/>
                <w:b w:val="0"/>
                <w:bCs w:val="0"/>
                <w:color w:val="auto"/>
                <w:sz w:val="24"/>
                <w:szCs w:val="24"/>
                <w:highlight w:val="none"/>
                <w:u w:val="none"/>
                <w:lang w:eastAsia="zh-CN"/>
              </w:rPr>
              <w:t>评标委员会</w:t>
            </w:r>
            <w:r>
              <w:rPr>
                <w:rFonts w:hint="eastAsia" w:ascii="宋体" w:hAnsi="宋体" w:eastAsia="宋体" w:cs="宋体"/>
                <w:b w:val="0"/>
                <w:bCs w:val="0"/>
                <w:color w:val="auto"/>
                <w:sz w:val="24"/>
                <w:szCs w:val="24"/>
                <w:highlight w:val="none"/>
                <w:u w:val="none"/>
              </w:rPr>
              <w:t>发现</w:t>
            </w:r>
            <w:r>
              <w:rPr>
                <w:rFonts w:hint="eastAsia" w:ascii="宋体" w:hAnsi="宋体" w:eastAsia="宋体" w:cs="宋体"/>
                <w:b w:val="0"/>
                <w:bCs w:val="0"/>
                <w:color w:val="auto"/>
                <w:sz w:val="24"/>
                <w:szCs w:val="24"/>
                <w:highlight w:val="none"/>
                <w:u w:val="none"/>
                <w:lang w:eastAsia="zh-CN"/>
              </w:rPr>
              <w:t>供应商</w:t>
            </w:r>
            <w:r>
              <w:rPr>
                <w:rFonts w:hint="eastAsia" w:ascii="宋体" w:hAnsi="宋体" w:eastAsia="宋体" w:cs="宋体"/>
                <w:b w:val="0"/>
                <w:bCs w:val="0"/>
                <w:color w:val="auto"/>
                <w:sz w:val="24"/>
                <w:szCs w:val="24"/>
                <w:highlight w:val="none"/>
                <w:u w:val="none"/>
              </w:rPr>
              <w:t>的投标报价明显低于其他投标报价，使其投标报价可能低于其个别成本的，</w:t>
            </w:r>
            <w:r>
              <w:rPr>
                <w:rFonts w:hint="eastAsia" w:ascii="宋体" w:hAnsi="宋体" w:eastAsia="宋体" w:cs="宋体"/>
                <w:b w:val="0"/>
                <w:bCs w:val="0"/>
                <w:color w:val="auto"/>
                <w:sz w:val="24"/>
                <w:szCs w:val="24"/>
                <w:highlight w:val="none"/>
                <w:u w:val="none"/>
                <w:lang w:eastAsia="zh-CN"/>
              </w:rPr>
              <w:t>评标委员会</w:t>
            </w:r>
            <w:r>
              <w:rPr>
                <w:rFonts w:hint="eastAsia" w:ascii="宋体" w:hAnsi="宋体" w:eastAsia="宋体" w:cs="宋体"/>
                <w:b w:val="0"/>
                <w:bCs w:val="0"/>
                <w:color w:val="auto"/>
                <w:sz w:val="24"/>
                <w:szCs w:val="24"/>
                <w:highlight w:val="none"/>
                <w:u w:val="none"/>
              </w:rPr>
              <w:t>可对其质询，并要求该</w:t>
            </w:r>
            <w:r>
              <w:rPr>
                <w:rFonts w:hint="eastAsia" w:ascii="宋体" w:hAnsi="宋体" w:eastAsia="宋体" w:cs="宋体"/>
                <w:b w:val="0"/>
                <w:bCs w:val="0"/>
                <w:color w:val="auto"/>
                <w:sz w:val="24"/>
                <w:szCs w:val="24"/>
                <w:highlight w:val="none"/>
                <w:u w:val="none"/>
                <w:lang w:eastAsia="zh-CN"/>
              </w:rPr>
              <w:t>供应商</w:t>
            </w:r>
            <w:r>
              <w:rPr>
                <w:rFonts w:hint="eastAsia" w:ascii="宋体" w:hAnsi="宋体" w:eastAsia="宋体" w:cs="宋体"/>
                <w:b w:val="0"/>
                <w:bCs w:val="0"/>
                <w:color w:val="auto"/>
                <w:sz w:val="24"/>
                <w:szCs w:val="24"/>
                <w:highlight w:val="none"/>
                <w:u w:val="none"/>
              </w:rPr>
              <w:t>做出书面说明和提供相关的证明材料；该</w:t>
            </w:r>
            <w:r>
              <w:rPr>
                <w:rFonts w:hint="eastAsia" w:ascii="宋体" w:hAnsi="宋体" w:eastAsia="宋体" w:cs="宋体"/>
                <w:b w:val="0"/>
                <w:bCs w:val="0"/>
                <w:color w:val="auto"/>
                <w:sz w:val="24"/>
                <w:szCs w:val="24"/>
                <w:highlight w:val="none"/>
                <w:u w:val="none"/>
                <w:lang w:eastAsia="zh-CN"/>
              </w:rPr>
              <w:t>供应商</w:t>
            </w:r>
            <w:r>
              <w:rPr>
                <w:rFonts w:hint="eastAsia" w:ascii="宋体" w:hAnsi="宋体" w:eastAsia="宋体" w:cs="宋体"/>
                <w:b w:val="0"/>
                <w:bCs w:val="0"/>
                <w:color w:val="auto"/>
                <w:sz w:val="24"/>
                <w:szCs w:val="24"/>
                <w:highlight w:val="none"/>
                <w:u w:val="none"/>
              </w:rPr>
              <w:t>不能合理说明或提供证明材料的，</w:t>
            </w:r>
            <w:r>
              <w:rPr>
                <w:rFonts w:hint="eastAsia" w:ascii="宋体" w:hAnsi="宋体" w:eastAsia="宋体" w:cs="宋体"/>
                <w:b w:val="0"/>
                <w:bCs w:val="0"/>
                <w:color w:val="auto"/>
                <w:sz w:val="24"/>
                <w:szCs w:val="24"/>
                <w:highlight w:val="none"/>
                <w:u w:val="none"/>
                <w:lang w:eastAsia="zh-CN"/>
              </w:rPr>
              <w:t>评标委员会</w:t>
            </w:r>
            <w:r>
              <w:rPr>
                <w:rFonts w:hint="eastAsia" w:ascii="宋体" w:hAnsi="宋体" w:eastAsia="宋体" w:cs="宋体"/>
                <w:b w:val="0"/>
                <w:bCs w:val="0"/>
                <w:color w:val="auto"/>
                <w:sz w:val="24"/>
                <w:szCs w:val="24"/>
                <w:highlight w:val="none"/>
                <w:u w:val="none"/>
              </w:rPr>
              <w:t>应按无效投标处理。</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有效投标报价：投标报价</w:t>
            </w:r>
            <w:r>
              <w:rPr>
                <w:rFonts w:hint="eastAsia" w:ascii="宋体" w:hAnsi="宋体" w:eastAsia="宋体" w:cs="宋体"/>
                <w:b w:val="0"/>
                <w:bCs w:val="0"/>
                <w:color w:val="auto"/>
                <w:sz w:val="24"/>
                <w:szCs w:val="24"/>
                <w:highlight w:val="none"/>
                <w:lang w:val="en-US" w:eastAsia="zh-CN"/>
              </w:rPr>
              <w:t>不高于</w:t>
            </w:r>
            <w:r>
              <w:rPr>
                <w:rFonts w:hint="eastAsia" w:ascii="宋体" w:hAnsi="宋体" w:eastAsia="宋体" w:cs="宋体"/>
                <w:b w:val="0"/>
                <w:bCs w:val="0"/>
                <w:color w:val="auto"/>
                <w:sz w:val="24"/>
                <w:szCs w:val="24"/>
                <w:highlight w:val="none"/>
              </w:rPr>
              <w:t>采购预算价的为有效投标报价。</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评标基准值的确定：满足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文件要求且投标价格最低的有效投标报价为评标基准价。</w:t>
            </w:r>
          </w:p>
          <w:p>
            <w:pPr>
              <w:spacing w:line="360" w:lineRule="auto"/>
              <w:rPr>
                <w:rFonts w:hint="eastAsia" w:ascii="宋体" w:hAnsi="宋体" w:eastAsia="宋体" w:cs="宋体"/>
                <w:sz w:val="24"/>
                <w:szCs w:val="24"/>
                <w:lang w:val="en-US" w:eastAsia="zh-CN"/>
              </w:rPr>
            </w:pPr>
            <w:r>
              <w:rPr>
                <w:rFonts w:hint="eastAsia" w:ascii="宋体" w:hAnsi="宋体" w:eastAsia="宋体" w:cs="宋体"/>
                <w:b w:val="0"/>
                <w:bCs w:val="0"/>
                <w:color w:val="auto"/>
                <w:sz w:val="24"/>
                <w:szCs w:val="24"/>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服务质量</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40</w:t>
            </w:r>
            <w:r>
              <w:rPr>
                <w:rFonts w:hint="eastAsia" w:ascii="宋体" w:hAnsi="宋体" w:eastAsia="宋体" w:cs="宋体"/>
                <w:b w:val="0"/>
                <w:bCs w:val="0"/>
                <w:color w:val="auto"/>
                <w:sz w:val="24"/>
                <w:szCs w:val="24"/>
                <w:highlight w:val="none"/>
                <w:lang w:eastAsia="zh-CN"/>
              </w:rPr>
              <w:t>分）</w:t>
            </w:r>
          </w:p>
        </w:tc>
        <w:tc>
          <w:tcPr>
            <w:tcW w:w="186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服务能力的响应程度(20分）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完全满足招标文件“第二章 采购需求</w:t>
            </w:r>
            <w:r>
              <w:rPr>
                <w:rFonts w:hint="eastAsia" w:ascii="宋体" w:hAnsi="宋体" w:eastAsia="宋体" w:cs="宋体"/>
                <w:b w:val="0"/>
                <w:bCs w:val="0"/>
                <w:color w:val="auto"/>
                <w:sz w:val="24"/>
                <w:szCs w:val="24"/>
                <w:highlight w:val="none"/>
                <w:lang w:val="en-US" w:eastAsia="zh-CN"/>
              </w:rPr>
              <w:t xml:space="preserve"> 二、技术要求</w:t>
            </w:r>
            <w:r>
              <w:rPr>
                <w:rFonts w:hint="eastAsia" w:ascii="宋体" w:hAnsi="宋体" w:eastAsia="宋体" w:cs="宋体"/>
                <w:b w:val="0"/>
                <w:bCs w:val="0"/>
                <w:color w:val="auto"/>
                <w:sz w:val="24"/>
                <w:szCs w:val="24"/>
                <w:highlight w:val="none"/>
              </w:rPr>
              <w:t>”得20分；每有一项不满足在20分的基础上扣除</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p>
        </w:tc>
        <w:tc>
          <w:tcPr>
            <w:tcW w:w="186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服务方案（20分）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服务方案包括：项目需求分析，制定的年度服务报告、维修报告、维保报告、巡查报告制度，设备常见故障分析及预防措施，设备维保应急响应方案。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以上内容具体、完善、合理性程度强得14-20分，具体、完善、合理性程度一般得7-13分，具体、完善、合理性程度差得1-6分，缺项得0分。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商务评价</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14</w:t>
            </w:r>
            <w:r>
              <w:rPr>
                <w:rFonts w:hint="eastAsia" w:ascii="宋体" w:hAnsi="宋体" w:eastAsia="宋体" w:cs="宋体"/>
                <w:b w:val="0"/>
                <w:bCs w:val="0"/>
                <w:color w:val="auto"/>
                <w:sz w:val="24"/>
                <w:szCs w:val="24"/>
                <w:highlight w:val="none"/>
                <w:lang w:eastAsia="zh-CN"/>
              </w:rPr>
              <w:t>分)</w:t>
            </w:r>
          </w:p>
        </w:tc>
        <w:tc>
          <w:tcPr>
            <w:tcW w:w="186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1.拟投入团队情况（8分）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团队组织结构合理，人员分工及职责明确、持证上岗，完全满足采购需求的得8分；服务团队组织结构较合理，可以满足采购需求的得4分；人员分工及职责不明确或管理不完善，基本满足采购需求的得1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p>
        </w:tc>
        <w:tc>
          <w:tcPr>
            <w:tcW w:w="1860" w:type="dxa"/>
            <w:tcBorders>
              <w:top w:val="single" w:color="auto" w:sz="4" w:space="0"/>
            </w:tcBorders>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类似业绩</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6分</w:t>
            </w:r>
            <w:r>
              <w:rPr>
                <w:rFonts w:hint="eastAsia" w:ascii="宋体" w:hAnsi="宋体" w:eastAsia="宋体" w:cs="宋体"/>
                <w:b w:val="0"/>
                <w:bCs w:val="0"/>
                <w:color w:val="auto"/>
                <w:sz w:val="24"/>
                <w:szCs w:val="24"/>
                <w:highlight w:val="none"/>
                <w:lang w:eastAsia="zh-CN"/>
              </w:rPr>
              <w:t>）</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sz w:val="24"/>
                <w:szCs w:val="24"/>
                <w:lang w:val="en-US" w:eastAsia="zh-CN"/>
              </w:rPr>
              <w:t>自2020年1月1日至今（近三年）已完成的类似维保项目业绩(以合同文件为准），每提供一份得2分，最多得6分。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售后服务</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(16分)</w:t>
            </w:r>
          </w:p>
        </w:tc>
        <w:tc>
          <w:tcPr>
            <w:tcW w:w="186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培训方案、服务站点、服务响应及时性、服务承诺及增值服务等</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根据供应商在响应性文件中的服务站设立情况（提供专业技术人员联系方式和服务站地址、电话）、培训方案、服务及时率、服务到位程度、及保证技术措施落实到位的服务承诺及增值服务等内容；</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0"/>
                <w:sz w:val="24"/>
                <w:szCs w:val="24"/>
                <w:highlight w:val="none"/>
                <w:lang w:val="en-US" w:eastAsia="zh-CN"/>
              </w:rPr>
              <w:t>以上内容具体、完善、合理性程度强得11-16分，具体、完善、合理性程度一般得5-10分，具体、完善、合理性程度差得1-4分，缺项得0分。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评标委员会</w:t>
            </w:r>
            <w:r>
              <w:rPr>
                <w:rFonts w:hint="eastAsia" w:ascii="宋体" w:hAnsi="宋体" w:eastAsia="宋体" w:cs="宋体"/>
                <w:b w:val="0"/>
                <w:bCs w:val="0"/>
                <w:color w:val="auto"/>
                <w:sz w:val="24"/>
                <w:szCs w:val="24"/>
                <w:highlight w:val="none"/>
              </w:rPr>
              <w:t>成员评分=各项评分因素的汇总得分。</w:t>
            </w:r>
          </w:p>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评标总得分=</w:t>
            </w:r>
            <w:r>
              <w:rPr>
                <w:rFonts w:hint="eastAsia" w:ascii="宋体" w:hAnsi="宋体" w:eastAsia="宋体" w:cs="宋体"/>
                <w:b w:val="0"/>
                <w:bCs w:val="0"/>
                <w:color w:val="auto"/>
                <w:sz w:val="24"/>
                <w:szCs w:val="24"/>
                <w:highlight w:val="none"/>
                <w:lang w:eastAsia="zh-CN"/>
              </w:rPr>
              <w:t>评标委员会</w:t>
            </w:r>
            <w:r>
              <w:rPr>
                <w:rFonts w:hint="eastAsia" w:ascii="宋体" w:hAnsi="宋体" w:eastAsia="宋体" w:cs="宋体"/>
                <w:b w:val="0"/>
                <w:bCs w:val="0"/>
                <w:color w:val="auto"/>
                <w:sz w:val="24"/>
                <w:szCs w:val="24"/>
                <w:highlight w:val="none"/>
              </w:rPr>
              <w:t>所有成员合计评分/</w:t>
            </w:r>
            <w:r>
              <w:rPr>
                <w:rFonts w:hint="eastAsia" w:ascii="宋体" w:hAnsi="宋体" w:eastAsia="宋体" w:cs="宋体"/>
                <w:b w:val="0"/>
                <w:bCs w:val="0"/>
                <w:color w:val="auto"/>
                <w:sz w:val="24"/>
                <w:szCs w:val="24"/>
                <w:highlight w:val="none"/>
                <w:lang w:eastAsia="zh-CN"/>
              </w:rPr>
              <w:t>评标委员会</w:t>
            </w:r>
            <w:r>
              <w:rPr>
                <w:rFonts w:hint="eastAsia" w:ascii="宋体" w:hAnsi="宋体" w:eastAsia="宋体" w:cs="宋体"/>
                <w:b w:val="0"/>
                <w:bCs w:val="0"/>
                <w:color w:val="auto"/>
                <w:sz w:val="24"/>
                <w:szCs w:val="24"/>
                <w:highlight w:val="none"/>
              </w:rPr>
              <w:t>组成人员数。</w:t>
            </w:r>
          </w:p>
        </w:tc>
      </w:tr>
    </w:tbl>
    <w:p>
      <w:pPr>
        <w:spacing w:line="500" w:lineRule="exact"/>
        <w:ind w:firstLine="420" w:firstLineChars="200"/>
        <w:rPr>
          <w:rFonts w:hint="eastAsia" w:ascii="宋体" w:hAnsi="宋体" w:eastAsia="宋体" w:cs="宋体"/>
          <w:color w:val="auto"/>
          <w:kern w:val="0"/>
          <w:szCs w:val="21"/>
          <w:highlight w:val="none"/>
        </w:rPr>
      </w:pPr>
    </w:p>
    <w:p>
      <w:pPr>
        <w:rPr>
          <w:rFonts w:hint="eastAsia" w:ascii="宋体" w:hAnsi="宋体" w:eastAsia="宋体" w:cs="宋体"/>
          <w:b/>
          <w:color w:val="auto"/>
          <w:highlight w:val="none"/>
        </w:rPr>
      </w:pPr>
      <w:r>
        <w:rPr>
          <w:rFonts w:hint="eastAsia" w:ascii="宋体" w:hAnsi="宋体" w:eastAsia="宋体" w:cs="宋体"/>
          <w:b/>
          <w:color w:val="auto"/>
          <w:highlight w:val="none"/>
        </w:rPr>
        <w:br w:type="page"/>
      </w:r>
    </w:p>
    <w:bookmarkEnd w:id="44"/>
    <w:p>
      <w:pPr>
        <w:rPr>
          <w:rFonts w:hint="eastAsia" w:ascii="宋体" w:hAnsi="宋体" w:eastAsia="宋体" w:cs="宋体"/>
          <w:color w:val="auto"/>
          <w:highlight w:val="none"/>
        </w:rPr>
      </w:pPr>
      <w:bookmarkStart w:id="46" w:name="_Toc1482"/>
      <w:bookmarkStart w:id="47" w:name="_Toc1947"/>
      <w:bookmarkStart w:id="48" w:name="_Toc256519703"/>
      <w:bookmarkStart w:id="49" w:name="_Toc326786897"/>
    </w:p>
    <w:p>
      <w:pPr>
        <w:pStyle w:val="3"/>
        <w:snapToGrid w:val="0"/>
        <w:spacing w:before="0" w:after="0" w:line="480" w:lineRule="auto"/>
        <w:jc w:val="center"/>
        <w:rPr>
          <w:rFonts w:hint="eastAsia" w:ascii="宋体" w:hAnsi="宋体" w:eastAsia="宋体" w:cs="宋体"/>
          <w:color w:val="auto"/>
          <w:sz w:val="28"/>
          <w:szCs w:val="28"/>
          <w:highlight w:val="yellow"/>
        </w:rPr>
      </w:pPr>
      <w:bookmarkStart w:id="50" w:name="_Toc28988"/>
      <w:r>
        <w:rPr>
          <w:rFonts w:hint="eastAsia" w:ascii="宋体" w:hAnsi="宋体" w:eastAsia="宋体" w:cs="宋体"/>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以实际合同为准</w:t>
      </w:r>
      <w:r>
        <w:rPr>
          <w:rFonts w:hint="eastAsia" w:ascii="宋体" w:hAnsi="宋体" w:eastAsia="宋体" w:cs="宋体"/>
          <w:sz w:val="22"/>
          <w:szCs w:val="22"/>
          <w:lang w:eastAsia="zh-CN"/>
        </w:rPr>
        <w:t>）</w:t>
      </w:r>
    </w:p>
    <w:p>
      <w:pPr>
        <w:rPr>
          <w:rFonts w:hint="eastAsia" w:ascii="宋体" w:hAnsi="宋体" w:eastAsia="宋体" w:cs="宋体"/>
          <w:color w:val="auto"/>
          <w:sz w:val="32"/>
          <w:szCs w:val="32"/>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0"/>
        <w:rPr>
          <w:rFonts w:hint="eastAsia" w:ascii="宋体" w:hAnsi="宋体" w:eastAsia="宋体" w:cs="宋体"/>
        </w:rPr>
      </w:pPr>
    </w:p>
    <w:p>
      <w:pPr>
        <w:pStyle w:val="3"/>
        <w:jc w:val="center"/>
        <w:rPr>
          <w:rFonts w:hint="eastAsia" w:ascii="宋体" w:hAnsi="宋体" w:eastAsia="宋体" w:cs="宋体"/>
          <w:color w:val="auto"/>
          <w:kern w:val="0"/>
          <w:highlight w:val="none"/>
        </w:rPr>
      </w:pPr>
      <w:bookmarkStart w:id="51" w:name="_Toc2638"/>
      <w:r>
        <w:rPr>
          <w:rFonts w:hint="eastAsia" w:ascii="宋体" w:hAnsi="宋体" w:eastAsia="宋体" w:cs="宋体"/>
          <w:color w:val="auto"/>
          <w:sz w:val="32"/>
          <w:szCs w:val="32"/>
          <w:highlight w:val="none"/>
        </w:rPr>
        <w:t xml:space="preserve">第六章  </w:t>
      </w:r>
      <w:r>
        <w:rPr>
          <w:rFonts w:hint="eastAsia" w:ascii="宋体" w:hAnsi="宋体" w:eastAsia="宋体" w:cs="宋体"/>
          <w:color w:val="auto"/>
          <w:sz w:val="32"/>
          <w:szCs w:val="32"/>
          <w:highlight w:val="none"/>
          <w:lang w:eastAsia="zh-CN"/>
        </w:rPr>
        <w:t>响应性文件</w:t>
      </w:r>
      <w:r>
        <w:rPr>
          <w:rFonts w:hint="eastAsia" w:ascii="宋体" w:hAnsi="宋体" w:eastAsia="宋体" w:cs="宋体"/>
          <w:color w:val="auto"/>
          <w:sz w:val="32"/>
          <w:szCs w:val="32"/>
          <w:highlight w:val="none"/>
        </w:rPr>
        <w:t>格式</w:t>
      </w:r>
      <w:bookmarkEnd w:id="46"/>
      <w:bookmarkEnd w:id="47"/>
      <w:bookmarkEnd w:id="51"/>
    </w:p>
    <w:p>
      <w:pPr>
        <w:spacing w:line="440" w:lineRule="exact"/>
        <w:rPr>
          <w:rFonts w:hint="eastAsia" w:ascii="宋体" w:hAnsi="宋体" w:eastAsia="宋体" w:cs="宋体"/>
          <w:color w:val="auto"/>
          <w:sz w:val="24"/>
          <w:highlight w:val="none"/>
        </w:rPr>
      </w:pPr>
    </w:p>
    <w:p>
      <w:pPr>
        <w:jc w:val="center"/>
        <w:rPr>
          <w:rFonts w:hint="eastAsia" w:ascii="宋体" w:hAnsi="宋体" w:eastAsia="宋体" w:cs="宋体"/>
          <w:b/>
          <w:bCs/>
          <w:color w:val="auto"/>
          <w:sz w:val="32"/>
          <w:szCs w:val="32"/>
          <w:highlight w:val="none"/>
        </w:rPr>
      </w:pPr>
      <w:bookmarkStart w:id="52" w:name="_Toc13604"/>
      <w:r>
        <w:rPr>
          <w:rFonts w:hint="eastAsia" w:ascii="宋体" w:hAnsi="宋体" w:eastAsia="宋体" w:cs="宋体"/>
          <w:b/>
          <w:bCs/>
          <w:color w:val="auto"/>
          <w:sz w:val="32"/>
          <w:szCs w:val="32"/>
          <w:highlight w:val="none"/>
        </w:rPr>
        <w:t>目    录</w:t>
      </w:r>
      <w:bookmarkEnd w:id="52"/>
    </w:p>
    <w:p>
      <w:pPr>
        <w:widowControl/>
        <w:wordWrap w:val="0"/>
        <w:spacing w:line="460" w:lineRule="exact"/>
        <w:ind w:firstLine="480" w:firstLineChars="200"/>
        <w:jc w:val="left"/>
        <w:rPr>
          <w:rFonts w:hint="eastAsia" w:ascii="宋体" w:hAnsi="宋体" w:eastAsia="宋体" w:cs="宋体"/>
          <w:color w:val="auto"/>
          <w:kern w:val="0"/>
          <w:sz w:val="24"/>
          <w:highlight w:val="none"/>
        </w:rPr>
      </w:pPr>
    </w:p>
    <w:p>
      <w:pPr>
        <w:snapToGrid w:val="0"/>
        <w:spacing w:line="360" w:lineRule="auto"/>
        <w:ind w:firstLine="480" w:firstLineChars="200"/>
        <w:rPr>
          <w:rFonts w:hint="eastAsia" w:ascii="宋体" w:hAnsi="宋体" w:eastAsia="宋体" w:cs="宋体"/>
          <w:color w:val="auto"/>
          <w:sz w:val="24"/>
          <w:highlight w:val="none"/>
        </w:rPr>
      </w:pPr>
      <w:bookmarkStart w:id="53" w:name="_Toc11308"/>
      <w:r>
        <w:rPr>
          <w:rFonts w:hint="eastAsia" w:ascii="宋体" w:hAnsi="宋体" w:eastAsia="宋体" w:cs="宋体"/>
          <w:color w:val="auto"/>
          <w:sz w:val="24"/>
          <w:highlight w:val="none"/>
        </w:rPr>
        <w:t>附件1</w:t>
      </w:r>
      <w:r>
        <w:rPr>
          <w:rFonts w:hint="eastAsia" w:ascii="宋体" w:hAnsi="宋体" w:eastAsia="宋体" w:cs="宋体"/>
          <w:color w:val="auto"/>
          <w:sz w:val="24"/>
          <w:highlight w:val="none"/>
          <w:lang w:eastAsia="zh-CN"/>
        </w:rPr>
        <w:t>响应性文件</w:t>
      </w:r>
      <w:r>
        <w:rPr>
          <w:rFonts w:hint="eastAsia" w:ascii="宋体" w:hAnsi="宋体" w:eastAsia="宋体" w:cs="宋体"/>
          <w:color w:val="auto"/>
          <w:sz w:val="24"/>
          <w:highlight w:val="none"/>
        </w:rPr>
        <w:t>封面（格式）</w:t>
      </w:r>
      <w:bookmarkEnd w:id="53"/>
    </w:p>
    <w:p>
      <w:pPr>
        <w:snapToGrid w:val="0"/>
        <w:spacing w:line="360" w:lineRule="auto"/>
        <w:ind w:firstLine="480" w:firstLineChars="200"/>
        <w:rPr>
          <w:rFonts w:hint="eastAsia" w:ascii="宋体" w:hAnsi="宋体" w:eastAsia="宋体" w:cs="宋体"/>
          <w:color w:val="auto"/>
          <w:sz w:val="24"/>
          <w:highlight w:val="none"/>
        </w:rPr>
      </w:pPr>
      <w:bookmarkStart w:id="54" w:name="_Toc25345"/>
      <w:r>
        <w:rPr>
          <w:rFonts w:hint="eastAsia" w:ascii="宋体" w:hAnsi="宋体" w:eastAsia="宋体" w:cs="宋体"/>
          <w:color w:val="auto"/>
          <w:sz w:val="24"/>
          <w:highlight w:val="none"/>
        </w:rPr>
        <w:t>附件2 投标书（格式）</w:t>
      </w:r>
      <w:bookmarkEnd w:id="54"/>
    </w:p>
    <w:p>
      <w:pPr>
        <w:snapToGrid w:val="0"/>
        <w:spacing w:line="360" w:lineRule="auto"/>
        <w:ind w:firstLine="480" w:firstLineChars="200"/>
        <w:rPr>
          <w:rFonts w:hint="eastAsia" w:ascii="宋体" w:hAnsi="宋体" w:eastAsia="宋体" w:cs="宋体"/>
          <w:color w:val="auto"/>
          <w:sz w:val="24"/>
          <w:highlight w:val="none"/>
        </w:rPr>
      </w:pPr>
      <w:bookmarkStart w:id="55" w:name="_Toc10217"/>
      <w:r>
        <w:rPr>
          <w:rFonts w:hint="eastAsia" w:ascii="宋体" w:hAnsi="宋体" w:eastAsia="宋体" w:cs="宋体"/>
          <w:color w:val="auto"/>
          <w:sz w:val="24"/>
          <w:highlight w:val="none"/>
        </w:rPr>
        <w:t>附件3 开标一览表（格式）</w:t>
      </w:r>
      <w:bookmarkEnd w:id="55"/>
    </w:p>
    <w:p>
      <w:pPr>
        <w:snapToGrid w:val="0"/>
        <w:spacing w:line="360" w:lineRule="auto"/>
        <w:ind w:firstLine="480" w:firstLineChars="200"/>
        <w:rPr>
          <w:rFonts w:hint="eastAsia" w:ascii="宋体" w:hAnsi="宋体" w:eastAsia="宋体" w:cs="宋体"/>
          <w:color w:val="auto"/>
          <w:sz w:val="24"/>
          <w:highlight w:val="none"/>
        </w:rPr>
      </w:pPr>
      <w:bookmarkStart w:id="56" w:name="_Toc9579"/>
      <w:r>
        <w:rPr>
          <w:rFonts w:hint="eastAsia" w:ascii="宋体" w:hAnsi="宋体" w:eastAsia="宋体" w:cs="宋体"/>
          <w:color w:val="auto"/>
          <w:sz w:val="24"/>
          <w:highlight w:val="none"/>
        </w:rPr>
        <w:t>附件4 报价明细表（格式）</w:t>
      </w:r>
      <w:bookmarkEnd w:id="56"/>
    </w:p>
    <w:p>
      <w:pPr>
        <w:snapToGrid w:val="0"/>
        <w:spacing w:line="360" w:lineRule="auto"/>
        <w:ind w:firstLine="480" w:firstLineChars="200"/>
        <w:rPr>
          <w:rFonts w:hint="eastAsia" w:ascii="宋体" w:hAnsi="宋体" w:eastAsia="宋体" w:cs="宋体"/>
          <w:color w:val="auto"/>
          <w:sz w:val="24"/>
          <w:highlight w:val="none"/>
        </w:rPr>
      </w:pPr>
      <w:bookmarkStart w:id="57" w:name="_Toc28392"/>
      <w:bookmarkStart w:id="58" w:name="_Toc26231"/>
      <w:r>
        <w:rPr>
          <w:rFonts w:hint="eastAsia" w:ascii="宋体" w:hAnsi="宋体" w:eastAsia="宋体" w:cs="宋体"/>
          <w:color w:val="auto"/>
          <w:sz w:val="24"/>
          <w:highlight w:val="none"/>
        </w:rPr>
        <w:t>附件5</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技术响应</w:t>
      </w:r>
      <w:r>
        <w:rPr>
          <w:rFonts w:hint="eastAsia" w:ascii="宋体" w:hAnsi="宋体" w:eastAsia="宋体" w:cs="宋体"/>
          <w:color w:val="auto"/>
          <w:sz w:val="24"/>
          <w:highlight w:val="none"/>
          <w:lang w:val="en-US" w:eastAsia="zh-CN"/>
        </w:rPr>
        <w:t>部分</w:t>
      </w:r>
      <w:bookmarkEnd w:id="57"/>
    </w:p>
    <w:p>
      <w:pPr>
        <w:snapToGrid w:val="0"/>
        <w:spacing w:line="360" w:lineRule="auto"/>
        <w:ind w:firstLine="480" w:firstLineChars="200"/>
        <w:rPr>
          <w:rFonts w:hint="eastAsia" w:ascii="宋体" w:hAnsi="宋体" w:eastAsia="宋体" w:cs="宋体"/>
          <w:color w:val="auto"/>
          <w:sz w:val="24"/>
          <w:highlight w:val="none"/>
          <w:lang w:val="en-US" w:eastAsia="zh-CN"/>
        </w:rPr>
      </w:pPr>
      <w:bookmarkStart w:id="59" w:name="_Toc6234"/>
      <w:r>
        <w:rPr>
          <w:rFonts w:hint="eastAsia" w:ascii="宋体" w:hAnsi="宋体" w:eastAsia="宋体" w:cs="宋体"/>
          <w:color w:val="auto"/>
          <w:sz w:val="24"/>
          <w:highlight w:val="none"/>
        </w:rPr>
        <w:t xml:space="preserve">附件6 </w:t>
      </w:r>
      <w:bookmarkEnd w:id="59"/>
      <w:r>
        <w:rPr>
          <w:rFonts w:hint="eastAsia" w:ascii="宋体" w:hAnsi="宋体" w:eastAsia="宋体" w:cs="宋体"/>
          <w:color w:val="auto"/>
          <w:sz w:val="24"/>
          <w:highlight w:val="none"/>
        </w:rPr>
        <w:t>商务响应</w:t>
      </w:r>
      <w:r>
        <w:rPr>
          <w:rFonts w:hint="eastAsia" w:ascii="宋体" w:hAnsi="宋体" w:eastAsia="宋体" w:cs="宋体"/>
          <w:color w:val="auto"/>
          <w:sz w:val="24"/>
          <w:highlight w:val="none"/>
          <w:lang w:val="en-US" w:eastAsia="zh-CN"/>
        </w:rPr>
        <w:t>部分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附件7</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法定代表人身份证明（格式）</w:t>
      </w:r>
      <w:bookmarkEnd w:id="58"/>
    </w:p>
    <w:p>
      <w:pPr>
        <w:snapToGrid w:val="0"/>
        <w:spacing w:line="360" w:lineRule="auto"/>
        <w:ind w:firstLine="480" w:firstLineChars="200"/>
        <w:rPr>
          <w:rFonts w:hint="eastAsia" w:ascii="宋体" w:hAnsi="宋体" w:eastAsia="宋体" w:cs="宋体"/>
          <w:color w:val="auto"/>
          <w:sz w:val="24"/>
          <w:highlight w:val="none"/>
        </w:rPr>
      </w:pPr>
      <w:bookmarkStart w:id="60" w:name="_Toc18484"/>
      <w:r>
        <w:rPr>
          <w:rFonts w:hint="eastAsia" w:ascii="宋体" w:hAnsi="宋体" w:eastAsia="宋体" w:cs="宋体"/>
          <w:color w:val="auto"/>
          <w:sz w:val="24"/>
          <w:highlight w:val="none"/>
        </w:rPr>
        <w:t>附件8</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法定代表人授权书（格式）</w:t>
      </w:r>
      <w:bookmarkEnd w:id="60"/>
    </w:p>
    <w:p>
      <w:pPr>
        <w:snapToGrid w:val="0"/>
        <w:spacing w:line="360" w:lineRule="auto"/>
        <w:ind w:firstLine="480" w:firstLineChars="200"/>
        <w:rPr>
          <w:rFonts w:hint="eastAsia" w:ascii="宋体" w:hAnsi="宋体" w:eastAsia="宋体" w:cs="宋体"/>
          <w:color w:val="auto"/>
          <w:sz w:val="24"/>
          <w:highlight w:val="none"/>
        </w:rPr>
      </w:pPr>
      <w:bookmarkStart w:id="61" w:name="_Toc31857"/>
      <w:r>
        <w:rPr>
          <w:rFonts w:hint="eastAsia" w:ascii="宋体" w:hAnsi="宋体" w:eastAsia="宋体" w:cs="宋体"/>
          <w:color w:val="auto"/>
          <w:sz w:val="24"/>
          <w:highlight w:val="none"/>
        </w:rPr>
        <w:t>附件9 证明文件</w:t>
      </w:r>
      <w:bookmarkEnd w:id="61"/>
    </w:p>
    <w:p>
      <w:pPr>
        <w:snapToGrid w:val="0"/>
        <w:spacing w:line="360" w:lineRule="auto"/>
        <w:ind w:firstLine="480" w:firstLineChars="200"/>
        <w:rPr>
          <w:rFonts w:hint="eastAsia" w:ascii="宋体" w:hAnsi="宋体" w:eastAsia="宋体" w:cs="宋体"/>
          <w:color w:val="auto"/>
          <w:sz w:val="24"/>
          <w:highlight w:val="none"/>
        </w:rPr>
      </w:pPr>
      <w:bookmarkStart w:id="62" w:name="_Toc23116"/>
      <w:r>
        <w:rPr>
          <w:rFonts w:hint="eastAsia" w:ascii="宋体" w:hAnsi="宋体" w:eastAsia="宋体" w:cs="宋体"/>
          <w:color w:val="auto"/>
          <w:sz w:val="24"/>
          <w:highlight w:val="none"/>
        </w:rPr>
        <w:t>附件10 供应商承诺书（格式）</w:t>
      </w:r>
      <w:bookmarkEnd w:id="62"/>
    </w:p>
    <w:p>
      <w:pPr>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附件11 供应商信用承诺函（格式）</w:t>
      </w:r>
    </w:p>
    <w:p>
      <w:pPr>
        <w:pStyle w:val="30"/>
        <w:rPr>
          <w:rFonts w:hint="eastAsia" w:ascii="宋体" w:hAnsi="宋体" w:eastAsia="宋体" w:cs="宋体"/>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pStyle w:val="11"/>
        <w:rPr>
          <w:rFonts w:hint="eastAsia" w:ascii="宋体" w:hAnsi="宋体" w:eastAsia="宋体" w:cs="宋体"/>
          <w:b/>
          <w:bCs/>
          <w:color w:val="auto"/>
          <w:kern w:val="0"/>
          <w:sz w:val="24"/>
          <w:highlight w:val="none"/>
        </w:rPr>
      </w:pPr>
    </w:p>
    <w:p>
      <w:pPr>
        <w:pStyle w:val="48"/>
        <w:rPr>
          <w:rFonts w:hint="eastAsia" w:ascii="宋体" w:hAnsi="宋体" w:eastAsia="宋体" w:cs="宋体"/>
          <w:b/>
          <w:bCs/>
          <w:color w:val="auto"/>
          <w:highlight w:val="none"/>
        </w:rPr>
      </w:pPr>
    </w:p>
    <w:p>
      <w:pPr>
        <w:pStyle w:val="48"/>
        <w:rPr>
          <w:rFonts w:hint="eastAsia" w:ascii="宋体" w:hAnsi="宋体" w:eastAsia="宋体" w:cs="宋体"/>
          <w:b/>
          <w:bCs/>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5"/>
        <w:rPr>
          <w:rFonts w:hint="eastAsia" w:ascii="宋体" w:hAnsi="宋体" w:eastAsia="宋体" w:cs="宋体"/>
          <w:color w:val="auto"/>
          <w:highlight w:val="none"/>
        </w:rPr>
      </w:pPr>
    </w:p>
    <w:p>
      <w:pPr>
        <w:pStyle w:val="2"/>
        <w:rPr>
          <w:rFonts w:hint="eastAsia" w:ascii="宋体" w:hAnsi="宋体" w:eastAsia="宋体" w:cs="宋体"/>
          <w:color w:val="auto"/>
          <w:highlight w:val="none"/>
        </w:rPr>
      </w:pPr>
      <w:bookmarkStart w:id="63" w:name="_Toc31798"/>
      <w:bookmarkStart w:id="64" w:name="_Toc24743"/>
      <w:r>
        <w:rPr>
          <w:rFonts w:hint="eastAsia" w:ascii="宋体" w:hAnsi="宋体" w:eastAsia="宋体" w:cs="宋体"/>
          <w:color w:val="auto"/>
          <w:highlight w:val="none"/>
        </w:rPr>
        <w:t xml:space="preserve">附件1               </w:t>
      </w:r>
      <w:r>
        <w:rPr>
          <w:rFonts w:hint="eastAsia" w:ascii="宋体" w:hAnsi="宋体" w:eastAsia="宋体" w:cs="宋体"/>
          <w:color w:val="auto"/>
          <w:highlight w:val="none"/>
          <w:lang w:eastAsia="zh-CN"/>
        </w:rPr>
        <w:t>响应性文件</w:t>
      </w:r>
      <w:r>
        <w:rPr>
          <w:rFonts w:hint="eastAsia" w:ascii="宋体" w:hAnsi="宋体" w:eastAsia="宋体" w:cs="宋体"/>
          <w:color w:val="auto"/>
          <w:highlight w:val="none"/>
        </w:rPr>
        <w:t>封面（格式）</w:t>
      </w:r>
      <w:bookmarkEnd w:id="63"/>
      <w:bookmarkEnd w:id="64"/>
    </w:p>
    <w:p>
      <w:pPr>
        <w:widowControl/>
        <w:wordWrap w:val="0"/>
        <w:spacing w:line="460" w:lineRule="exact"/>
        <w:ind w:firstLine="482" w:firstLineChars="200"/>
        <w:jc w:val="center"/>
        <w:rPr>
          <w:rFonts w:hint="eastAsia" w:ascii="宋体" w:hAnsi="宋体" w:eastAsia="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lang w:eastAsia="zh-CN"/>
        </w:rPr>
      </w:pPr>
      <w:r>
        <w:rPr>
          <w:rFonts w:hint="eastAsia" w:ascii="宋体" w:hAnsi="宋体" w:eastAsia="宋体" w:cs="宋体"/>
          <w:b/>
          <w:color w:val="auto"/>
          <w:spacing w:val="90"/>
          <w:sz w:val="52"/>
          <w:szCs w:val="52"/>
          <w:highlight w:val="none"/>
          <w:lang w:eastAsia="zh-CN"/>
        </w:rPr>
        <w:t>响应性文件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hint="eastAsia" w:ascii="宋体" w:hAnsi="宋体" w:eastAsia="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hint="eastAsia" w:ascii="宋体" w:hAnsi="宋体" w:eastAsia="宋体" w:cs="宋体"/>
          <w:b/>
          <w:color w:val="auto"/>
          <w:kern w:val="0"/>
          <w:sz w:val="24"/>
          <w:highlight w:val="none"/>
        </w:rPr>
      </w:pPr>
    </w:p>
    <w:p>
      <w:pPr>
        <w:pStyle w:val="11"/>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bookmarkStart w:id="65" w:name="_Toc8818"/>
      <w:bookmarkStart w:id="66" w:name="_Toc14560"/>
      <w:r>
        <w:rPr>
          <w:rFonts w:hint="eastAsia" w:ascii="宋体" w:hAnsi="宋体" w:eastAsia="宋体" w:cs="宋体"/>
          <w:color w:val="auto"/>
          <w:highlight w:val="none"/>
        </w:rPr>
        <w:t>附件2               投  标  书（格式）</w:t>
      </w:r>
      <w:bookmarkEnd w:id="65"/>
      <w:bookmarkEnd w:id="66"/>
    </w:p>
    <w:p>
      <w:pPr>
        <w:widowControl/>
        <w:wordWrap w:val="0"/>
        <w:snapToGrid w:val="0"/>
        <w:spacing w:line="4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采购人</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w:t>
      </w:r>
    </w:p>
    <w:p>
      <w:pPr>
        <w:widowControl/>
        <w:wordWrap w:val="0"/>
        <w:spacing w:line="460" w:lineRule="exact"/>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lang w:eastAsia="zh-CN"/>
        </w:rPr>
        <w:t>供应商</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 xml:space="preserve">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（姓名）为我方代理人，参加贵方组织的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项目的投标。现正式提交下述文件1份：</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1、开标一览表。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2、报价明细表。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4、技术响应。</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4、商务响应。</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5、证明文件。</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6、抵制商业贿赂承诺。为便于贵方公正、择优地确定</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供应商及其投标产品和服务，我方就本次投标有关事项郑重声明并宣布同意如下：</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1、我方承诺已经具备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文件中规定的参加政府采购活动的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应当具备的条件。我方愿意向贵方提供任何与本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3、我方同意在</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有效期内遵守本</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中的承诺且在此期限期满之前均具有约束力。如果我方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有效期与合同履行期相同。</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4、我方已详细审查全部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文件，包括修改文件（如有的话）和有关附件，将自行承担因对全部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5、我方保证尊重</w:t>
      </w:r>
      <w:r>
        <w:rPr>
          <w:rFonts w:hint="eastAsia" w:ascii="宋体" w:hAnsi="宋体" w:eastAsia="宋体" w:cs="宋体"/>
          <w:color w:val="auto"/>
          <w:kern w:val="0"/>
          <w:szCs w:val="21"/>
          <w:highlight w:val="none"/>
          <w:lang w:eastAsia="zh-CN"/>
        </w:rPr>
        <w:t>评标委员会</w:t>
      </w:r>
      <w:r>
        <w:rPr>
          <w:rFonts w:hint="eastAsia" w:ascii="宋体" w:hAnsi="宋体" w:eastAsia="宋体" w:cs="宋体"/>
          <w:color w:val="auto"/>
          <w:kern w:val="0"/>
          <w:szCs w:val="21"/>
          <w:highlight w:val="none"/>
        </w:rPr>
        <w:t>的评标结果，完全理解本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项目最低投标价不作为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的保证。</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6、我方理解并遵守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文件的全部规定，接受</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7、如果我方代表</w:t>
      </w:r>
      <w:r>
        <w:rPr>
          <w:rFonts w:hint="eastAsia" w:ascii="宋体" w:hAnsi="宋体" w:eastAsia="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8、如果我方存在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.5项所述情况，同意</w:t>
      </w:r>
      <w:r>
        <w:rPr>
          <w:rFonts w:hint="eastAsia" w:ascii="宋体" w:hAnsi="宋体" w:eastAsia="宋体" w:cs="宋体"/>
          <w:color w:val="auto"/>
          <w:kern w:val="0"/>
          <w:szCs w:val="21"/>
          <w:highlight w:val="none"/>
          <w:lang w:eastAsia="zh-CN"/>
        </w:rPr>
        <w:t>评标委员会</w:t>
      </w:r>
      <w:r>
        <w:rPr>
          <w:rFonts w:hint="eastAsia" w:ascii="宋体" w:hAnsi="宋体" w:eastAsia="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11、如果现场变更采购方式，我方同意在不改变</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通知书并缴纳服务费。否则，视为我方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资格，承担由此引起的一切后果。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供应商，我方同意在领取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通知书之日起日内，按照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文件的规定与采购人签订采购合同。否则，视为我方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后无正当理由不与采购人签订合同并承担相应法律责任。</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14、我方最近3年内的被公开披露或查处的违法违规行为有：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地址：  邮编：</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电话：  传真：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wordWrap w:val="0"/>
        <w:spacing w:line="460" w:lineRule="exact"/>
        <w:ind w:firstLine="735" w:firstLineChars="3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w:t>
      </w:r>
      <w:r>
        <w:rPr>
          <w:rFonts w:hint="eastAsia" w:ascii="宋体" w:hAnsi="宋体" w:eastAsia="宋体" w:cs="宋体"/>
          <w:color w:val="auto"/>
          <w:kern w:val="0"/>
          <w:szCs w:val="21"/>
          <w:highlight w:val="none"/>
          <w:lang w:val="en-US" w:eastAsia="zh-CN"/>
        </w:rPr>
        <w:t>签字或</w:t>
      </w:r>
      <w:r>
        <w:rPr>
          <w:rFonts w:hint="eastAsia" w:ascii="宋体" w:hAnsi="宋体" w:eastAsia="宋体" w:cs="宋体"/>
          <w:color w:val="auto"/>
          <w:kern w:val="0"/>
          <w:szCs w:val="21"/>
          <w:highlight w:val="none"/>
          <w:lang w:eastAsia="zh-CN"/>
        </w:rPr>
        <w:t>盖章</w:t>
      </w:r>
      <w:r>
        <w:rPr>
          <w:rFonts w:hint="eastAsia" w:ascii="宋体" w:hAnsi="宋体" w:eastAsia="宋体" w:cs="宋体"/>
          <w:color w:val="auto"/>
          <w:kern w:val="0"/>
          <w:szCs w:val="21"/>
          <w:highlight w:val="none"/>
        </w:rPr>
        <w:t xml:space="preserve">：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：（全称并加盖公章）</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snapToGrid w:val="0"/>
        <w:spacing w:line="460" w:lineRule="exact"/>
        <w:ind w:firstLine="3360" w:firstLineChars="1600"/>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年    月   日 </w:t>
      </w: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spacing w:line="500" w:lineRule="exact"/>
        <w:jc w:val="center"/>
        <w:rPr>
          <w:rFonts w:hint="eastAsia" w:ascii="宋体" w:hAnsi="宋体" w:eastAsia="宋体" w:cs="宋体"/>
          <w:b/>
          <w:bCs/>
          <w:color w:val="auto"/>
          <w:sz w:val="24"/>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rPr>
          <w:rFonts w:hint="eastAsia" w:ascii="宋体" w:hAnsi="宋体" w:eastAsia="宋体" w:cs="宋体"/>
          <w:color w:val="auto"/>
          <w:highlight w:val="none"/>
        </w:rPr>
      </w:pPr>
    </w:p>
    <w:p>
      <w:pPr>
        <w:pStyle w:val="2"/>
        <w:spacing w:before="20" w:after="20"/>
        <w:rPr>
          <w:rFonts w:hint="eastAsia" w:ascii="宋体" w:hAnsi="宋体" w:eastAsia="宋体" w:cs="宋体"/>
          <w:color w:val="auto"/>
          <w:highlight w:val="none"/>
        </w:rPr>
      </w:pPr>
      <w:bookmarkStart w:id="67" w:name="_Toc7838"/>
      <w:r>
        <w:rPr>
          <w:rFonts w:hint="eastAsia" w:ascii="宋体" w:hAnsi="宋体" w:eastAsia="宋体" w:cs="宋体"/>
          <w:color w:val="auto"/>
          <w:highlight w:val="none"/>
        </w:rPr>
        <w:t>附件3               开标一览表</w:t>
      </w:r>
      <w:bookmarkEnd w:id="67"/>
    </w:p>
    <w:p>
      <w:pPr>
        <w:spacing w:line="239" w:lineRule="auto"/>
        <w:jc w:val="right"/>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单位：人民币</w:t>
      </w:r>
      <w:r>
        <w:rPr>
          <w:rFonts w:hint="eastAsia" w:ascii="宋体" w:hAnsi="宋体" w:eastAsia="宋体" w:cs="宋体"/>
          <w:sz w:val="24"/>
          <w:lang w:val="en-US" w:eastAsia="zh-CN"/>
        </w:rPr>
        <w:t>元</w:t>
      </w:r>
    </w:p>
    <w:p>
      <w:pPr>
        <w:rPr>
          <w:rFonts w:hint="eastAsia" w:ascii="宋体" w:hAnsi="宋体" w:eastAsia="宋体" w:cs="宋体"/>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项目名称</w:t>
            </w:r>
          </w:p>
        </w:tc>
        <w:tc>
          <w:tcPr>
            <w:tcW w:w="7708" w:type="dxa"/>
            <w:noWrap/>
            <w:vAlign w:val="center"/>
          </w:tcPr>
          <w:p>
            <w:pP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c>
          <w:tcPr>
            <w:tcW w:w="7708" w:type="dxa"/>
            <w:noWrap/>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rPr>
              <w:t>投标报价</w:t>
            </w:r>
          </w:p>
        </w:tc>
        <w:tc>
          <w:tcPr>
            <w:tcW w:w="7708" w:type="dxa"/>
            <w:noWrap/>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大写：        </w:t>
            </w:r>
          </w:p>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小写：        </w:t>
            </w:r>
            <w:r>
              <w:rPr>
                <w:rFonts w:hint="eastAsia" w:ascii="宋体" w:hAnsi="宋体" w:eastAsia="宋体" w:cs="宋体"/>
                <w:sz w:val="24"/>
                <w:lang w:val="en-US" w:eastAsia="zh-CN"/>
              </w:rPr>
              <w:t>元</w:t>
            </w:r>
            <w:r>
              <w:rPr>
                <w:rFonts w:hint="eastAsia" w:ascii="宋体" w:hAnsi="宋体" w:eastAsia="宋体" w:cs="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合同履行期限</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服务</w:t>
            </w:r>
            <w:r>
              <w:rPr>
                <w:rFonts w:hint="eastAsia" w:ascii="宋体" w:hAnsi="宋体" w:eastAsia="宋体" w:cs="宋体"/>
                <w:color w:val="auto"/>
                <w:kern w:val="0"/>
                <w:szCs w:val="21"/>
                <w:highlight w:val="none"/>
              </w:rPr>
              <w:t>地点</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c>
          <w:tcPr>
            <w:tcW w:w="7708" w:type="dxa"/>
            <w:noWrap/>
            <w:vAlign w:val="center"/>
          </w:tcPr>
          <w:p>
            <w:pPr>
              <w:pStyle w:val="18"/>
              <w:ind w:left="0" w:leftChars="0"/>
              <w:rPr>
                <w:rFonts w:hint="eastAsia" w:ascii="宋体" w:hAnsi="宋体" w:eastAsia="宋体" w:cs="宋体"/>
                <w:color w:val="auto"/>
                <w:sz w:val="21"/>
                <w:szCs w:val="21"/>
                <w:highlight w:val="none"/>
              </w:rPr>
            </w:pPr>
          </w:p>
        </w:tc>
      </w:tr>
    </w:tbl>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 1、报价一经涂改，应在涂改处加盖单位公章或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代表签字或盖章，否则其投标作无效标处理。</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2、以上报价应与“报价明细表”中的报价相一致。</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按格式填列，不得自行更改。否则引起的不利后果由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承担。</w:t>
      </w:r>
    </w:p>
    <w:p>
      <w:pPr>
        <w:spacing w:line="360" w:lineRule="auto"/>
        <w:ind w:firstLine="420" w:firstLineChars="200"/>
        <w:jc w:val="center"/>
        <w:rPr>
          <w:rFonts w:hint="eastAsia" w:ascii="宋体" w:hAnsi="宋体" w:eastAsia="宋体" w:cs="宋体"/>
          <w:color w:val="auto"/>
          <w:szCs w:val="21"/>
          <w:highlight w:val="none"/>
        </w:rPr>
      </w:pPr>
      <w:bookmarkStart w:id="68" w:name="_Toc11620"/>
      <w:bookmarkStart w:id="69" w:name="_Toc20877"/>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（全称并加盖公章）：</w:t>
      </w:r>
      <w:bookmarkEnd w:id="68"/>
      <w:bookmarkEnd w:id="69"/>
    </w:p>
    <w:p>
      <w:pPr>
        <w:spacing w:line="360" w:lineRule="auto"/>
        <w:ind w:firstLine="420" w:firstLineChars="200"/>
        <w:jc w:val="center"/>
        <w:rPr>
          <w:rFonts w:hint="eastAsia" w:ascii="宋体" w:hAnsi="宋体" w:eastAsia="宋体" w:cs="宋体"/>
          <w:color w:val="auto"/>
          <w:szCs w:val="21"/>
          <w:highlight w:val="none"/>
          <w:u w:val="single"/>
        </w:rPr>
      </w:pPr>
      <w:bookmarkStart w:id="70" w:name="_Toc12222"/>
      <w:bookmarkStart w:id="71" w:name="_Toc625"/>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val="en-US" w:eastAsia="zh-CN"/>
        </w:rPr>
        <w:t>签字或</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bookmarkEnd w:id="70"/>
      <w:bookmarkEnd w:id="71"/>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highlight w:val="none"/>
        </w:rPr>
      </w:pPr>
      <w:bookmarkStart w:id="72" w:name="_Toc9950"/>
      <w:bookmarkStart w:id="73" w:name="_Toc1330"/>
      <w:r>
        <w:rPr>
          <w:rFonts w:hint="eastAsia" w:ascii="宋体" w:hAnsi="宋体" w:eastAsia="宋体" w:cs="宋体"/>
          <w:color w:val="auto"/>
          <w:szCs w:val="21"/>
          <w:highlight w:val="none"/>
        </w:rPr>
        <w:t>年  月  日</w:t>
      </w:r>
      <w:bookmarkEnd w:id="72"/>
      <w:bookmarkEnd w:id="73"/>
    </w:p>
    <w:p>
      <w:pPr>
        <w:rPr>
          <w:rFonts w:hint="eastAsia" w:ascii="宋体" w:hAnsi="宋体" w:eastAsia="宋体" w:cs="宋体"/>
          <w:color w:val="auto"/>
          <w:highlight w:val="none"/>
        </w:rPr>
      </w:pPr>
    </w:p>
    <w:bookmarkEnd w:id="48"/>
    <w:bookmarkEnd w:id="49"/>
    <w:p>
      <w:pPr>
        <w:spacing w:before="20" w:after="20"/>
        <w:outlineLvl w:val="9"/>
        <w:rPr>
          <w:rFonts w:hint="eastAsia" w:ascii="宋体" w:hAnsi="宋体" w:eastAsia="宋体" w:cs="宋体"/>
          <w:color w:val="000000" w:themeColor="text1"/>
          <w:highlight w:val="none"/>
          <w:lang w:eastAsia="zh-CN"/>
          <w14:textFill>
            <w14:solidFill>
              <w14:schemeClr w14:val="tx1"/>
            </w14:solidFill>
          </w14:textFill>
        </w:rPr>
      </w:pPr>
      <w:bookmarkStart w:id="74" w:name="_Toc24984"/>
      <w:bookmarkStart w:id="75" w:name="_Toc22004"/>
    </w:p>
    <w:p>
      <w:pPr>
        <w:outlineLvl w:val="9"/>
        <w:rPr>
          <w:rFonts w:hint="eastAsia" w:ascii="宋体" w:hAnsi="宋体" w:eastAsia="宋体" w:cs="宋体"/>
          <w:lang w:eastAsia="zh-CN"/>
        </w:rPr>
      </w:pP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2"/>
        <w:spacing w:before="20" w:after="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附件4               报价明细表</w:t>
      </w:r>
      <w:bookmarkEnd w:id="74"/>
      <w:bookmarkEnd w:id="75"/>
    </w:p>
    <w:p>
      <w:pPr>
        <w:widowControl/>
        <w:wordWrap w:val="0"/>
        <w:snapToGrid w:val="0"/>
        <w:spacing w:before="50" w:after="50"/>
        <w:ind w:left="-3" w:leftChars="-72" w:right="-817" w:rightChars="-389" w:hanging="148" w:hangingChars="62"/>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 xml:space="preserve">                       金额单位：人民币（元）</w:t>
      </w:r>
    </w:p>
    <w:tbl>
      <w:tblPr>
        <w:tblStyle w:val="32"/>
        <w:tblpPr w:leftFromText="180" w:rightFromText="180" w:vertAnchor="text" w:horzAnchor="page" w:tblpX="1380" w:tblpY="359"/>
        <w:tblOverlap w:val="never"/>
        <w:tblW w:w="95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0"/>
        <w:gridCol w:w="2241"/>
        <w:gridCol w:w="1516"/>
        <w:gridCol w:w="1223"/>
        <w:gridCol w:w="1327"/>
        <w:gridCol w:w="1200"/>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06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序号</w:t>
            </w:r>
          </w:p>
        </w:tc>
        <w:tc>
          <w:tcPr>
            <w:tcW w:w="22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22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数量</w:t>
            </w:r>
          </w:p>
        </w:tc>
        <w:tc>
          <w:tcPr>
            <w:tcW w:w="13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单价</w:t>
            </w:r>
          </w:p>
        </w:tc>
        <w:tc>
          <w:tcPr>
            <w:tcW w:w="12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t>总价</w:t>
            </w:r>
          </w:p>
        </w:tc>
        <w:tc>
          <w:tcPr>
            <w:tcW w:w="101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r>
              <w:rPr>
                <w:rFonts w:hint="eastAsia" w:ascii="宋体" w:hAnsi="宋体" w:eastAsia="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367"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eastAsia="宋体" w:cs="宋体"/>
                <w:color w:val="000000" w:themeColor="text1"/>
                <w:spacing w:val="20"/>
                <w:kern w:val="0"/>
                <w:sz w:val="24"/>
                <w:highlight w:val="none"/>
                <w14:textFill>
                  <w14:solidFill>
                    <w14:schemeClr w14:val="tx1"/>
                  </w14:solidFill>
                </w14:textFill>
              </w:rPr>
              <w:t>投标总价(</w:t>
            </w:r>
            <w:r>
              <w:rPr>
                <w:rFonts w:hint="eastAsia" w:ascii="宋体" w:hAnsi="宋体" w:eastAsia="宋体" w:cs="宋体"/>
                <w:color w:val="000000" w:themeColor="text1"/>
                <w:kern w:val="0"/>
                <w:sz w:val="24"/>
                <w:szCs w:val="21"/>
                <w:highlight w:val="none"/>
                <w14:textFill>
                  <w14:solidFill>
                    <w14:schemeClr w14:val="tx1"/>
                  </w14:solidFill>
                </w14:textFill>
              </w:rPr>
              <w:t>大写)：</w:t>
            </w: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w:t>
            </w: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代表</w:t>
      </w:r>
      <w:r>
        <w:rPr>
          <w:rFonts w:hint="eastAsia" w:ascii="宋体" w:hAnsi="宋体" w:eastAsia="宋体" w:cs="宋体"/>
          <w:color w:val="auto"/>
          <w:kern w:val="0"/>
          <w:sz w:val="24"/>
          <w:highlight w:val="none"/>
          <w:lang w:val="en-US" w:eastAsia="zh-CN"/>
        </w:rPr>
        <w:t>签字或</w:t>
      </w:r>
      <w:r>
        <w:rPr>
          <w:rFonts w:hint="eastAsia" w:ascii="宋体" w:hAnsi="宋体" w:eastAsia="宋体" w:cs="宋体"/>
          <w:color w:val="auto"/>
          <w:kern w:val="0"/>
          <w:sz w:val="24"/>
          <w:highlight w:val="none"/>
          <w:lang w:eastAsia="zh-CN"/>
        </w:rPr>
        <w:t>盖章</w:t>
      </w:r>
      <w:r>
        <w:rPr>
          <w:rFonts w:hint="eastAsia" w:ascii="宋体" w:hAnsi="宋体" w:eastAsia="宋体" w:cs="宋体"/>
          <w:color w:val="auto"/>
          <w:kern w:val="0"/>
          <w:sz w:val="24"/>
          <w:highlight w:val="none"/>
        </w:rPr>
        <w:t xml:space="preserve">：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年    月    日</w:t>
      </w:r>
    </w:p>
    <w:p>
      <w:pPr>
        <w:pStyle w:val="2"/>
        <w:rPr>
          <w:rFonts w:hint="eastAsia" w:ascii="宋体" w:hAnsi="宋体" w:eastAsia="宋体" w:cs="宋体"/>
          <w:color w:val="auto"/>
          <w:highlight w:val="none"/>
          <w:lang w:val="en-US" w:eastAsia="zh-CN"/>
        </w:rPr>
      </w:pPr>
      <w:r>
        <w:rPr>
          <w:rFonts w:hint="eastAsia" w:ascii="宋体" w:hAnsi="宋体" w:eastAsia="宋体" w:cs="宋体"/>
          <w:color w:val="auto"/>
          <w:highlight w:val="none"/>
        </w:rPr>
        <w:br w:type="page"/>
      </w:r>
      <w:bookmarkStart w:id="76" w:name="_Toc15804"/>
      <w:bookmarkStart w:id="77" w:name="_Toc226"/>
      <w:r>
        <w:rPr>
          <w:rFonts w:hint="eastAsia" w:ascii="宋体" w:hAnsi="宋体" w:eastAsia="宋体" w:cs="宋体"/>
          <w:color w:val="auto"/>
          <w:highlight w:val="none"/>
        </w:rPr>
        <w:t xml:space="preserve">附件5         </w:t>
      </w:r>
      <w:bookmarkEnd w:id="76"/>
      <w:bookmarkEnd w:id="77"/>
      <w:r>
        <w:rPr>
          <w:rFonts w:hint="eastAsia" w:ascii="宋体" w:hAnsi="宋体" w:eastAsia="宋体" w:cs="宋体"/>
          <w:color w:val="auto"/>
          <w:highlight w:val="none"/>
        </w:rPr>
        <w:t xml:space="preserve">     技术响应</w:t>
      </w:r>
      <w:r>
        <w:rPr>
          <w:rFonts w:hint="eastAsia" w:ascii="宋体" w:hAnsi="宋体" w:eastAsia="宋体" w:cs="宋体"/>
          <w:color w:val="auto"/>
          <w:highlight w:val="none"/>
          <w:lang w:val="en-US" w:eastAsia="zh-CN"/>
        </w:rPr>
        <w:t>部分</w:t>
      </w:r>
    </w:p>
    <w:p>
      <w:pPr>
        <w:widowControl/>
        <w:wordWrap w:val="0"/>
        <w:spacing w:line="460" w:lineRule="exact"/>
        <w:ind w:firstLine="482" w:firstLineChars="200"/>
        <w:jc w:val="left"/>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widowControl/>
        <w:wordWrap w:val="0"/>
        <w:snapToGrid w:val="0"/>
        <w:spacing w:line="460" w:lineRule="exact"/>
        <w:jc w:val="left"/>
        <w:outlineLvl w:val="0"/>
        <w:rPr>
          <w:rFonts w:hint="eastAsia" w:ascii="宋体" w:hAnsi="宋体" w:eastAsia="宋体" w:cs="宋体"/>
          <w:b/>
          <w:color w:val="auto"/>
          <w:sz w:val="28"/>
          <w:highlight w:val="none"/>
          <w:lang w:val="en-US" w:eastAsia="zh-CN"/>
        </w:rPr>
      </w:pPr>
      <w:bookmarkStart w:id="78" w:name="_Toc20420"/>
      <w:bookmarkStart w:id="79" w:name="_Toc29960"/>
      <w:r>
        <w:rPr>
          <w:rFonts w:hint="eastAsia" w:ascii="宋体" w:hAnsi="宋体" w:eastAsia="宋体" w:cs="宋体"/>
          <w:b/>
          <w:color w:val="auto"/>
          <w:sz w:val="28"/>
          <w:highlight w:val="none"/>
        </w:rPr>
        <w:t>附件6               商务响应</w:t>
      </w:r>
      <w:bookmarkEnd w:id="78"/>
      <w:bookmarkEnd w:id="79"/>
      <w:r>
        <w:rPr>
          <w:rFonts w:hint="eastAsia" w:ascii="宋体" w:hAnsi="宋体" w:eastAsia="宋体" w:cs="宋体"/>
          <w:b/>
          <w:color w:val="auto"/>
          <w:sz w:val="28"/>
          <w:highlight w:val="none"/>
          <w:lang w:val="en-US" w:eastAsia="zh-CN"/>
        </w:rPr>
        <w:t>部分</w:t>
      </w:r>
    </w:p>
    <w:p>
      <w:pPr>
        <w:widowControl/>
        <w:wordWrap w:val="0"/>
        <w:spacing w:line="460" w:lineRule="exact"/>
        <w:jc w:val="left"/>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 xml:space="preserve">  </w:t>
      </w:r>
    </w:p>
    <w:p>
      <w:pPr>
        <w:widowControl/>
        <w:wordWrap w:val="0"/>
        <w:spacing w:line="460" w:lineRule="exact"/>
        <w:ind w:firstLine="482" w:firstLineChars="200"/>
        <w:jc w:val="left"/>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24"/>
          <w:szCs w:val="24"/>
          <w:highlight w:val="none"/>
          <w:lang w:val="en-US" w:eastAsia="zh-CN"/>
        </w:rPr>
        <w:t>商务部分相关证明文件</w:t>
      </w:r>
    </w:p>
    <w:p>
      <w:pPr>
        <w:rPr>
          <w:rFonts w:hint="eastAsia" w:ascii="宋体" w:hAnsi="宋体" w:eastAsia="宋体" w:cs="宋体"/>
          <w:b/>
          <w:color w:val="auto"/>
          <w:kern w:val="0"/>
          <w:sz w:val="24"/>
          <w:highlight w:val="none"/>
        </w:rPr>
      </w:pPr>
    </w:p>
    <w:p>
      <w:pPr>
        <w:pStyle w:val="30"/>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rPr>
          <w:rFonts w:hint="eastAsia" w:ascii="宋体" w:hAnsi="宋体" w:eastAsia="宋体" w:cs="宋体"/>
          <w:b/>
          <w:color w:val="auto"/>
          <w:sz w:val="28"/>
          <w:highlight w:val="none"/>
        </w:rPr>
      </w:pPr>
      <w:bookmarkStart w:id="80" w:name="_Toc31526"/>
      <w:bookmarkStart w:id="81" w:name="_Toc28621"/>
      <w:r>
        <w:rPr>
          <w:rFonts w:hint="eastAsia" w:ascii="宋体" w:hAnsi="宋体" w:eastAsia="宋体" w:cs="宋体"/>
          <w:b/>
          <w:color w:val="auto"/>
          <w:sz w:val="28"/>
          <w:highlight w:val="none"/>
        </w:rPr>
        <w:br w:type="page"/>
      </w:r>
    </w:p>
    <w:p>
      <w:pPr>
        <w:widowControl/>
        <w:wordWrap w:val="0"/>
        <w:spacing w:line="460" w:lineRule="exact"/>
        <w:jc w:val="left"/>
        <w:outlineLvl w:val="0"/>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附件7               法定代表人身份证明（格式）</w:t>
      </w:r>
      <w:bookmarkEnd w:id="80"/>
      <w:bookmarkEnd w:id="81"/>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年</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日</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经营期限：</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，性别：</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，年龄：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，职务：</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w:t>
      </w:r>
      <w:r>
        <w:rPr>
          <w:rFonts w:hint="eastAsia" w:ascii="宋体" w:hAnsi="宋体" w:eastAsia="宋体" w:cs="宋体"/>
          <w:color w:val="auto"/>
          <w:kern w:val="0"/>
          <w:sz w:val="24"/>
          <w:szCs w:val="20"/>
          <w:highlight w:val="none"/>
          <w:lang w:eastAsia="zh-CN"/>
        </w:rPr>
        <w:t>供应商</w:t>
      </w:r>
      <w:r>
        <w:rPr>
          <w:rFonts w:hint="eastAsia" w:ascii="宋体" w:hAnsi="宋体" w:eastAsia="宋体" w:cs="宋体"/>
          <w:color w:val="auto"/>
          <w:kern w:val="0"/>
          <w:sz w:val="24"/>
          <w:szCs w:val="20"/>
          <w:highlight w:val="none"/>
        </w:rPr>
        <w:t>名称）的法定代表人。</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特此证明。</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此处请粘贴法定代表人身份证复印件</w:t>
            </w:r>
          </w:p>
          <w:p>
            <w:pPr>
              <w:widowControl/>
              <w:spacing w:line="480" w:lineRule="exact"/>
              <w:jc w:val="left"/>
              <w:rPr>
                <w:rFonts w:hint="eastAsia" w:ascii="宋体" w:hAnsi="宋体" w:eastAsia="宋体" w:cs="宋体"/>
                <w:color w:val="auto"/>
                <w:kern w:val="0"/>
                <w:sz w:val="24"/>
                <w:highlight w:val="none"/>
              </w:rPr>
            </w:pPr>
          </w:p>
          <w:p>
            <w:pPr>
              <w:widowControl/>
              <w:spacing w:line="480" w:lineRule="exact"/>
              <w:jc w:val="left"/>
              <w:rPr>
                <w:rFonts w:hint="eastAsia" w:ascii="宋体" w:hAnsi="宋体" w:eastAsia="宋体" w:cs="宋体"/>
                <w:color w:val="auto"/>
                <w:kern w:val="0"/>
                <w:sz w:val="24"/>
                <w:highlight w:val="none"/>
              </w:rPr>
            </w:pPr>
          </w:p>
        </w:tc>
      </w:tr>
    </w:tbl>
    <w:p>
      <w:pPr>
        <w:widowControl/>
        <w:wordWrap w:val="0"/>
        <w:spacing w:beforeLines="100" w:afterLines="100" w:line="480" w:lineRule="exact"/>
        <w:jc w:val="center"/>
        <w:rPr>
          <w:rFonts w:hint="eastAsia" w:ascii="宋体" w:hAnsi="宋体" w:eastAsia="宋体" w:cs="宋体"/>
          <w:b/>
          <w:color w:val="auto"/>
          <w:kern w:val="0"/>
          <w:sz w:val="24"/>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napToGrid w:val="0"/>
        <w:spacing w:line="460" w:lineRule="exact"/>
        <w:ind w:firstLine="2760" w:firstLineChars="1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left="3780" w:leftChars="180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2"/>
        <w:rPr>
          <w:rFonts w:hint="eastAsia" w:ascii="宋体" w:hAnsi="宋体" w:eastAsia="宋体" w:cs="宋体"/>
          <w:color w:val="auto"/>
          <w:highlight w:val="none"/>
        </w:rPr>
      </w:pPr>
    </w:p>
    <w:p>
      <w:pPr>
        <w:widowControl/>
        <w:wordWrap w:val="0"/>
        <w:spacing w:line="460" w:lineRule="exact"/>
        <w:ind w:firstLine="365" w:firstLineChars="130"/>
        <w:jc w:val="left"/>
        <w:outlineLvl w:val="0"/>
        <w:rPr>
          <w:rFonts w:hint="eastAsia" w:ascii="宋体" w:hAnsi="宋体" w:eastAsia="宋体" w:cs="宋体"/>
          <w:b/>
          <w:color w:val="auto"/>
          <w:sz w:val="28"/>
          <w:highlight w:val="none"/>
        </w:rPr>
      </w:pPr>
      <w:bookmarkStart w:id="82" w:name="_Toc30519"/>
      <w:bookmarkStart w:id="83" w:name="_Toc13976"/>
      <w:r>
        <w:rPr>
          <w:rFonts w:hint="eastAsia" w:ascii="宋体" w:hAnsi="宋体" w:eastAsia="宋体" w:cs="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jc w:val="left"/>
        <w:rPr>
          <w:rFonts w:hint="eastAsia" w:ascii="宋体" w:hAnsi="宋体" w:eastAsia="宋体" w:cs="宋体"/>
          <w:b/>
          <w:bCs/>
          <w:color w:val="auto"/>
          <w:kern w:val="0"/>
          <w:sz w:val="24"/>
          <w:highlight w:val="none"/>
        </w:rPr>
      </w:pPr>
      <w:r>
        <w:rPr>
          <w:rFonts w:hint="eastAsia" w:ascii="宋体" w:hAnsi="宋体" w:eastAsia="宋体" w:cs="宋体"/>
          <w:bCs/>
          <w:color w:val="auto"/>
          <w:kern w:val="0"/>
          <w:sz w:val="24"/>
          <w:highlight w:val="none"/>
        </w:rPr>
        <w:t>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名称）：</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名称）的法定代表人，现委托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（姓名）为我方代理人。代理人根据本授权，以我方的名义参加</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此处请粘贴</w:t>
            </w:r>
            <w:r>
              <w:rPr>
                <w:rFonts w:hint="eastAsia" w:ascii="宋体" w:hAnsi="宋体" w:eastAsia="宋体" w:cs="宋体"/>
                <w:color w:val="auto"/>
                <w:kern w:val="0"/>
                <w:sz w:val="24"/>
                <w:highlight w:val="none"/>
              </w:rPr>
              <w:t>委托代理人</w:t>
            </w:r>
            <w:r>
              <w:rPr>
                <w:rFonts w:hint="eastAsia" w:ascii="宋体" w:hAnsi="宋体" w:eastAsia="宋体" w:cs="宋体"/>
                <w:bCs/>
                <w:color w:val="auto"/>
                <w:kern w:val="0"/>
                <w:sz w:val="24"/>
                <w:highlight w:val="none"/>
              </w:rPr>
              <w:t>身份证复印件</w:t>
            </w:r>
          </w:p>
        </w:tc>
      </w:tr>
    </w:tbl>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委托代理人身份证号码：</w:t>
      </w:r>
    </w:p>
    <w:p>
      <w:pPr>
        <w:widowControl/>
        <w:wordWrap w:val="0"/>
        <w:spacing w:line="460" w:lineRule="exact"/>
        <w:ind w:firstLine="4800" w:firstLineChars="2000"/>
        <w:jc w:val="left"/>
        <w:rPr>
          <w:rFonts w:hint="eastAsia" w:ascii="宋体" w:hAnsi="宋体" w:eastAsia="宋体" w:cs="宋体"/>
          <w:color w:val="auto"/>
          <w:kern w:val="0"/>
          <w:sz w:val="24"/>
          <w:highlight w:val="none"/>
        </w:rPr>
      </w:pPr>
    </w:p>
    <w:p>
      <w:pPr>
        <w:widowControl/>
        <w:wordWrap w:val="0"/>
        <w:spacing w:line="360" w:lineRule="auto"/>
        <w:jc w:val="center"/>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firstLine="3840" w:firstLineChars="1600"/>
        <w:jc w:val="lef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年    月    日</w:t>
      </w:r>
    </w:p>
    <w:p>
      <w:pPr>
        <w:widowControl/>
        <w:spacing w:line="360" w:lineRule="auto"/>
        <w:ind w:firstLine="7228" w:firstLineChars="2250"/>
        <w:jc w:val="left"/>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napToGrid w:val="0"/>
        <w:spacing w:before="156" w:after="156" w:line="360" w:lineRule="auto"/>
        <w:jc w:val="left"/>
        <w:rPr>
          <w:rFonts w:hint="eastAsia" w:ascii="宋体" w:hAnsi="宋体" w:eastAsia="宋体" w:cs="宋体"/>
          <w:b/>
          <w:color w:val="auto"/>
          <w:kern w:val="0"/>
          <w:sz w:val="24"/>
          <w:highlight w:val="none"/>
        </w:rPr>
      </w:pPr>
    </w:p>
    <w:p>
      <w:pPr>
        <w:widowControl/>
        <w:snapToGrid w:val="0"/>
        <w:spacing w:before="156" w:after="156" w:line="360" w:lineRule="auto"/>
        <w:jc w:val="left"/>
        <w:outlineLvl w:val="0"/>
        <w:rPr>
          <w:rFonts w:hint="eastAsia" w:ascii="宋体" w:hAnsi="宋体" w:eastAsia="宋体" w:cs="宋体"/>
          <w:b/>
          <w:color w:val="auto"/>
          <w:kern w:val="0"/>
          <w:sz w:val="24"/>
          <w:highlight w:val="none"/>
        </w:rPr>
      </w:pPr>
      <w:bookmarkStart w:id="84" w:name="_Toc18105"/>
      <w:bookmarkStart w:id="85" w:name="_Toc24693"/>
      <w:r>
        <w:rPr>
          <w:rFonts w:hint="eastAsia" w:ascii="宋体" w:hAnsi="宋体" w:eastAsia="宋体" w:cs="宋体"/>
          <w:b/>
          <w:color w:val="auto"/>
          <w:sz w:val="28"/>
          <w:highlight w:val="none"/>
        </w:rPr>
        <w:t>附件9               证明文件</w:t>
      </w:r>
      <w:bookmarkEnd w:id="84"/>
      <w:bookmarkEnd w:id="85"/>
    </w:p>
    <w:p>
      <w:pPr>
        <w:pStyle w:val="7"/>
        <w:spacing w:beforeAutospacing="0" w:afterAutospacing="0" w:line="480" w:lineRule="auto"/>
        <w:ind w:firstLine="537" w:firstLineChars="224"/>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9.1</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资格审查资料</w:t>
      </w:r>
    </w:p>
    <w:p>
      <w:pPr>
        <w:pStyle w:val="7"/>
        <w:spacing w:beforeAutospacing="0" w:afterAutospacing="0" w:line="480" w:lineRule="auto"/>
        <w:ind w:firstLine="537" w:firstLineChars="224"/>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9.2</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技术方案</w:t>
      </w:r>
    </w:p>
    <w:p>
      <w:pPr>
        <w:pStyle w:val="7"/>
        <w:spacing w:beforeAutospacing="0" w:afterAutospacing="0" w:line="480" w:lineRule="auto"/>
        <w:ind w:firstLine="537" w:firstLineChars="224"/>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9.3</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其他需要提供的证明材料</w:t>
      </w:r>
      <w:bookmarkStart w:id="86" w:name="_Toc17966"/>
    </w:p>
    <w:p>
      <w:pPr>
        <w:pStyle w:val="7"/>
        <w:spacing w:beforeAutospacing="0" w:afterAutospacing="0" w:line="480" w:lineRule="auto"/>
        <w:ind w:firstLine="537"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4"/>
          <w:szCs w:val="24"/>
          <w:highlight w:val="none"/>
        </w:rPr>
        <w:t>9.</w:t>
      </w:r>
      <w:r>
        <w:rPr>
          <w:rFonts w:hint="eastAsia" w:ascii="宋体" w:hAnsi="宋体" w:eastAsia="宋体" w:cs="宋体"/>
          <w:bCs/>
          <w:color w:val="auto"/>
          <w:sz w:val="24"/>
          <w:szCs w:val="24"/>
          <w:highlight w:val="none"/>
          <w:lang w:val="en-US" w:eastAsia="zh-CN"/>
        </w:rPr>
        <w:t xml:space="preserve">4 </w:t>
      </w:r>
      <w:r>
        <w:rPr>
          <w:rFonts w:hint="eastAsia" w:ascii="宋体" w:hAnsi="宋体" w:eastAsia="宋体" w:cs="宋体"/>
          <w:bCs/>
          <w:color w:val="auto"/>
          <w:sz w:val="24"/>
          <w:szCs w:val="24"/>
          <w:highlight w:val="none"/>
        </w:rPr>
        <w:t>其他证明材料。</w:t>
      </w:r>
    </w:p>
    <w:p>
      <w:pPr>
        <w:pStyle w:val="7"/>
        <w:spacing w:beforeAutospacing="0" w:afterAutospacing="0" w:line="480" w:lineRule="auto"/>
        <w:ind w:firstLine="540" w:firstLineChars="224"/>
        <w:jc w:val="both"/>
        <w:rPr>
          <w:rFonts w:hint="eastAsia" w:ascii="宋体" w:hAnsi="宋体" w:eastAsia="宋体" w:cs="宋体"/>
          <w:b/>
          <w:bCs/>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widowControl/>
        <w:snapToGrid w:val="0"/>
        <w:spacing w:line="360" w:lineRule="auto"/>
        <w:jc w:val="center"/>
        <w:outlineLvl w:val="0"/>
        <w:rPr>
          <w:rFonts w:hint="eastAsia" w:ascii="宋体" w:hAnsi="宋体" w:eastAsia="宋体" w:cs="宋体"/>
          <w:b/>
          <w:color w:val="auto"/>
          <w:kern w:val="0"/>
          <w:sz w:val="28"/>
          <w:szCs w:val="28"/>
          <w:highlight w:val="none"/>
        </w:rPr>
      </w:pPr>
      <w:bookmarkStart w:id="87" w:name="_Toc13726"/>
      <w:bookmarkStart w:id="88" w:name="_Toc12888"/>
      <w:r>
        <w:rPr>
          <w:rFonts w:hint="eastAsia" w:ascii="宋体" w:hAnsi="宋体" w:eastAsia="宋体" w:cs="宋体"/>
          <w:b/>
          <w:color w:val="auto"/>
          <w:kern w:val="0"/>
          <w:sz w:val="28"/>
          <w:szCs w:val="28"/>
          <w:highlight w:val="none"/>
        </w:rPr>
        <w:t xml:space="preserve">附件10        </w:t>
      </w:r>
      <w:bookmarkEnd w:id="86"/>
      <w:r>
        <w:rPr>
          <w:rFonts w:hint="eastAsia" w:ascii="宋体" w:hAnsi="宋体" w:eastAsia="宋体" w:cs="宋体"/>
          <w:b/>
          <w:color w:val="auto"/>
          <w:kern w:val="0"/>
          <w:sz w:val="28"/>
          <w:szCs w:val="28"/>
          <w:highlight w:val="none"/>
        </w:rPr>
        <w:t>供 应 商 承 诺 书</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（格式）</w:t>
      </w:r>
      <w:bookmarkEnd w:id="87"/>
      <w:bookmarkEnd w:id="88"/>
    </w:p>
    <w:p>
      <w:pPr>
        <w:bidi w:val="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w:t>
      </w:r>
      <w:r>
        <w:rPr>
          <w:rFonts w:hint="eastAsia" w:ascii="宋体" w:hAnsi="宋体" w:eastAsia="宋体" w:cs="宋体"/>
          <w:sz w:val="24"/>
          <w:szCs w:val="24"/>
          <w:lang w:eastAsia="zh-CN"/>
        </w:rPr>
        <w:t>成交</w:t>
      </w:r>
      <w:r>
        <w:rPr>
          <w:rFonts w:hint="eastAsia" w:ascii="宋体" w:hAnsi="宋体" w:eastAsia="宋体" w:cs="宋体"/>
          <w:sz w:val="24"/>
          <w:szCs w:val="24"/>
        </w:rPr>
        <w:t>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w:t>
      </w:r>
      <w:r>
        <w:rPr>
          <w:rFonts w:hint="eastAsia" w:ascii="宋体" w:hAnsi="宋体" w:eastAsia="宋体" w:cs="宋体"/>
          <w:sz w:val="24"/>
          <w:szCs w:val="24"/>
          <w:lang w:eastAsia="zh-CN"/>
        </w:rPr>
        <w:t>成交</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w:t>
      </w:r>
      <w:r>
        <w:rPr>
          <w:rFonts w:hint="eastAsia" w:ascii="宋体" w:hAnsi="宋体" w:eastAsia="宋体" w:cs="宋体"/>
          <w:sz w:val="24"/>
          <w:szCs w:val="24"/>
          <w:lang w:eastAsia="zh-CN"/>
        </w:rPr>
        <w:t>响应性文件</w:t>
      </w:r>
      <w:r>
        <w:rPr>
          <w:rFonts w:hint="eastAsia" w:ascii="宋体" w:hAnsi="宋体" w:eastAsia="宋体" w:cs="宋体"/>
          <w:sz w:val="24"/>
          <w:szCs w:val="24"/>
        </w:rPr>
        <w:t>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8"/>
          <w:szCs w:val="28"/>
        </w:rPr>
      </w:pPr>
      <w:r>
        <w:rPr>
          <w:rFonts w:hint="eastAsia" w:ascii="宋体" w:hAnsi="宋体" w:eastAsia="宋体" w:cs="宋体"/>
          <w:sz w:val="24"/>
          <w:szCs w:val="24"/>
        </w:rPr>
        <w:t>法定代表人或委托人（</w:t>
      </w:r>
      <w:r>
        <w:rPr>
          <w:rFonts w:hint="eastAsia" w:ascii="宋体" w:hAnsi="宋体" w:eastAsia="宋体" w:cs="宋体"/>
          <w:sz w:val="24"/>
          <w:szCs w:val="24"/>
          <w:lang w:val="en-US" w:eastAsia="zh-CN"/>
        </w:rPr>
        <w:t>签字或</w:t>
      </w:r>
      <w:r>
        <w:rPr>
          <w:rFonts w:hint="eastAsia" w:ascii="宋体" w:hAnsi="宋体" w:eastAsia="宋体" w:cs="宋体"/>
          <w:sz w:val="24"/>
          <w:szCs w:val="24"/>
          <w:lang w:eastAsia="zh-CN"/>
        </w:rPr>
        <w:t>盖章</w:t>
      </w:r>
      <w:r>
        <w:rPr>
          <w:rFonts w:hint="eastAsia" w:ascii="宋体" w:hAnsi="宋体" w:eastAsia="宋体" w:cs="宋体"/>
          <w:sz w:val="24"/>
          <w:szCs w:val="24"/>
        </w:rPr>
        <w:t>）：                   年   月   日</w:t>
      </w:r>
    </w:p>
    <w:p>
      <w:pPr>
        <w:widowControl/>
        <w:spacing w:line="360" w:lineRule="auto"/>
        <w:ind w:firstLine="4305" w:firstLineChars="2050"/>
        <w:jc w:val="left"/>
        <w:rPr>
          <w:rFonts w:hint="eastAsia" w:ascii="宋体" w:hAnsi="宋体" w:eastAsia="宋体" w:cs="宋体"/>
          <w:color w:val="auto"/>
          <w:kern w:val="0"/>
          <w:szCs w:val="21"/>
          <w:highlight w:val="none"/>
        </w:rPr>
      </w:pPr>
    </w:p>
    <w:p>
      <w:pPr>
        <w:pStyle w:val="30"/>
        <w:rPr>
          <w:rFonts w:hint="eastAsia" w:ascii="宋体" w:hAnsi="宋体" w:eastAsia="宋体" w:cs="宋体"/>
          <w:color w:val="auto"/>
          <w:kern w:val="0"/>
          <w:szCs w:val="21"/>
          <w:highlight w:val="none"/>
        </w:rPr>
      </w:pPr>
    </w:p>
    <w:p>
      <w:pPr>
        <w:pStyle w:val="31"/>
        <w:rPr>
          <w:rFonts w:hint="eastAsia" w:ascii="宋体" w:hAnsi="宋体" w:eastAsia="宋体" w:cs="宋体"/>
          <w:color w:val="auto"/>
          <w:kern w:val="0"/>
          <w:szCs w:val="21"/>
          <w:highlight w:val="none"/>
        </w:rPr>
      </w:pPr>
    </w:p>
    <w:p>
      <w:pPr>
        <w:rPr>
          <w:rFonts w:hint="eastAsia" w:ascii="宋体" w:hAnsi="宋体" w:eastAsia="宋体" w:cs="宋体"/>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宋体" w:hAnsi="宋体" w:eastAsia="宋体" w:cs="宋体"/>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p>
    <w:p>
      <w:pPr>
        <w:rPr>
          <w:rFonts w:hint="eastAsia" w:ascii="宋体" w:hAnsi="宋体" w:eastAsia="宋体" w:cs="宋体"/>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9"/>
        <w:rPr>
          <w:rFonts w:hint="eastAsia" w:ascii="宋体" w:hAnsi="宋体" w:eastAsia="宋体" w:cs="宋体"/>
        </w:rPr>
      </w:pPr>
    </w:p>
    <w:p>
      <w:pPr>
        <w:widowControl/>
        <w:snapToGrid w:val="0"/>
        <w:spacing w:line="360" w:lineRule="auto"/>
        <w:jc w:val="center"/>
        <w:outlineLvl w:val="0"/>
        <w:rPr>
          <w:rFonts w:hint="eastAsia" w:ascii="宋体" w:hAnsi="宋体" w:eastAsia="宋体" w:cs="宋体"/>
          <w:b/>
          <w:color w:val="auto"/>
          <w:kern w:val="0"/>
          <w:sz w:val="24"/>
          <w:highlight w:val="none"/>
        </w:rPr>
      </w:pPr>
      <w:bookmarkStart w:id="89" w:name="_Toc25094"/>
      <w:bookmarkStart w:id="90" w:name="_Toc23394"/>
      <w:r>
        <w:rPr>
          <w:rFonts w:hint="eastAsia" w:ascii="宋体" w:hAnsi="宋体" w:eastAsia="宋体" w:cs="宋体"/>
          <w:b/>
          <w:color w:val="auto"/>
          <w:kern w:val="0"/>
          <w:sz w:val="24"/>
          <w:highlight w:val="none"/>
          <w:lang w:eastAsia="zh-CN"/>
        </w:rPr>
        <w:t>供应商</w:t>
      </w:r>
      <w:r>
        <w:rPr>
          <w:rFonts w:hint="eastAsia" w:ascii="宋体" w:hAnsi="宋体" w:eastAsia="宋体" w:cs="宋体"/>
          <w:b/>
          <w:color w:val="auto"/>
          <w:kern w:val="0"/>
          <w:sz w:val="24"/>
          <w:highlight w:val="none"/>
        </w:rPr>
        <w:t>认为有必要的其他资料</w:t>
      </w:r>
      <w:bookmarkEnd w:id="89"/>
      <w:bookmarkEnd w:id="90"/>
    </w:p>
    <w:p>
      <w:pPr>
        <w:widowControl/>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应当仔细核对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文件中有关废标条款和评标标准，提供</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认为应当附加的其它内容，以充分证明其投标符合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文件规定，并为评标提供充分依据。如果</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未能提供相关证明文件，将有可能导致废标或者无法得分。</w:t>
      </w: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center"/>
        <w:rPr>
          <w:rFonts w:hint="eastAsia" w:ascii="宋体" w:hAnsi="宋体" w:eastAsia="宋体" w:cs="宋体"/>
          <w:b/>
          <w:bCs/>
          <w:color w:val="auto"/>
          <w:sz w:val="28"/>
          <w:szCs w:val="28"/>
          <w:highlight w:val="none"/>
        </w:rPr>
      </w:pPr>
    </w:p>
    <w:p>
      <w:pPr>
        <w:pStyle w:val="7"/>
        <w:spacing w:beforeAutospacing="0" w:afterAutospacing="0" w:line="460" w:lineRule="atLeast"/>
        <w:jc w:val="both"/>
        <w:rPr>
          <w:rFonts w:hint="eastAsia" w:ascii="宋体" w:hAnsi="宋体" w:eastAsia="宋体" w:cs="宋体"/>
          <w:b/>
          <w:bCs/>
          <w:color w:val="auto"/>
          <w:sz w:val="28"/>
          <w:szCs w:val="28"/>
          <w:highlight w:val="none"/>
        </w:rPr>
      </w:pPr>
    </w:p>
    <w:sectPr>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ascii="宋体" w:hAnsi="宋体" w:cs="宋体"/>
        <w:color w:val="auto"/>
        <w:szCs w:val="21"/>
        <w:highlight w:val="none"/>
        <w:shd w:val="clear" w:color="auto" w:fill="FFFFFF"/>
        <w:lang w:val="en-US" w:eastAsia="zh-CN"/>
      </w:rPr>
      <w:t>驻马店市中心医院机房及网络IT基础设施维保</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ascii="宋体" w:hAnsi="宋体" w:cs="宋体"/>
        <w:color w:val="auto"/>
        <w:szCs w:val="21"/>
        <w:highlight w:val="none"/>
        <w:shd w:val="clear" w:color="auto" w:fill="FFFFFF"/>
        <w:lang w:val="en-US" w:eastAsia="zh-CN"/>
      </w:rPr>
      <w:t>驻马店市中心医院机房及网络IT基础设施维保</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00321EAD"/>
    <w:multiLevelType w:val="multilevel"/>
    <w:tmpl w:val="00321EAD"/>
    <w:lvl w:ilvl="0" w:tentative="0">
      <w:start w:val="1"/>
      <w:numFmt w:val="decimal"/>
      <w:suff w:val="spac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AF6715"/>
    <w:multiLevelType w:val="multilevel"/>
    <w:tmpl w:val="0FAF6715"/>
    <w:lvl w:ilvl="0" w:tentative="0">
      <w:start w:val="1"/>
      <w:numFmt w:val="decimal"/>
      <w:suff w:val="spac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6E500B3"/>
    <w:multiLevelType w:val="multilevel"/>
    <w:tmpl w:val="16E500B3"/>
    <w:lvl w:ilvl="0" w:tentative="0">
      <w:start w:val="1"/>
      <w:numFmt w:val="decimal"/>
      <w:suff w:val="spac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4E23A30"/>
    <w:multiLevelType w:val="multilevel"/>
    <w:tmpl w:val="24E23A30"/>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D00B4C"/>
    <w:multiLevelType w:val="multilevel"/>
    <w:tmpl w:val="27D00B4C"/>
    <w:lvl w:ilvl="0" w:tentative="0">
      <w:start w:val="1"/>
      <w:numFmt w:val="decimal"/>
      <w:suff w:val="spac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C296C49"/>
    <w:multiLevelType w:val="multilevel"/>
    <w:tmpl w:val="2C296C49"/>
    <w:lvl w:ilvl="0" w:tentative="0">
      <w:start w:val="1"/>
      <w:numFmt w:val="decimal"/>
      <w:suff w:val="space"/>
      <w:lvlText w:val="%1."/>
      <w:lvlJc w:val="left"/>
      <w:pPr>
        <w:ind w:left="36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0795158"/>
    <w:multiLevelType w:val="multilevel"/>
    <w:tmpl w:val="30795158"/>
    <w:lvl w:ilvl="0" w:tentative="0">
      <w:start w:val="1"/>
      <w:numFmt w:val="decimal"/>
      <w:suff w:val="spac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4236F04"/>
    <w:multiLevelType w:val="multilevel"/>
    <w:tmpl w:val="34236F04"/>
    <w:lvl w:ilvl="0" w:tentative="0">
      <w:start w:val="1"/>
      <w:numFmt w:val="decimal"/>
      <w:suff w:val="spac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5858D46"/>
    <w:multiLevelType w:val="singleLevel"/>
    <w:tmpl w:val="45858D46"/>
    <w:lvl w:ilvl="0" w:tentative="0">
      <w:start w:val="4"/>
      <w:numFmt w:val="chineseCounting"/>
      <w:suff w:val="nothing"/>
      <w:lvlText w:val="%1、"/>
      <w:lvlJc w:val="left"/>
      <w:rPr>
        <w:rFonts w:hint="eastAsia"/>
      </w:rPr>
    </w:lvl>
  </w:abstractNum>
  <w:abstractNum w:abstractNumId="11">
    <w:nsid w:val="47C16953"/>
    <w:multiLevelType w:val="multilevel"/>
    <w:tmpl w:val="47C16953"/>
    <w:lvl w:ilvl="0" w:tentative="0">
      <w:start w:val="1"/>
      <w:numFmt w:val="decimal"/>
      <w:suff w:val="spac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490298"/>
    <w:multiLevelType w:val="multilevel"/>
    <w:tmpl w:val="59490298"/>
    <w:lvl w:ilvl="0" w:tentative="0">
      <w:start w:val="1"/>
      <w:numFmt w:val="decimal"/>
      <w:suff w:val="spac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67124E"/>
    <w:multiLevelType w:val="multilevel"/>
    <w:tmpl w:val="5967124E"/>
    <w:lvl w:ilvl="0" w:tentative="0">
      <w:start w:val="3"/>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9B6410A"/>
    <w:multiLevelType w:val="singleLevel"/>
    <w:tmpl w:val="59B6410A"/>
    <w:lvl w:ilvl="0" w:tentative="0">
      <w:start w:val="1"/>
      <w:numFmt w:val="decimal"/>
      <w:suff w:val="nothing"/>
      <w:lvlText w:val="（%1）"/>
      <w:lvlJc w:val="left"/>
    </w:lvl>
  </w:abstractNum>
  <w:abstractNum w:abstractNumId="15">
    <w:nsid w:val="660B792F"/>
    <w:multiLevelType w:val="multilevel"/>
    <w:tmpl w:val="660B792F"/>
    <w:lvl w:ilvl="0" w:tentative="0">
      <w:start w:val="1"/>
      <w:numFmt w:val="decimal"/>
      <w:suff w:val="spac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1366A5F"/>
    <w:multiLevelType w:val="multilevel"/>
    <w:tmpl w:val="71366A5F"/>
    <w:lvl w:ilvl="0" w:tentative="0">
      <w:start w:val="1"/>
      <w:numFmt w:val="decimal"/>
      <w:suff w:val="spac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29D4EDB"/>
    <w:multiLevelType w:val="multilevel"/>
    <w:tmpl w:val="729D4EDB"/>
    <w:lvl w:ilvl="0" w:tentative="0">
      <w:start w:val="1"/>
      <w:numFmt w:val="ideographLegalTraditional"/>
      <w:lvlText w:val="%1年，"/>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7A165FB8"/>
    <w:multiLevelType w:val="multilevel"/>
    <w:tmpl w:val="7A165FB8"/>
    <w:lvl w:ilvl="0" w:tentative="0">
      <w:start w:val="1"/>
      <w:numFmt w:val="decimal"/>
      <w:suff w:val="space"/>
      <w:lvlText w:val="%1."/>
      <w:lvlJc w:val="left"/>
      <w:pPr>
        <w:ind w:left="360" w:hanging="360"/>
      </w:pPr>
      <w:rPr>
        <w:rFonts w:hint="default" w:asciiTheme="minorEastAsia" w:hAnsi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6"/>
  </w:num>
  <w:num w:numId="3">
    <w:abstractNumId w:val="5"/>
  </w:num>
  <w:num w:numId="4">
    <w:abstractNumId w:val="18"/>
  </w:num>
  <w:num w:numId="5">
    <w:abstractNumId w:val="15"/>
  </w:num>
  <w:num w:numId="6">
    <w:abstractNumId w:val="2"/>
  </w:num>
  <w:num w:numId="7">
    <w:abstractNumId w:val="11"/>
  </w:num>
  <w:num w:numId="8">
    <w:abstractNumId w:val="9"/>
  </w:num>
  <w:num w:numId="9">
    <w:abstractNumId w:val="4"/>
  </w:num>
  <w:num w:numId="10">
    <w:abstractNumId w:val="13"/>
  </w:num>
  <w:num w:numId="11">
    <w:abstractNumId w:val="6"/>
  </w:num>
  <w:num w:numId="12">
    <w:abstractNumId w:val="8"/>
  </w:num>
  <w:num w:numId="13">
    <w:abstractNumId w:val="12"/>
  </w:num>
  <w:num w:numId="14">
    <w:abstractNumId w:val="3"/>
  </w:num>
  <w:num w:numId="15">
    <w:abstractNumId w:val="17"/>
  </w:num>
  <w:num w:numId="16">
    <w:abstractNumId w:val="7"/>
  </w:num>
  <w:num w:numId="17">
    <w:abstractNumId w:val="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37095"/>
    <w:rsid w:val="01564054"/>
    <w:rsid w:val="015C0A67"/>
    <w:rsid w:val="017E6D95"/>
    <w:rsid w:val="01D715BE"/>
    <w:rsid w:val="01EB45BC"/>
    <w:rsid w:val="01FA63A5"/>
    <w:rsid w:val="02011C7D"/>
    <w:rsid w:val="02020F53"/>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77068"/>
    <w:rsid w:val="04416C20"/>
    <w:rsid w:val="047968B1"/>
    <w:rsid w:val="04870542"/>
    <w:rsid w:val="04921BD5"/>
    <w:rsid w:val="049468D5"/>
    <w:rsid w:val="04B30F7A"/>
    <w:rsid w:val="04D119A3"/>
    <w:rsid w:val="04D637B7"/>
    <w:rsid w:val="054C0111"/>
    <w:rsid w:val="05545DD3"/>
    <w:rsid w:val="056E2AD6"/>
    <w:rsid w:val="05806815"/>
    <w:rsid w:val="058251D3"/>
    <w:rsid w:val="058C28F1"/>
    <w:rsid w:val="05945CCE"/>
    <w:rsid w:val="059D05A4"/>
    <w:rsid w:val="059D5E17"/>
    <w:rsid w:val="05AB0A28"/>
    <w:rsid w:val="05AB0F81"/>
    <w:rsid w:val="05B93D6B"/>
    <w:rsid w:val="05D53002"/>
    <w:rsid w:val="05D75738"/>
    <w:rsid w:val="05F17CC7"/>
    <w:rsid w:val="061E7D14"/>
    <w:rsid w:val="06446B44"/>
    <w:rsid w:val="06560AED"/>
    <w:rsid w:val="066469C9"/>
    <w:rsid w:val="066646A1"/>
    <w:rsid w:val="06856A47"/>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D4164E"/>
    <w:rsid w:val="07EC2ECB"/>
    <w:rsid w:val="07FE66CB"/>
    <w:rsid w:val="080B4D47"/>
    <w:rsid w:val="08321601"/>
    <w:rsid w:val="08326375"/>
    <w:rsid w:val="083D5C91"/>
    <w:rsid w:val="0847191F"/>
    <w:rsid w:val="08591DC3"/>
    <w:rsid w:val="08695E80"/>
    <w:rsid w:val="087C4541"/>
    <w:rsid w:val="087E5595"/>
    <w:rsid w:val="08BC0A60"/>
    <w:rsid w:val="08C52D6F"/>
    <w:rsid w:val="08CB0CA3"/>
    <w:rsid w:val="08EF0201"/>
    <w:rsid w:val="08F41DE8"/>
    <w:rsid w:val="09737462"/>
    <w:rsid w:val="099156C3"/>
    <w:rsid w:val="09A53F39"/>
    <w:rsid w:val="09A60E13"/>
    <w:rsid w:val="09A82D92"/>
    <w:rsid w:val="09AB2883"/>
    <w:rsid w:val="09D206F0"/>
    <w:rsid w:val="0A321AC2"/>
    <w:rsid w:val="0A343D4E"/>
    <w:rsid w:val="0A3E6D2E"/>
    <w:rsid w:val="0A8455AD"/>
    <w:rsid w:val="0AD13A85"/>
    <w:rsid w:val="0AE0655C"/>
    <w:rsid w:val="0B091954"/>
    <w:rsid w:val="0B637D77"/>
    <w:rsid w:val="0B7006C4"/>
    <w:rsid w:val="0B726646"/>
    <w:rsid w:val="0BAC324F"/>
    <w:rsid w:val="0BC11EE9"/>
    <w:rsid w:val="0BF16C73"/>
    <w:rsid w:val="0BF72F1E"/>
    <w:rsid w:val="0C0201C5"/>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35493D"/>
    <w:rsid w:val="0D682A90"/>
    <w:rsid w:val="0D735465"/>
    <w:rsid w:val="0DC577E0"/>
    <w:rsid w:val="0DCA6984"/>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0F1949"/>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7AFA"/>
    <w:rsid w:val="12D67466"/>
    <w:rsid w:val="12DC02A0"/>
    <w:rsid w:val="13036052"/>
    <w:rsid w:val="13272A5D"/>
    <w:rsid w:val="13493108"/>
    <w:rsid w:val="13733928"/>
    <w:rsid w:val="13920D68"/>
    <w:rsid w:val="139C16C9"/>
    <w:rsid w:val="13B63CE1"/>
    <w:rsid w:val="13BC6684"/>
    <w:rsid w:val="13C72B3A"/>
    <w:rsid w:val="13DD7ADC"/>
    <w:rsid w:val="13DF575E"/>
    <w:rsid w:val="13E470BD"/>
    <w:rsid w:val="13EE3A98"/>
    <w:rsid w:val="14072FCF"/>
    <w:rsid w:val="142123F7"/>
    <w:rsid w:val="142A11D8"/>
    <w:rsid w:val="144B544C"/>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9F2E61"/>
    <w:rsid w:val="17BC6C9F"/>
    <w:rsid w:val="17BE19D3"/>
    <w:rsid w:val="17C227C0"/>
    <w:rsid w:val="17EE5BFF"/>
    <w:rsid w:val="18097740"/>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A073B05"/>
    <w:rsid w:val="1A125525"/>
    <w:rsid w:val="1A5F4342"/>
    <w:rsid w:val="1A616E2C"/>
    <w:rsid w:val="1A7F369B"/>
    <w:rsid w:val="1A8C5D82"/>
    <w:rsid w:val="1A8D5F5F"/>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067C30"/>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310B02"/>
    <w:rsid w:val="206F0406"/>
    <w:rsid w:val="20784063"/>
    <w:rsid w:val="207E346A"/>
    <w:rsid w:val="208E12C3"/>
    <w:rsid w:val="209502A3"/>
    <w:rsid w:val="20F75336"/>
    <w:rsid w:val="2100305C"/>
    <w:rsid w:val="210F579E"/>
    <w:rsid w:val="212550B5"/>
    <w:rsid w:val="213042A1"/>
    <w:rsid w:val="21592B62"/>
    <w:rsid w:val="2172049B"/>
    <w:rsid w:val="21747CD2"/>
    <w:rsid w:val="218D482A"/>
    <w:rsid w:val="219263AA"/>
    <w:rsid w:val="219E5782"/>
    <w:rsid w:val="21E72B0B"/>
    <w:rsid w:val="221F2D96"/>
    <w:rsid w:val="22246DB1"/>
    <w:rsid w:val="22440067"/>
    <w:rsid w:val="225A6017"/>
    <w:rsid w:val="22631AF5"/>
    <w:rsid w:val="227A5532"/>
    <w:rsid w:val="22843A03"/>
    <w:rsid w:val="228E5C2C"/>
    <w:rsid w:val="22934D82"/>
    <w:rsid w:val="22A338AB"/>
    <w:rsid w:val="22AD37A2"/>
    <w:rsid w:val="22B31E8A"/>
    <w:rsid w:val="22C05285"/>
    <w:rsid w:val="22C735BD"/>
    <w:rsid w:val="22F06957"/>
    <w:rsid w:val="23122833"/>
    <w:rsid w:val="231D4917"/>
    <w:rsid w:val="23223458"/>
    <w:rsid w:val="23225D32"/>
    <w:rsid w:val="23357BE6"/>
    <w:rsid w:val="2342574E"/>
    <w:rsid w:val="2377331D"/>
    <w:rsid w:val="237D43DE"/>
    <w:rsid w:val="23940114"/>
    <w:rsid w:val="23B57016"/>
    <w:rsid w:val="23D4764B"/>
    <w:rsid w:val="23EC3718"/>
    <w:rsid w:val="23FC7B0B"/>
    <w:rsid w:val="24044EF2"/>
    <w:rsid w:val="2407139D"/>
    <w:rsid w:val="240B04F4"/>
    <w:rsid w:val="242A0646"/>
    <w:rsid w:val="2435301D"/>
    <w:rsid w:val="243D6E1A"/>
    <w:rsid w:val="245E07C6"/>
    <w:rsid w:val="24607F91"/>
    <w:rsid w:val="246C581B"/>
    <w:rsid w:val="247C52A2"/>
    <w:rsid w:val="24CC106B"/>
    <w:rsid w:val="24D00598"/>
    <w:rsid w:val="24D725E9"/>
    <w:rsid w:val="25045F70"/>
    <w:rsid w:val="250474F1"/>
    <w:rsid w:val="25056E93"/>
    <w:rsid w:val="25092EBA"/>
    <w:rsid w:val="25241020"/>
    <w:rsid w:val="25562731"/>
    <w:rsid w:val="257572C3"/>
    <w:rsid w:val="25790E85"/>
    <w:rsid w:val="25972C60"/>
    <w:rsid w:val="25974C6F"/>
    <w:rsid w:val="259D1676"/>
    <w:rsid w:val="25A353EB"/>
    <w:rsid w:val="25B87B65"/>
    <w:rsid w:val="25CB78C3"/>
    <w:rsid w:val="25D54390"/>
    <w:rsid w:val="261879A7"/>
    <w:rsid w:val="261A071C"/>
    <w:rsid w:val="26243349"/>
    <w:rsid w:val="26355556"/>
    <w:rsid w:val="264B0BA4"/>
    <w:rsid w:val="268C5256"/>
    <w:rsid w:val="268E455B"/>
    <w:rsid w:val="26912B30"/>
    <w:rsid w:val="269772F0"/>
    <w:rsid w:val="26997893"/>
    <w:rsid w:val="26A30712"/>
    <w:rsid w:val="26A526DC"/>
    <w:rsid w:val="26AC0C27"/>
    <w:rsid w:val="26C807A6"/>
    <w:rsid w:val="26D1527F"/>
    <w:rsid w:val="26DB67BA"/>
    <w:rsid w:val="26E311CD"/>
    <w:rsid w:val="26EF24ED"/>
    <w:rsid w:val="26F1408A"/>
    <w:rsid w:val="26F96584"/>
    <w:rsid w:val="27015370"/>
    <w:rsid w:val="270B421F"/>
    <w:rsid w:val="274E2228"/>
    <w:rsid w:val="27517A93"/>
    <w:rsid w:val="275E53AF"/>
    <w:rsid w:val="276658E8"/>
    <w:rsid w:val="277E30D2"/>
    <w:rsid w:val="27803F2A"/>
    <w:rsid w:val="27A34941"/>
    <w:rsid w:val="27DE38C3"/>
    <w:rsid w:val="27EE3A7B"/>
    <w:rsid w:val="283C23DF"/>
    <w:rsid w:val="283D69F1"/>
    <w:rsid w:val="284C16F5"/>
    <w:rsid w:val="28570AB5"/>
    <w:rsid w:val="28622C36"/>
    <w:rsid w:val="28C2534B"/>
    <w:rsid w:val="28C5525A"/>
    <w:rsid w:val="28D14B96"/>
    <w:rsid w:val="29020C46"/>
    <w:rsid w:val="290240C7"/>
    <w:rsid w:val="291A2B97"/>
    <w:rsid w:val="29274EE0"/>
    <w:rsid w:val="2969197F"/>
    <w:rsid w:val="29746E87"/>
    <w:rsid w:val="297C03C2"/>
    <w:rsid w:val="299566CF"/>
    <w:rsid w:val="299573AB"/>
    <w:rsid w:val="29BE5BD0"/>
    <w:rsid w:val="29C01572"/>
    <w:rsid w:val="29CA4207"/>
    <w:rsid w:val="29E74CE2"/>
    <w:rsid w:val="2A241B69"/>
    <w:rsid w:val="2A306A36"/>
    <w:rsid w:val="2A5372C6"/>
    <w:rsid w:val="2A5B03D8"/>
    <w:rsid w:val="2A6F6D07"/>
    <w:rsid w:val="2A882500"/>
    <w:rsid w:val="2AB63ABC"/>
    <w:rsid w:val="2AB63D0A"/>
    <w:rsid w:val="2B003D00"/>
    <w:rsid w:val="2B074D5E"/>
    <w:rsid w:val="2B100BA9"/>
    <w:rsid w:val="2B1B5825"/>
    <w:rsid w:val="2B1E3AFC"/>
    <w:rsid w:val="2B8D373E"/>
    <w:rsid w:val="2B9E4F56"/>
    <w:rsid w:val="2BDB5A88"/>
    <w:rsid w:val="2BE91C37"/>
    <w:rsid w:val="2BEC3F72"/>
    <w:rsid w:val="2BEF17F2"/>
    <w:rsid w:val="2C083572"/>
    <w:rsid w:val="2C185F94"/>
    <w:rsid w:val="2C1F1AC4"/>
    <w:rsid w:val="2C2E71FC"/>
    <w:rsid w:val="2C3F3A41"/>
    <w:rsid w:val="2C4431C4"/>
    <w:rsid w:val="2C62059F"/>
    <w:rsid w:val="2C6634FA"/>
    <w:rsid w:val="2CAC022C"/>
    <w:rsid w:val="2CC11807"/>
    <w:rsid w:val="2CF16074"/>
    <w:rsid w:val="2CF81D1B"/>
    <w:rsid w:val="2D3F2453"/>
    <w:rsid w:val="2D402CDE"/>
    <w:rsid w:val="2D835174"/>
    <w:rsid w:val="2D9331F9"/>
    <w:rsid w:val="2DD90B7B"/>
    <w:rsid w:val="2DDD3FC1"/>
    <w:rsid w:val="2DF701D8"/>
    <w:rsid w:val="2DF970A1"/>
    <w:rsid w:val="2E085834"/>
    <w:rsid w:val="2E1034F8"/>
    <w:rsid w:val="2E120D8E"/>
    <w:rsid w:val="2E443652"/>
    <w:rsid w:val="2E505773"/>
    <w:rsid w:val="2E742F70"/>
    <w:rsid w:val="2E9A689E"/>
    <w:rsid w:val="2EDC2A13"/>
    <w:rsid w:val="2EFD7DB9"/>
    <w:rsid w:val="2F1A081D"/>
    <w:rsid w:val="2F1E3DC0"/>
    <w:rsid w:val="2F2D326E"/>
    <w:rsid w:val="2F3112DE"/>
    <w:rsid w:val="2F3B6922"/>
    <w:rsid w:val="2F3D7B25"/>
    <w:rsid w:val="2F506C6D"/>
    <w:rsid w:val="2F512253"/>
    <w:rsid w:val="2F51291F"/>
    <w:rsid w:val="2F55758A"/>
    <w:rsid w:val="2F7962F8"/>
    <w:rsid w:val="2F7F15AE"/>
    <w:rsid w:val="2FA54796"/>
    <w:rsid w:val="2FA674E2"/>
    <w:rsid w:val="2FEE7D26"/>
    <w:rsid w:val="2FFE7D49"/>
    <w:rsid w:val="3002294D"/>
    <w:rsid w:val="3011153D"/>
    <w:rsid w:val="30142680"/>
    <w:rsid w:val="302A11B1"/>
    <w:rsid w:val="302A5C42"/>
    <w:rsid w:val="30662043"/>
    <w:rsid w:val="30B8125D"/>
    <w:rsid w:val="30BF439A"/>
    <w:rsid w:val="30C07A16"/>
    <w:rsid w:val="30CF6A37"/>
    <w:rsid w:val="30D250CF"/>
    <w:rsid w:val="31002970"/>
    <w:rsid w:val="311016AD"/>
    <w:rsid w:val="3136622A"/>
    <w:rsid w:val="3139422E"/>
    <w:rsid w:val="31496359"/>
    <w:rsid w:val="314D19A6"/>
    <w:rsid w:val="316177A4"/>
    <w:rsid w:val="31700E4B"/>
    <w:rsid w:val="3172683C"/>
    <w:rsid w:val="31A359FC"/>
    <w:rsid w:val="31AD0D61"/>
    <w:rsid w:val="31CD73BD"/>
    <w:rsid w:val="31D66571"/>
    <w:rsid w:val="31DB4220"/>
    <w:rsid w:val="31DC56CD"/>
    <w:rsid w:val="31E63B94"/>
    <w:rsid w:val="31F27AF7"/>
    <w:rsid w:val="32176602"/>
    <w:rsid w:val="321C4663"/>
    <w:rsid w:val="322A7699"/>
    <w:rsid w:val="322B25C6"/>
    <w:rsid w:val="32422E70"/>
    <w:rsid w:val="325E56C6"/>
    <w:rsid w:val="3275698A"/>
    <w:rsid w:val="32A93829"/>
    <w:rsid w:val="32B943EC"/>
    <w:rsid w:val="32DC63A0"/>
    <w:rsid w:val="32E429C1"/>
    <w:rsid w:val="330503EE"/>
    <w:rsid w:val="33246FD7"/>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2281F"/>
    <w:rsid w:val="351C4931"/>
    <w:rsid w:val="351C4EAC"/>
    <w:rsid w:val="351D4C26"/>
    <w:rsid w:val="352E7D40"/>
    <w:rsid w:val="35361A77"/>
    <w:rsid w:val="35461A22"/>
    <w:rsid w:val="35483CC9"/>
    <w:rsid w:val="35A815CB"/>
    <w:rsid w:val="35AA1B9C"/>
    <w:rsid w:val="35C96809"/>
    <w:rsid w:val="35DB09A6"/>
    <w:rsid w:val="35EE389B"/>
    <w:rsid w:val="36080591"/>
    <w:rsid w:val="3609472F"/>
    <w:rsid w:val="368B22F2"/>
    <w:rsid w:val="369B4CF0"/>
    <w:rsid w:val="36AA33F6"/>
    <w:rsid w:val="36D62629"/>
    <w:rsid w:val="36D76172"/>
    <w:rsid w:val="36D84407"/>
    <w:rsid w:val="36E40CF9"/>
    <w:rsid w:val="36E833BB"/>
    <w:rsid w:val="36EB1E1B"/>
    <w:rsid w:val="36F17F0D"/>
    <w:rsid w:val="36FA4102"/>
    <w:rsid w:val="3735197D"/>
    <w:rsid w:val="373756A2"/>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8FD20FF"/>
    <w:rsid w:val="38FE3794"/>
    <w:rsid w:val="392536E2"/>
    <w:rsid w:val="39465F15"/>
    <w:rsid w:val="3952217B"/>
    <w:rsid w:val="396453C5"/>
    <w:rsid w:val="39922CCF"/>
    <w:rsid w:val="39A65327"/>
    <w:rsid w:val="39A65C9B"/>
    <w:rsid w:val="39BC5ED6"/>
    <w:rsid w:val="39D27231"/>
    <w:rsid w:val="39EB39E0"/>
    <w:rsid w:val="39EF02D4"/>
    <w:rsid w:val="3A11342A"/>
    <w:rsid w:val="3A153110"/>
    <w:rsid w:val="3A2149EA"/>
    <w:rsid w:val="3A2507C0"/>
    <w:rsid w:val="3A393FA7"/>
    <w:rsid w:val="3A3A5A22"/>
    <w:rsid w:val="3A524858"/>
    <w:rsid w:val="3A64203E"/>
    <w:rsid w:val="3A663D00"/>
    <w:rsid w:val="3A7428D0"/>
    <w:rsid w:val="3A923AE4"/>
    <w:rsid w:val="3AA50E25"/>
    <w:rsid w:val="3AC566E3"/>
    <w:rsid w:val="3AD6747A"/>
    <w:rsid w:val="3B312338"/>
    <w:rsid w:val="3B3D0FF2"/>
    <w:rsid w:val="3B521A18"/>
    <w:rsid w:val="3B595665"/>
    <w:rsid w:val="3B8D2B96"/>
    <w:rsid w:val="3B923660"/>
    <w:rsid w:val="3BA174BE"/>
    <w:rsid w:val="3BCA44BE"/>
    <w:rsid w:val="3BE61128"/>
    <w:rsid w:val="3C061F3A"/>
    <w:rsid w:val="3C0A04F9"/>
    <w:rsid w:val="3C495480"/>
    <w:rsid w:val="3C4C3A42"/>
    <w:rsid w:val="3C6F0167"/>
    <w:rsid w:val="3C71667B"/>
    <w:rsid w:val="3C7E158E"/>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A53531"/>
    <w:rsid w:val="3DB54E0C"/>
    <w:rsid w:val="3DB900C1"/>
    <w:rsid w:val="3DE91725"/>
    <w:rsid w:val="3DF159B1"/>
    <w:rsid w:val="3DFA54A9"/>
    <w:rsid w:val="3E115986"/>
    <w:rsid w:val="3E1A106E"/>
    <w:rsid w:val="3E36303B"/>
    <w:rsid w:val="3E416D36"/>
    <w:rsid w:val="3E526044"/>
    <w:rsid w:val="3E6C2B3A"/>
    <w:rsid w:val="3E8C5311"/>
    <w:rsid w:val="3E8E7E55"/>
    <w:rsid w:val="3EB61473"/>
    <w:rsid w:val="3EC66011"/>
    <w:rsid w:val="3ED93269"/>
    <w:rsid w:val="3F315E6B"/>
    <w:rsid w:val="3F5175E2"/>
    <w:rsid w:val="3F56276A"/>
    <w:rsid w:val="3F6C10E0"/>
    <w:rsid w:val="3F963015"/>
    <w:rsid w:val="3F964D35"/>
    <w:rsid w:val="3FA327ED"/>
    <w:rsid w:val="3FB11738"/>
    <w:rsid w:val="3FB5581B"/>
    <w:rsid w:val="3FC33D05"/>
    <w:rsid w:val="3FF46B18"/>
    <w:rsid w:val="3FF74A2E"/>
    <w:rsid w:val="3FF81676"/>
    <w:rsid w:val="3FFC36E2"/>
    <w:rsid w:val="4005572D"/>
    <w:rsid w:val="402833BA"/>
    <w:rsid w:val="40283C2B"/>
    <w:rsid w:val="40394FD1"/>
    <w:rsid w:val="40425879"/>
    <w:rsid w:val="405C1C05"/>
    <w:rsid w:val="40765D15"/>
    <w:rsid w:val="407E686E"/>
    <w:rsid w:val="407F2DE9"/>
    <w:rsid w:val="40991379"/>
    <w:rsid w:val="409B3C3D"/>
    <w:rsid w:val="40C30D01"/>
    <w:rsid w:val="40F701DF"/>
    <w:rsid w:val="40FD480A"/>
    <w:rsid w:val="412A32F8"/>
    <w:rsid w:val="417F433E"/>
    <w:rsid w:val="419C4043"/>
    <w:rsid w:val="41B7239D"/>
    <w:rsid w:val="41BB7016"/>
    <w:rsid w:val="41FF3845"/>
    <w:rsid w:val="421104A9"/>
    <w:rsid w:val="42143B88"/>
    <w:rsid w:val="42164586"/>
    <w:rsid w:val="425B5DD1"/>
    <w:rsid w:val="4260300C"/>
    <w:rsid w:val="427C799E"/>
    <w:rsid w:val="42800B9B"/>
    <w:rsid w:val="42A06B6C"/>
    <w:rsid w:val="42A27996"/>
    <w:rsid w:val="42AA04E2"/>
    <w:rsid w:val="42EA5650"/>
    <w:rsid w:val="431408DA"/>
    <w:rsid w:val="4331401E"/>
    <w:rsid w:val="434B36A5"/>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211A0F"/>
    <w:rsid w:val="444946CA"/>
    <w:rsid w:val="444B3F54"/>
    <w:rsid w:val="4476661F"/>
    <w:rsid w:val="447E3AC5"/>
    <w:rsid w:val="448E5DEE"/>
    <w:rsid w:val="44A90BAA"/>
    <w:rsid w:val="44B24A20"/>
    <w:rsid w:val="44BC0BEE"/>
    <w:rsid w:val="44BC3FCC"/>
    <w:rsid w:val="44BF6C07"/>
    <w:rsid w:val="44C55A88"/>
    <w:rsid w:val="44FB1C9C"/>
    <w:rsid w:val="454F1836"/>
    <w:rsid w:val="45887B45"/>
    <w:rsid w:val="458B66DF"/>
    <w:rsid w:val="45940F0E"/>
    <w:rsid w:val="45AC5DBA"/>
    <w:rsid w:val="45AD2F03"/>
    <w:rsid w:val="45C647AF"/>
    <w:rsid w:val="45DD529D"/>
    <w:rsid w:val="45E57886"/>
    <w:rsid w:val="46003076"/>
    <w:rsid w:val="46026F63"/>
    <w:rsid w:val="46177E29"/>
    <w:rsid w:val="46205B7F"/>
    <w:rsid w:val="465D501C"/>
    <w:rsid w:val="466367DB"/>
    <w:rsid w:val="46686D18"/>
    <w:rsid w:val="46BF7E28"/>
    <w:rsid w:val="46C3037C"/>
    <w:rsid w:val="46FF15E0"/>
    <w:rsid w:val="4700581C"/>
    <w:rsid w:val="4702516A"/>
    <w:rsid w:val="474A4B33"/>
    <w:rsid w:val="475239DF"/>
    <w:rsid w:val="47665A15"/>
    <w:rsid w:val="47677941"/>
    <w:rsid w:val="477F1660"/>
    <w:rsid w:val="4788232A"/>
    <w:rsid w:val="478B0398"/>
    <w:rsid w:val="478F5D0B"/>
    <w:rsid w:val="47B8724E"/>
    <w:rsid w:val="47ED7BCA"/>
    <w:rsid w:val="48002ED8"/>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4A6F73"/>
    <w:rsid w:val="4A7A4350"/>
    <w:rsid w:val="4A7E2497"/>
    <w:rsid w:val="4A896826"/>
    <w:rsid w:val="4ABF5E17"/>
    <w:rsid w:val="4AC1073B"/>
    <w:rsid w:val="4AD52CE0"/>
    <w:rsid w:val="4AE01A66"/>
    <w:rsid w:val="4AE104D6"/>
    <w:rsid w:val="4AE11158"/>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304B5D"/>
    <w:rsid w:val="4E611B8B"/>
    <w:rsid w:val="4E682F8C"/>
    <w:rsid w:val="4E6A7BB7"/>
    <w:rsid w:val="4F0773B4"/>
    <w:rsid w:val="4F307BB1"/>
    <w:rsid w:val="4F3D562D"/>
    <w:rsid w:val="4F5C4EE0"/>
    <w:rsid w:val="4F6E1972"/>
    <w:rsid w:val="4F943166"/>
    <w:rsid w:val="4FBA02A1"/>
    <w:rsid w:val="4FE7106E"/>
    <w:rsid w:val="4FFE4A87"/>
    <w:rsid w:val="50053943"/>
    <w:rsid w:val="50123D80"/>
    <w:rsid w:val="50374A3C"/>
    <w:rsid w:val="50550E55"/>
    <w:rsid w:val="50901457"/>
    <w:rsid w:val="509F43E4"/>
    <w:rsid w:val="50A54D3E"/>
    <w:rsid w:val="50B82E88"/>
    <w:rsid w:val="50F1402B"/>
    <w:rsid w:val="50FD2AD9"/>
    <w:rsid w:val="51097D9A"/>
    <w:rsid w:val="51237D2E"/>
    <w:rsid w:val="515B06D0"/>
    <w:rsid w:val="51996737"/>
    <w:rsid w:val="51B408B8"/>
    <w:rsid w:val="51B80848"/>
    <w:rsid w:val="51C24B3D"/>
    <w:rsid w:val="51CC0868"/>
    <w:rsid w:val="51D5340F"/>
    <w:rsid w:val="521B651D"/>
    <w:rsid w:val="52382F2A"/>
    <w:rsid w:val="52386E3D"/>
    <w:rsid w:val="523A7DD1"/>
    <w:rsid w:val="523B7711"/>
    <w:rsid w:val="5271774C"/>
    <w:rsid w:val="528645DB"/>
    <w:rsid w:val="52DE008D"/>
    <w:rsid w:val="52EE341E"/>
    <w:rsid w:val="52F37FE6"/>
    <w:rsid w:val="52FC1CA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CD50EA"/>
    <w:rsid w:val="53EB297B"/>
    <w:rsid w:val="53EC4BF7"/>
    <w:rsid w:val="53F758A1"/>
    <w:rsid w:val="540D5A7F"/>
    <w:rsid w:val="542E2BC2"/>
    <w:rsid w:val="54352A96"/>
    <w:rsid w:val="54447390"/>
    <w:rsid w:val="545A24A8"/>
    <w:rsid w:val="545E1D0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A5D64"/>
    <w:rsid w:val="55F01FA1"/>
    <w:rsid w:val="56130B60"/>
    <w:rsid w:val="568E1BDA"/>
    <w:rsid w:val="56990B7C"/>
    <w:rsid w:val="569E1126"/>
    <w:rsid w:val="56B80DEB"/>
    <w:rsid w:val="56E0560F"/>
    <w:rsid w:val="56E06E61"/>
    <w:rsid w:val="56F653FE"/>
    <w:rsid w:val="574448FC"/>
    <w:rsid w:val="575B7AFD"/>
    <w:rsid w:val="57660D3F"/>
    <w:rsid w:val="57D1153D"/>
    <w:rsid w:val="57FA3774"/>
    <w:rsid w:val="58084A3C"/>
    <w:rsid w:val="582772A7"/>
    <w:rsid w:val="58531B77"/>
    <w:rsid w:val="585D2975"/>
    <w:rsid w:val="585F64F9"/>
    <w:rsid w:val="587E3341"/>
    <w:rsid w:val="58CF56D8"/>
    <w:rsid w:val="58D31010"/>
    <w:rsid w:val="58D6741E"/>
    <w:rsid w:val="58DB0535"/>
    <w:rsid w:val="58E62E0E"/>
    <w:rsid w:val="58EA3D0E"/>
    <w:rsid w:val="58F71269"/>
    <w:rsid w:val="58FE045E"/>
    <w:rsid w:val="59561946"/>
    <w:rsid w:val="59670F51"/>
    <w:rsid w:val="596A44F9"/>
    <w:rsid w:val="596C19BB"/>
    <w:rsid w:val="59790BDB"/>
    <w:rsid w:val="597E3F42"/>
    <w:rsid w:val="598653AC"/>
    <w:rsid w:val="59AC3C86"/>
    <w:rsid w:val="59AD43A0"/>
    <w:rsid w:val="59D42FDA"/>
    <w:rsid w:val="59DA4E01"/>
    <w:rsid w:val="59F34F31"/>
    <w:rsid w:val="59F64E82"/>
    <w:rsid w:val="5A0A5DD6"/>
    <w:rsid w:val="5A10435C"/>
    <w:rsid w:val="5A2654CC"/>
    <w:rsid w:val="5A323A44"/>
    <w:rsid w:val="5A395E66"/>
    <w:rsid w:val="5A402DB2"/>
    <w:rsid w:val="5A484352"/>
    <w:rsid w:val="5A5321A5"/>
    <w:rsid w:val="5A8734AF"/>
    <w:rsid w:val="5A9D3E45"/>
    <w:rsid w:val="5AA4101D"/>
    <w:rsid w:val="5AB17576"/>
    <w:rsid w:val="5ABD68E6"/>
    <w:rsid w:val="5ABF73D2"/>
    <w:rsid w:val="5ACB3D8A"/>
    <w:rsid w:val="5AE1508F"/>
    <w:rsid w:val="5AF80256"/>
    <w:rsid w:val="5B110CC9"/>
    <w:rsid w:val="5B1F7B5D"/>
    <w:rsid w:val="5B49552F"/>
    <w:rsid w:val="5B585171"/>
    <w:rsid w:val="5B585B78"/>
    <w:rsid w:val="5B6D62B9"/>
    <w:rsid w:val="5B9A2B59"/>
    <w:rsid w:val="5BC0085A"/>
    <w:rsid w:val="5BF03D58"/>
    <w:rsid w:val="5BF20AFB"/>
    <w:rsid w:val="5C1A6BB2"/>
    <w:rsid w:val="5C37233A"/>
    <w:rsid w:val="5C5355FE"/>
    <w:rsid w:val="5C6F4105"/>
    <w:rsid w:val="5CBB7F6F"/>
    <w:rsid w:val="5CC248CE"/>
    <w:rsid w:val="5D442CB4"/>
    <w:rsid w:val="5D482563"/>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E132AC"/>
    <w:rsid w:val="5EFC1390"/>
    <w:rsid w:val="5EFC3EB6"/>
    <w:rsid w:val="5F03335D"/>
    <w:rsid w:val="5F0368C7"/>
    <w:rsid w:val="5F1544E7"/>
    <w:rsid w:val="5F312D8D"/>
    <w:rsid w:val="5F3C4923"/>
    <w:rsid w:val="5F531FCE"/>
    <w:rsid w:val="5F5A7800"/>
    <w:rsid w:val="5F5F4E16"/>
    <w:rsid w:val="5F8030B6"/>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021B3"/>
    <w:rsid w:val="613253FD"/>
    <w:rsid w:val="61421F29"/>
    <w:rsid w:val="61712185"/>
    <w:rsid w:val="618B7207"/>
    <w:rsid w:val="61A90D68"/>
    <w:rsid w:val="62065A1D"/>
    <w:rsid w:val="621775E2"/>
    <w:rsid w:val="622F7552"/>
    <w:rsid w:val="6250406E"/>
    <w:rsid w:val="627D6831"/>
    <w:rsid w:val="62811B1C"/>
    <w:rsid w:val="6287513D"/>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251DD"/>
    <w:rsid w:val="650242F0"/>
    <w:rsid w:val="65365B2B"/>
    <w:rsid w:val="653F447E"/>
    <w:rsid w:val="65542778"/>
    <w:rsid w:val="655829AF"/>
    <w:rsid w:val="656B70C3"/>
    <w:rsid w:val="658F4798"/>
    <w:rsid w:val="659B1EBA"/>
    <w:rsid w:val="65B461E9"/>
    <w:rsid w:val="65BE39A8"/>
    <w:rsid w:val="65FB3FBE"/>
    <w:rsid w:val="66247D11"/>
    <w:rsid w:val="664D7777"/>
    <w:rsid w:val="66736112"/>
    <w:rsid w:val="667F5B5B"/>
    <w:rsid w:val="6694262A"/>
    <w:rsid w:val="66942BF7"/>
    <w:rsid w:val="66990381"/>
    <w:rsid w:val="66B31B01"/>
    <w:rsid w:val="66CE1E80"/>
    <w:rsid w:val="66E362F9"/>
    <w:rsid w:val="66E47FD9"/>
    <w:rsid w:val="66F127F8"/>
    <w:rsid w:val="67071922"/>
    <w:rsid w:val="673B73C0"/>
    <w:rsid w:val="674743C8"/>
    <w:rsid w:val="675608B6"/>
    <w:rsid w:val="67754402"/>
    <w:rsid w:val="677D54ED"/>
    <w:rsid w:val="678C03A6"/>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90E07C7"/>
    <w:rsid w:val="69236A65"/>
    <w:rsid w:val="692E469B"/>
    <w:rsid w:val="69315C48"/>
    <w:rsid w:val="694019EC"/>
    <w:rsid w:val="69584DB4"/>
    <w:rsid w:val="696C3D80"/>
    <w:rsid w:val="698A5EE4"/>
    <w:rsid w:val="69C2047C"/>
    <w:rsid w:val="69C811ED"/>
    <w:rsid w:val="69D33070"/>
    <w:rsid w:val="69E97E75"/>
    <w:rsid w:val="69FB5D9E"/>
    <w:rsid w:val="6A1A3007"/>
    <w:rsid w:val="6A1E645E"/>
    <w:rsid w:val="6A417049"/>
    <w:rsid w:val="6A7903E5"/>
    <w:rsid w:val="6A975464"/>
    <w:rsid w:val="6AA03032"/>
    <w:rsid w:val="6AA86FEC"/>
    <w:rsid w:val="6ADA6AC4"/>
    <w:rsid w:val="6ADB11D6"/>
    <w:rsid w:val="6B1A2C3C"/>
    <w:rsid w:val="6B31644D"/>
    <w:rsid w:val="6B486C86"/>
    <w:rsid w:val="6B554C72"/>
    <w:rsid w:val="6B69379A"/>
    <w:rsid w:val="6B847AD7"/>
    <w:rsid w:val="6B9A2DF9"/>
    <w:rsid w:val="6BA047ED"/>
    <w:rsid w:val="6BAC4619"/>
    <w:rsid w:val="6BCD2823"/>
    <w:rsid w:val="6BD149A6"/>
    <w:rsid w:val="6BDD15DD"/>
    <w:rsid w:val="6BDF2966"/>
    <w:rsid w:val="6BE86A5F"/>
    <w:rsid w:val="6C234DED"/>
    <w:rsid w:val="6C29198B"/>
    <w:rsid w:val="6C3A67D1"/>
    <w:rsid w:val="6C3D2D5C"/>
    <w:rsid w:val="6C3F2EB6"/>
    <w:rsid w:val="6C4800AA"/>
    <w:rsid w:val="6C4D28F8"/>
    <w:rsid w:val="6C5309A3"/>
    <w:rsid w:val="6C573E9C"/>
    <w:rsid w:val="6C5C23DC"/>
    <w:rsid w:val="6C686061"/>
    <w:rsid w:val="6C6D1126"/>
    <w:rsid w:val="6C986334"/>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7764EF"/>
    <w:rsid w:val="6EAD447C"/>
    <w:rsid w:val="6EAE5472"/>
    <w:rsid w:val="6ECD7F59"/>
    <w:rsid w:val="6EED7C80"/>
    <w:rsid w:val="6EF773A4"/>
    <w:rsid w:val="6F2F2D9E"/>
    <w:rsid w:val="6F4147D9"/>
    <w:rsid w:val="6F5B0D5A"/>
    <w:rsid w:val="6F5C35EA"/>
    <w:rsid w:val="6F6B6A15"/>
    <w:rsid w:val="6F947E4B"/>
    <w:rsid w:val="6FA30BDA"/>
    <w:rsid w:val="6FB21D4C"/>
    <w:rsid w:val="6FB80698"/>
    <w:rsid w:val="700C33CD"/>
    <w:rsid w:val="701021F4"/>
    <w:rsid w:val="7024611F"/>
    <w:rsid w:val="70637B96"/>
    <w:rsid w:val="70722E5B"/>
    <w:rsid w:val="70797317"/>
    <w:rsid w:val="7099044B"/>
    <w:rsid w:val="709D518F"/>
    <w:rsid w:val="70C759D3"/>
    <w:rsid w:val="70CF2B23"/>
    <w:rsid w:val="70D70CB1"/>
    <w:rsid w:val="710952C1"/>
    <w:rsid w:val="71452CD8"/>
    <w:rsid w:val="7158683A"/>
    <w:rsid w:val="715B2F52"/>
    <w:rsid w:val="71764F23"/>
    <w:rsid w:val="717F5B06"/>
    <w:rsid w:val="71946576"/>
    <w:rsid w:val="71967E84"/>
    <w:rsid w:val="71A61873"/>
    <w:rsid w:val="71AF4936"/>
    <w:rsid w:val="71B12351"/>
    <w:rsid w:val="71B7463E"/>
    <w:rsid w:val="71D75D0F"/>
    <w:rsid w:val="72164FA8"/>
    <w:rsid w:val="721919B3"/>
    <w:rsid w:val="721A6098"/>
    <w:rsid w:val="721D18D3"/>
    <w:rsid w:val="72310D1A"/>
    <w:rsid w:val="725D6B54"/>
    <w:rsid w:val="72986FA0"/>
    <w:rsid w:val="72A17C99"/>
    <w:rsid w:val="72AD7197"/>
    <w:rsid w:val="72AF6F7E"/>
    <w:rsid w:val="72CD226C"/>
    <w:rsid w:val="72F71196"/>
    <w:rsid w:val="73047904"/>
    <w:rsid w:val="73253EFA"/>
    <w:rsid w:val="734C1A6A"/>
    <w:rsid w:val="735C5949"/>
    <w:rsid w:val="73671287"/>
    <w:rsid w:val="73737DA5"/>
    <w:rsid w:val="73740A39"/>
    <w:rsid w:val="73887B3E"/>
    <w:rsid w:val="73892412"/>
    <w:rsid w:val="73AF2114"/>
    <w:rsid w:val="73BF51D2"/>
    <w:rsid w:val="73E96BCA"/>
    <w:rsid w:val="73EE4A6E"/>
    <w:rsid w:val="74081451"/>
    <w:rsid w:val="741048BC"/>
    <w:rsid w:val="742E78D4"/>
    <w:rsid w:val="74317498"/>
    <w:rsid w:val="74335A84"/>
    <w:rsid w:val="74676A28"/>
    <w:rsid w:val="747E40B6"/>
    <w:rsid w:val="74AC3224"/>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E8633A"/>
    <w:rsid w:val="75EC17C8"/>
    <w:rsid w:val="763A3DB1"/>
    <w:rsid w:val="763F09AA"/>
    <w:rsid w:val="764F3FCC"/>
    <w:rsid w:val="7650339F"/>
    <w:rsid w:val="76603C9A"/>
    <w:rsid w:val="76967878"/>
    <w:rsid w:val="76BB1CAB"/>
    <w:rsid w:val="76C04050"/>
    <w:rsid w:val="76E65049"/>
    <w:rsid w:val="77076007"/>
    <w:rsid w:val="77170059"/>
    <w:rsid w:val="77413F7E"/>
    <w:rsid w:val="7758241F"/>
    <w:rsid w:val="777A7D22"/>
    <w:rsid w:val="77835654"/>
    <w:rsid w:val="7797109C"/>
    <w:rsid w:val="779A2A38"/>
    <w:rsid w:val="77B4450A"/>
    <w:rsid w:val="77B46E73"/>
    <w:rsid w:val="77D6256A"/>
    <w:rsid w:val="77E37A12"/>
    <w:rsid w:val="77FE3468"/>
    <w:rsid w:val="78250553"/>
    <w:rsid w:val="78430A3F"/>
    <w:rsid w:val="78546F0C"/>
    <w:rsid w:val="78EE1C79"/>
    <w:rsid w:val="78F85605"/>
    <w:rsid w:val="78FA66FA"/>
    <w:rsid w:val="79424F6E"/>
    <w:rsid w:val="7968578C"/>
    <w:rsid w:val="797239CC"/>
    <w:rsid w:val="79831473"/>
    <w:rsid w:val="7999527A"/>
    <w:rsid w:val="79AF76C5"/>
    <w:rsid w:val="79C25EE1"/>
    <w:rsid w:val="79CE2967"/>
    <w:rsid w:val="79EA664C"/>
    <w:rsid w:val="79F9627A"/>
    <w:rsid w:val="7A2F3BBF"/>
    <w:rsid w:val="7A2F459A"/>
    <w:rsid w:val="7A322A39"/>
    <w:rsid w:val="7A517022"/>
    <w:rsid w:val="7A6F5001"/>
    <w:rsid w:val="7A717769"/>
    <w:rsid w:val="7AA2343E"/>
    <w:rsid w:val="7AD60EB8"/>
    <w:rsid w:val="7ADA73A4"/>
    <w:rsid w:val="7AE66B99"/>
    <w:rsid w:val="7AF16E13"/>
    <w:rsid w:val="7AFE508C"/>
    <w:rsid w:val="7B0A3BCA"/>
    <w:rsid w:val="7B345AA9"/>
    <w:rsid w:val="7B4048C1"/>
    <w:rsid w:val="7B73082F"/>
    <w:rsid w:val="7B7B492E"/>
    <w:rsid w:val="7B834152"/>
    <w:rsid w:val="7BB46FBD"/>
    <w:rsid w:val="7BC62E00"/>
    <w:rsid w:val="7BE35E2A"/>
    <w:rsid w:val="7BF66C24"/>
    <w:rsid w:val="7BFA1CC7"/>
    <w:rsid w:val="7BFB70B3"/>
    <w:rsid w:val="7C0251DA"/>
    <w:rsid w:val="7C1052F2"/>
    <w:rsid w:val="7C2668D9"/>
    <w:rsid w:val="7C302AE4"/>
    <w:rsid w:val="7C32497F"/>
    <w:rsid w:val="7C3C69AE"/>
    <w:rsid w:val="7C691974"/>
    <w:rsid w:val="7C8A6570"/>
    <w:rsid w:val="7C8B7390"/>
    <w:rsid w:val="7C9B0D0E"/>
    <w:rsid w:val="7CA42B03"/>
    <w:rsid w:val="7CB8659A"/>
    <w:rsid w:val="7CD2318A"/>
    <w:rsid w:val="7CD2702A"/>
    <w:rsid w:val="7CD34C42"/>
    <w:rsid w:val="7CDE3FF9"/>
    <w:rsid w:val="7CE26EBF"/>
    <w:rsid w:val="7CEE3130"/>
    <w:rsid w:val="7D1F6674"/>
    <w:rsid w:val="7D480B34"/>
    <w:rsid w:val="7D777A3E"/>
    <w:rsid w:val="7D9005BC"/>
    <w:rsid w:val="7D9F0AD0"/>
    <w:rsid w:val="7DD12BB7"/>
    <w:rsid w:val="7DF223A2"/>
    <w:rsid w:val="7DFF0955"/>
    <w:rsid w:val="7E0B750E"/>
    <w:rsid w:val="7E1939E8"/>
    <w:rsid w:val="7E2822EA"/>
    <w:rsid w:val="7E355A7B"/>
    <w:rsid w:val="7E6E3E85"/>
    <w:rsid w:val="7E9C184B"/>
    <w:rsid w:val="7EA72948"/>
    <w:rsid w:val="7EB31EDB"/>
    <w:rsid w:val="7EE70CC0"/>
    <w:rsid w:val="7EEB48DB"/>
    <w:rsid w:val="7EF27444"/>
    <w:rsid w:val="7F185A0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
    <w:link w:val="73"/>
    <w:qFormat/>
    <w:uiPriority w:val="0"/>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customStyle="1" w:styleId="13">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envelope return"/>
    <w:basedOn w:val="1"/>
    <w:unhideWhenUsed/>
    <w:qFormat/>
    <w:uiPriority w:val="99"/>
    <w:pPr>
      <w:snapToGrid w:val="0"/>
    </w:pPr>
    <w:rPr>
      <w:rFonts w:ascii="Arial" w:hAnsi="Arial"/>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11"/>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2"/>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大标题"/>
    <w:basedOn w:val="1"/>
    <w:next w:val="31"/>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41</Pages>
  <Words>18045</Words>
  <Characters>18881</Characters>
  <Lines>50</Lines>
  <Paragraphs>68</Paragraphs>
  <TotalTime>15</TotalTime>
  <ScaleCrop>false</ScaleCrop>
  <LinksUpToDate>false</LinksUpToDate>
  <CharactersWithSpaces>19834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2023-04-13T03:29:40Z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BABF91824EC1475297DB676B0F545D5A</vt:lpwstr>
  </property>
</Properties>
</file>