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驻马店市中心医院GE彩超超声探头采购项目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30"/>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w:t>
      </w:r>
      <w:r>
        <w:rPr>
          <w:rFonts w:hint="eastAsia" w:ascii="宋体" w:hAnsi="宋体" w:cs="宋体"/>
          <w:b/>
          <w:bCs/>
          <w:color w:val="auto"/>
          <w:spacing w:val="40"/>
          <w:sz w:val="34"/>
          <w:szCs w:val="34"/>
          <w:lang w:val="en-US" w:eastAsia="zh-CN"/>
        </w:rPr>
        <w:t>3</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03</w:t>
      </w:r>
      <w:bookmarkStart w:id="91" w:name="_GoBack"/>
      <w:bookmarkEnd w:id="91"/>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lang w:eastAsia="zh-CN"/>
        </w:rPr>
        <w:t>驻马店市中心医院GE彩超超声探头采购项目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cs="宋体"/>
          <w:color w:val="auto"/>
          <w:u w:val="single"/>
          <w:lang w:eastAsia="zh-CN"/>
        </w:rPr>
        <w:t>驻马店市中心医院GE彩超超声探头采购项目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eastAsia="zh-CN"/>
        </w:rPr>
        <w:t>驻马店市中心医院GE彩超超声探头采购项目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13万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19521"/>
      <w:bookmarkStart w:id="5" w:name="_Toc24040"/>
      <w:bookmarkStart w:id="6" w:name="_Toc26079"/>
      <w:bookmarkStart w:id="7" w:name="_Toc27913"/>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lang w:val="en-US" w:eastAsia="zh-CN"/>
        </w:rPr>
        <w:t>6、标段：共</w:t>
      </w:r>
      <w:r>
        <w:rPr>
          <w:rFonts w:hint="eastAsia" w:ascii="宋体" w:hAnsi="宋体" w:cs="宋体"/>
          <w:color w:val="auto"/>
          <w:szCs w:val="21"/>
          <w:highlight w:val="none"/>
          <w:shd w:val="clear" w:color="auto" w:fill="FFFFFF"/>
          <w:lang w:val="en-US" w:eastAsia="zh-CN"/>
        </w:rPr>
        <w:t>一</w:t>
      </w:r>
      <w:r>
        <w:rPr>
          <w:rFonts w:hint="eastAsia" w:ascii="宋体" w:hAnsi="宋体" w:eastAsia="宋体" w:cs="宋体"/>
          <w:color w:val="auto"/>
          <w:szCs w:val="21"/>
          <w:highlight w:val="none"/>
          <w:shd w:val="clear" w:color="auto" w:fill="FFFFFF"/>
          <w:lang w:val="en-US" w:eastAsia="zh-CN"/>
        </w:rPr>
        <w:t>个标段</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23626"/>
      <w:bookmarkStart w:id="11" w:name="_Toc18607"/>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ascii="宋体" w:hAnsi="宋体" w:eastAsia="宋体" w:cs="宋体"/>
          <w:b w:val="0"/>
          <w:bCs w:val="0"/>
          <w:color w:val="auto"/>
          <w:kern w:val="2"/>
          <w:sz w:val="21"/>
          <w:szCs w:val="21"/>
          <w:shd w:val="clear" w:color="auto" w:fill="FFFFFF"/>
          <w:lang w:val="en-US" w:eastAsia="zh-CN" w:bidi="ar-SA"/>
        </w:rPr>
      </w:pPr>
      <w:bookmarkStart w:id="13" w:name="_Toc9562"/>
      <w:bookmarkStart w:id="14" w:name="_Toc30971"/>
      <w:bookmarkStart w:id="15" w:name="_Toc23395"/>
      <w:bookmarkStart w:id="16" w:name="_Toc7823"/>
      <w:bookmarkStart w:id="17" w:name="_Toc30643"/>
      <w:r>
        <w:rPr>
          <w:rFonts w:hint="eastAsia" w:ascii="宋体" w:hAnsi="宋体" w:eastAsia="宋体" w:cs="宋体"/>
          <w:b w:val="0"/>
          <w:bCs w:val="0"/>
          <w:color w:val="auto"/>
          <w:kern w:val="2"/>
          <w:sz w:val="21"/>
          <w:szCs w:val="21"/>
          <w:shd w:val="clear" w:color="auto" w:fill="FFFFFF"/>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2、供应商应提供2021年</w:t>
      </w:r>
      <w:r>
        <w:rPr>
          <w:rFonts w:hint="eastAsia" w:ascii="宋体" w:hAnsi="宋体" w:cs="宋体"/>
          <w:b w:val="0"/>
          <w:bCs w:val="0"/>
          <w:color w:val="auto"/>
          <w:kern w:val="2"/>
          <w:sz w:val="21"/>
          <w:szCs w:val="21"/>
          <w:shd w:val="clear" w:color="auto" w:fill="FFFFFF"/>
          <w:lang w:val="en-US" w:eastAsia="zh-CN" w:bidi="ar-SA"/>
        </w:rPr>
        <w:t>或2022年</w:t>
      </w:r>
      <w:r>
        <w:rPr>
          <w:rFonts w:hint="eastAsia" w:ascii="宋体" w:hAnsi="宋体" w:eastAsia="宋体" w:cs="宋体"/>
          <w:b w:val="0"/>
          <w:bCs w:val="0"/>
          <w:color w:val="auto"/>
          <w:kern w:val="2"/>
          <w:sz w:val="21"/>
          <w:szCs w:val="21"/>
          <w:shd w:val="clear" w:color="auto" w:fill="FFFFFF"/>
          <w:lang w:val="en-US" w:eastAsia="zh-CN" w:bidi="ar-SA"/>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3、具有履行合同所必需的设备和专业技术能力（提供书面声明函）；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4、参加本采购活动前三年内，在经营活动中没有重大违法记录（提供书面声明函）；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5、符合法律、行政法规规定的其他条件；</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6、供应商是生产厂家的须具有《医疗器械生产许可证》；供应商是代理商的须具有《医疗器械经营许可证》或《医疗器械经营备案凭证》。</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bookmarkStart w:id="18" w:name="_Toc15111"/>
      <w:bookmarkStart w:id="19" w:name="_Toc25869"/>
      <w:bookmarkStart w:id="20" w:name="_Toc27480"/>
      <w:bookmarkStart w:id="21" w:name="_Toc15135"/>
      <w:bookmarkStart w:id="22" w:name="_Toc10738"/>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30918"/>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24274"/>
      <w:bookmarkStart w:id="31" w:name="_Toc16291"/>
      <w:bookmarkStart w:id="32" w:name="_Toc3604"/>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联系电话：18595618752</w:t>
      </w:r>
      <w:r>
        <w:rPr>
          <w:rFonts w:hint="eastAsia" w:ascii="宋体" w:hAnsi="宋体" w:cs="宋体"/>
          <w:color w:val="auto"/>
          <w:kern w:val="0"/>
          <w:sz w:val="21"/>
          <w:szCs w:val="21"/>
          <w:highlight w:val="none"/>
          <w:shd w:val="clear" w:color="auto" w:fill="FFFFFF"/>
          <w:lang w:val="en-US" w:eastAsia="zh-CN" w:bidi="ar-SA"/>
        </w:rPr>
        <w:t xml:space="preserve"> / 0396</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3383666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30"/>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w:t>
      </w:r>
      <w:r>
        <w:rPr>
          <w:rFonts w:hint="eastAsia" w:ascii="宋体" w:hAnsi="宋体" w:eastAsia="宋体" w:cs="宋体"/>
          <w:color w:val="auto"/>
          <w:kern w:val="0"/>
          <w:sz w:val="21"/>
          <w:szCs w:val="21"/>
          <w:highlight w:val="none"/>
          <w:shd w:val="clear" w:color="auto" w:fill="FFFFFF"/>
          <w:lang w:val="en-US" w:eastAsia="zh-CN" w:bidi="ar-SA"/>
        </w:rPr>
        <w:t>心医院采购科</w:t>
      </w:r>
    </w:p>
    <w:p>
      <w:pPr>
        <w:pStyle w:val="28"/>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cs="宋体"/>
          <w:color w:val="auto"/>
          <w:lang w:eastAsia="zh-CN"/>
        </w:rPr>
        <w:t>驻马店市中心医院GE彩超超声探头采购项目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资金预算</w:t>
            </w:r>
            <w:r>
              <w:rPr>
                <w:rFonts w:hint="eastAsia" w:ascii="宋体" w:hAnsi="宋体" w:eastAsia="宋体" w:cs="宋体"/>
                <w:b/>
                <w:bCs/>
                <w:color w:val="auto"/>
                <w:sz w:val="21"/>
                <w:szCs w:val="21"/>
                <w:lang w:eastAsia="zh-CN"/>
              </w:rPr>
              <w:t>（元）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jc w:val="center"/>
              <w:rPr>
                <w:rFonts w:hint="default" w:ascii="宋体" w:hAnsi="宋体" w:eastAsia="宋体" w:cs="宋体"/>
                <w:color w:val="auto"/>
                <w:sz w:val="21"/>
                <w:szCs w:val="21"/>
                <w:lang w:val="en-US" w:eastAsia="zh-CN"/>
              </w:rPr>
            </w:pPr>
            <w:r>
              <w:rPr>
                <w:rFonts w:hint="eastAsia" w:ascii="宋体" w:hAnsi="宋体"/>
                <w:sz w:val="24"/>
                <w:szCs w:val="24"/>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jc w:val="center"/>
              <w:rPr>
                <w:rFonts w:hint="eastAsia" w:cs="宋体"/>
                <w:color w:val="auto"/>
                <w:sz w:val="21"/>
                <w:szCs w:val="21"/>
                <w:lang w:val="en-US" w:eastAsia="zh-CN"/>
              </w:rPr>
            </w:pPr>
            <w:r>
              <w:rPr>
                <w:rFonts w:hint="eastAsia" w:ascii="宋体" w:hAnsi="宋体"/>
                <w:sz w:val="24"/>
                <w:szCs w:val="24"/>
                <w:lang w:eastAsia="zh-CN"/>
              </w:rPr>
              <w:t>高频线阵探头</w:t>
            </w:r>
          </w:p>
        </w:tc>
        <w:tc>
          <w:tcPr>
            <w:tcW w:w="1736" w:type="dxa"/>
            <w:tcBorders>
              <w:top w:val="single" w:color="auto" w:sz="4" w:space="0"/>
              <w:left w:val="nil"/>
              <w:bottom w:val="single" w:color="auto" w:sz="4" w:space="0"/>
              <w:right w:val="single" w:color="auto" w:sz="4" w:space="0"/>
            </w:tcBorders>
            <w:vAlign w:val="top"/>
          </w:tcPr>
          <w:p>
            <w:pPr>
              <w:pStyle w:val="13"/>
              <w:jc w:val="center"/>
              <w:rPr>
                <w:rFonts w:hint="eastAsia" w:cs="宋体"/>
                <w:color w:val="auto"/>
                <w:sz w:val="21"/>
                <w:szCs w:val="21"/>
                <w:lang w:val="en-US" w:eastAsia="zh-CN"/>
              </w:rPr>
            </w:pPr>
            <w:r>
              <w:rPr>
                <w:rFonts w:hint="eastAsia" w:ascii="宋体" w:hAnsi="宋体"/>
                <w:sz w:val="24"/>
                <w:szCs w:val="24"/>
                <w:lang w:val="en-US" w:eastAsia="zh-CN"/>
              </w:rPr>
              <w:t>1把</w:t>
            </w:r>
          </w:p>
        </w:tc>
        <w:tc>
          <w:tcPr>
            <w:tcW w:w="1473" w:type="dxa"/>
            <w:tcBorders>
              <w:top w:val="single" w:color="auto" w:sz="4" w:space="0"/>
              <w:left w:val="nil"/>
              <w:bottom w:val="single" w:color="auto" w:sz="4" w:space="0"/>
              <w:right w:val="single" w:color="auto" w:sz="4" w:space="0"/>
            </w:tcBorders>
            <w:vAlign w:val="top"/>
          </w:tcPr>
          <w:p>
            <w:pPr>
              <w:pStyle w:val="13"/>
              <w:ind w:left="0" w:leftChars="0" w:firstLine="0" w:firstLineChars="0"/>
              <w:jc w:val="center"/>
              <w:rPr>
                <w:rFonts w:hint="default" w:cs="宋体"/>
                <w:color w:val="auto"/>
                <w:sz w:val="21"/>
                <w:szCs w:val="21"/>
                <w:lang w:val="en-US" w:eastAsia="zh-CN"/>
              </w:rPr>
            </w:pPr>
            <w:r>
              <w:rPr>
                <w:rFonts w:hint="eastAsia" w:ascii="宋体" w:hAnsi="宋体"/>
                <w:sz w:val="24"/>
                <w:szCs w:val="24"/>
                <w:lang w:val="en-US" w:eastAsia="zh-CN"/>
              </w:rPr>
              <w:t>13万元</w:t>
            </w:r>
          </w:p>
        </w:tc>
        <w:tc>
          <w:tcPr>
            <w:tcW w:w="1554"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color w:val="auto"/>
                <w:sz w:val="21"/>
                <w:szCs w:val="21"/>
                <w:lang w:val="en-US" w:eastAsia="zh-CN"/>
              </w:rPr>
            </w:pPr>
            <w:r>
              <w:rPr>
                <w:rFonts w:hint="eastAsia" w:ascii="宋体" w:hAnsi="宋体"/>
                <w:lang w:eastAsia="zh-CN"/>
              </w:rPr>
              <w:t>自筹</w:t>
            </w:r>
          </w:p>
        </w:tc>
      </w:tr>
    </w:tbl>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 附技术偏离表、评分标准、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从产品最终验收合格之日起，整机保修≥两年，出具相关服务承诺书。2、费用：在保修期内，由于非人为因素货物故障所产生的费用由供应商负责。3、响应：供应商应保证在12小时内对用户提出的问题或故障予以响应及处理。4、供应商应免费提供维护手册、维修手册、软件备份、故障代码表、备件清单、零部件、维修密码等维护维修必需的材料和信息。5、培训：免费提供操作培训和维修培训。</w:t>
      </w:r>
    </w:p>
    <w:p>
      <w:pPr>
        <w:pStyle w:val="13"/>
        <w:ind w:left="953" w:leftChars="267" w:hanging="392" w:hangingChars="187"/>
        <w:jc w:val="center"/>
        <w:rPr>
          <w:rFonts w:hint="eastAsia" w:ascii="宋体" w:hAnsi="宋体"/>
          <w:sz w:val="28"/>
          <w:szCs w:val="28"/>
          <w:u w:val="none"/>
          <w:lang w:eastAsia="zh-CN"/>
        </w:rPr>
      </w:pPr>
      <w:r>
        <w:rPr>
          <w:rFonts w:hint="eastAsia" w:ascii="宋体" w:hAnsi="宋体" w:eastAsia="宋体" w:cs="宋体"/>
          <w:color w:val="auto"/>
          <w:kern w:val="2"/>
          <w:sz w:val="21"/>
          <w:szCs w:val="24"/>
          <w:lang w:val="en-US" w:eastAsia="zh-CN" w:bidi="ar-SA"/>
        </w:rPr>
        <w:br w:type="page"/>
      </w:r>
      <w:r>
        <w:rPr>
          <w:rFonts w:hint="eastAsia" w:ascii="宋体" w:hAnsi="宋体"/>
          <w:sz w:val="28"/>
          <w:szCs w:val="28"/>
          <w:u w:val="none"/>
          <w:lang w:eastAsia="zh-CN"/>
        </w:rPr>
        <w:t>高频线阵探头技术参数</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eastAsia" w:ascii="宋体" w:hAnsi="宋体"/>
          <w:sz w:val="28"/>
          <w:szCs w:val="28"/>
          <w:u w:val="none"/>
          <w:lang w:val="en-US" w:eastAsia="zh-CN"/>
        </w:rPr>
      </w:pPr>
      <w:r>
        <w:rPr>
          <w:rFonts w:hint="eastAsia" w:ascii="宋体" w:hAnsi="宋体"/>
          <w:sz w:val="28"/>
          <w:szCs w:val="28"/>
          <w:u w:val="none"/>
          <w:lang w:val="en-US" w:eastAsia="zh-CN"/>
        </w:rPr>
        <w:t>工作频率：4-16MHz</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探测深度：</w:t>
      </w:r>
      <w:r>
        <w:rPr>
          <w:rFonts w:hint="default" w:ascii="Arial" w:hAnsi="Arial" w:cs="Arial"/>
          <w:sz w:val="28"/>
          <w:szCs w:val="28"/>
          <w:u w:val="none"/>
          <w:lang w:val="en-US" w:eastAsia="zh-CN"/>
        </w:rPr>
        <w:t>≥</w:t>
      </w:r>
      <w:r>
        <w:rPr>
          <w:rFonts w:hint="eastAsia" w:ascii="宋体" w:hAnsi="宋体"/>
          <w:sz w:val="28"/>
          <w:szCs w:val="28"/>
          <w:u w:val="none"/>
          <w:lang w:val="en-US" w:eastAsia="zh-CN"/>
        </w:rPr>
        <w:t>50mm</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声透镜大小：60.7mm</w:t>
      </w:r>
      <w:r>
        <w:rPr>
          <w:rFonts w:hint="default" w:ascii="Arial" w:hAnsi="Arial" w:cs="Arial"/>
          <w:sz w:val="28"/>
          <w:szCs w:val="28"/>
          <w:u w:val="none"/>
          <w:lang w:val="en-US" w:eastAsia="zh-CN"/>
        </w:rPr>
        <w:t>×</w:t>
      </w:r>
      <w:r>
        <w:rPr>
          <w:rFonts w:hint="eastAsia" w:ascii="宋体" w:hAnsi="宋体"/>
          <w:sz w:val="28"/>
          <w:szCs w:val="28"/>
          <w:u w:val="none"/>
          <w:lang w:val="en-US" w:eastAsia="zh-CN"/>
        </w:rPr>
        <w:t>16mm</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侧向分辨率：</w:t>
      </w:r>
      <w:r>
        <w:rPr>
          <w:rFonts w:hint="default" w:ascii="Arial" w:hAnsi="Arial" w:cs="Arial"/>
          <w:sz w:val="28"/>
          <w:szCs w:val="28"/>
          <w:u w:val="none"/>
          <w:lang w:val="en-US" w:eastAsia="zh-CN"/>
        </w:rPr>
        <w:t>≤</w:t>
      </w:r>
      <w:r>
        <w:rPr>
          <w:rFonts w:hint="eastAsia" w:ascii="宋体" w:hAnsi="宋体"/>
          <w:sz w:val="28"/>
          <w:szCs w:val="28"/>
          <w:u w:val="none"/>
          <w:lang w:val="en-US" w:eastAsia="zh-CN"/>
        </w:rPr>
        <w:t>1mm（深度</w:t>
      </w:r>
      <w:r>
        <w:rPr>
          <w:rFonts w:hint="default" w:ascii="Arial" w:hAnsi="Arial" w:cs="Arial"/>
          <w:sz w:val="28"/>
          <w:szCs w:val="28"/>
          <w:u w:val="none"/>
          <w:lang w:val="en-US" w:eastAsia="zh-CN"/>
        </w:rPr>
        <w:t>≤</w:t>
      </w:r>
      <w:r>
        <w:rPr>
          <w:rFonts w:hint="eastAsia" w:ascii="宋体" w:hAnsi="宋体"/>
          <w:sz w:val="28"/>
          <w:szCs w:val="28"/>
          <w:u w:val="none"/>
          <w:lang w:val="en-US" w:eastAsia="zh-CN"/>
        </w:rPr>
        <w:t>30mm）</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轴向分辨率：</w:t>
      </w:r>
      <w:r>
        <w:rPr>
          <w:rFonts w:hint="default" w:ascii="Arial" w:hAnsi="Arial" w:cs="Arial"/>
          <w:sz w:val="28"/>
          <w:szCs w:val="28"/>
          <w:u w:val="none"/>
          <w:lang w:val="en-US" w:eastAsia="zh-CN"/>
        </w:rPr>
        <w:t>≤</w:t>
      </w:r>
      <w:r>
        <w:rPr>
          <w:rFonts w:hint="eastAsia" w:ascii="宋体" w:hAnsi="宋体"/>
          <w:sz w:val="28"/>
          <w:szCs w:val="28"/>
          <w:u w:val="none"/>
          <w:lang w:val="en-US" w:eastAsia="zh-CN"/>
        </w:rPr>
        <w:t>0.5mm(深度</w:t>
      </w:r>
      <w:r>
        <w:rPr>
          <w:rFonts w:hint="default" w:ascii="Arial" w:hAnsi="Arial" w:cs="Arial"/>
          <w:sz w:val="28"/>
          <w:szCs w:val="28"/>
          <w:u w:val="none"/>
          <w:lang w:val="en-US" w:eastAsia="zh-CN"/>
        </w:rPr>
        <w:t>≤</w:t>
      </w:r>
      <w:r>
        <w:rPr>
          <w:rFonts w:hint="eastAsia" w:ascii="宋体" w:hAnsi="宋体"/>
          <w:sz w:val="28"/>
          <w:szCs w:val="28"/>
          <w:u w:val="none"/>
          <w:lang w:val="en-US" w:eastAsia="zh-CN"/>
        </w:rPr>
        <w:t>40mm)</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盲区：</w:t>
      </w:r>
      <w:r>
        <w:rPr>
          <w:rFonts w:hint="default" w:ascii="Arial" w:hAnsi="Arial" w:cs="Arial"/>
          <w:sz w:val="28"/>
          <w:szCs w:val="28"/>
          <w:u w:val="none"/>
          <w:lang w:val="en-US" w:eastAsia="zh-CN"/>
        </w:rPr>
        <w:t>≤</w:t>
      </w:r>
      <w:r>
        <w:rPr>
          <w:rFonts w:hint="eastAsia" w:ascii="宋体" w:hAnsi="宋体"/>
          <w:sz w:val="28"/>
          <w:szCs w:val="28"/>
          <w:u w:val="none"/>
          <w:lang w:val="en-US" w:eastAsia="zh-CN"/>
        </w:rPr>
        <w:t>2mm</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切片厚度：</w:t>
      </w:r>
      <w:r>
        <w:rPr>
          <w:rFonts w:hint="default" w:ascii="Arial" w:hAnsi="Arial" w:cs="Arial"/>
          <w:sz w:val="28"/>
          <w:szCs w:val="28"/>
          <w:u w:val="none"/>
          <w:lang w:val="en-US" w:eastAsia="zh-CN"/>
        </w:rPr>
        <w:t>≤</w:t>
      </w:r>
      <w:r>
        <w:rPr>
          <w:rFonts w:hint="eastAsia" w:ascii="宋体" w:hAnsi="宋体"/>
          <w:sz w:val="28"/>
          <w:szCs w:val="28"/>
          <w:u w:val="none"/>
          <w:lang w:val="en-US" w:eastAsia="zh-CN"/>
        </w:rPr>
        <w:t>5mm</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横向几何位置精度：</w:t>
      </w:r>
      <w:r>
        <w:rPr>
          <w:rFonts w:hint="default" w:ascii="Arial" w:hAnsi="Arial" w:cs="Arial"/>
          <w:sz w:val="28"/>
          <w:szCs w:val="28"/>
          <w:u w:val="none"/>
          <w:lang w:val="en-US" w:eastAsia="zh-CN"/>
        </w:rPr>
        <w:t>≤</w:t>
      </w:r>
      <w:r>
        <w:rPr>
          <w:rFonts w:hint="eastAsia" w:ascii="宋体" w:hAnsi="宋体"/>
          <w:sz w:val="28"/>
          <w:szCs w:val="28"/>
          <w:u w:val="none"/>
          <w:lang w:val="en-US" w:eastAsia="zh-CN"/>
        </w:rPr>
        <w:t>5</w:t>
      </w:r>
      <w:r>
        <w:rPr>
          <w:rFonts w:hint="eastAsia" w:ascii="宋体" w:hAnsi="宋体" w:eastAsia="宋体" w:cs="宋体"/>
          <w:sz w:val="28"/>
          <w:szCs w:val="28"/>
          <w:u w:val="none"/>
          <w:lang w:val="en-US" w:eastAsia="zh-CN"/>
        </w:rPr>
        <w:t>％</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纵向几何位置精度：</w:t>
      </w:r>
      <w:r>
        <w:rPr>
          <w:rFonts w:hint="default" w:ascii="Arial" w:hAnsi="Arial" w:cs="Arial"/>
          <w:sz w:val="28"/>
          <w:szCs w:val="28"/>
          <w:u w:val="none"/>
          <w:lang w:val="en-US" w:eastAsia="zh-CN"/>
        </w:rPr>
        <w:t>≤</w:t>
      </w:r>
      <w:r>
        <w:rPr>
          <w:rFonts w:hint="eastAsia" w:ascii="宋体" w:hAnsi="宋体"/>
          <w:sz w:val="28"/>
          <w:szCs w:val="28"/>
          <w:u w:val="none"/>
          <w:lang w:val="en-US" w:eastAsia="zh-CN"/>
        </w:rPr>
        <w:t>5</w:t>
      </w:r>
      <w:r>
        <w:rPr>
          <w:rFonts w:hint="eastAsia" w:ascii="宋体" w:hAnsi="宋体" w:eastAsia="宋体" w:cs="宋体"/>
          <w:sz w:val="28"/>
          <w:szCs w:val="28"/>
          <w:u w:val="none"/>
          <w:lang w:val="en-US" w:eastAsia="zh-CN"/>
        </w:rPr>
        <w:t>％</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B型频率：8.33-11.11MHz</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多普勒频率：6.25-9.09MHz</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谐波频率：5.00-6.25MHz</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探头接口形式：触点式接口</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ind w:left="1084" w:leftChars="267" w:hanging="523" w:hangingChars="187"/>
        <w:jc w:val="left"/>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探头线缆长度：</w:t>
      </w:r>
      <w:r>
        <w:rPr>
          <w:rFonts w:hint="default" w:ascii="Arial" w:hAnsi="Arial" w:cs="Arial"/>
          <w:sz w:val="28"/>
          <w:szCs w:val="28"/>
          <w:u w:val="none"/>
          <w:lang w:val="en-US" w:eastAsia="zh-CN"/>
        </w:rPr>
        <w:t>≥</w:t>
      </w:r>
      <w:r>
        <w:rPr>
          <w:rFonts w:hint="eastAsia" w:ascii="宋体" w:hAnsi="宋体"/>
          <w:sz w:val="28"/>
          <w:szCs w:val="28"/>
          <w:u w:val="none"/>
          <w:lang w:val="en-US" w:eastAsia="zh-CN"/>
        </w:rPr>
        <w:t>1.5mm</w:t>
      </w:r>
    </w:p>
    <w:p>
      <w:pPr>
        <w:pStyle w:val="13"/>
        <w:ind w:left="0" w:leftChars="0" w:firstLine="0" w:firstLineChars="0"/>
        <w:rPr>
          <w:rFonts w:hint="eastAsia" w:ascii="宋体" w:hAnsi="宋体"/>
          <w:sz w:val="28"/>
          <w:szCs w:val="28"/>
          <w:u w:val="single"/>
        </w:rPr>
      </w:pPr>
    </w:p>
    <w:p>
      <w:pPr>
        <w:snapToGrid/>
        <w:spacing w:before="0" w:beforeAutospacing="0" w:after="0" w:afterAutospacing="0" w:line="360" w:lineRule="auto"/>
        <w:jc w:val="both"/>
        <w:textAlignment w:val="baseline"/>
        <w:rPr>
          <w:rStyle w:val="85"/>
          <w:rFonts w:ascii="宋体" w:hAnsi="宋体" w:cs="Arial"/>
          <w:b w:val="0"/>
          <w:bCs/>
          <w:i w:val="0"/>
          <w:iCs/>
          <w:caps w:val="0"/>
          <w:spacing w:val="0"/>
          <w:w w:val="100"/>
          <w:kern w:val="2"/>
          <w:sz w:val="24"/>
          <w:szCs w:val="24"/>
          <w:lang w:val="en-US" w:eastAsia="zh-CN" w:bidi="ar-SA"/>
        </w:rPr>
      </w:pPr>
    </w:p>
    <w:p>
      <w:pPr>
        <w:pStyle w:val="13"/>
        <w:numPr>
          <w:ilvl w:val="0"/>
          <w:numId w:val="0"/>
        </w:numPr>
        <w:spacing w:after="0"/>
        <w:jc w:val="left"/>
        <w:rPr>
          <w:rFonts w:hint="eastAsia" w:ascii="宋体" w:hAnsi="宋体" w:eastAsia="宋体" w:cs="宋体"/>
          <w:color w:val="auto"/>
          <w:kern w:val="2"/>
          <w:sz w:val="21"/>
          <w:szCs w:val="24"/>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color w:val="auto"/>
              </w:rPr>
            </w:pPr>
            <w:r>
              <w:rPr>
                <w:rFonts w:hint="eastAsia"/>
                <w:color w:val="auto"/>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color w:val="auto"/>
                <w:lang w:val="en-US" w:eastAsia="zh-CN"/>
              </w:rPr>
              <w:t>2</w:t>
            </w:r>
            <w:r>
              <w:rPr>
                <w:rFonts w:hint="eastAsia"/>
                <w:color w:val="auto"/>
              </w:rPr>
              <w:t>、</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color w:val="auto"/>
              </w:rPr>
            </w:pPr>
            <w:r>
              <w:rPr>
                <w:rFonts w:hint="eastAsia"/>
                <w:color w:val="auto"/>
                <w:lang w:val="en-US" w:eastAsia="zh-CN"/>
              </w:rPr>
              <w:t>3</w:t>
            </w:r>
            <w:r>
              <w:rPr>
                <w:rFonts w:hint="eastAsia"/>
                <w:color w:val="auto"/>
              </w:rPr>
              <w:t>、供应商应根据</w:t>
            </w:r>
            <w:r>
              <w:rPr>
                <w:rFonts w:hint="eastAsia"/>
                <w:color w:val="auto"/>
                <w:lang w:eastAsia="zh-CN"/>
              </w:rPr>
              <w:t>采购</w:t>
            </w:r>
            <w:r>
              <w:rPr>
                <w:rFonts w:hint="eastAsia"/>
                <w:color w:val="auto"/>
              </w:rPr>
              <w:t>文件的要求提供技术响应表、商务响应表等内容以对</w:t>
            </w:r>
            <w:r>
              <w:rPr>
                <w:rFonts w:hint="eastAsia"/>
                <w:color w:val="auto"/>
                <w:lang w:eastAsia="zh-CN"/>
              </w:rPr>
              <w:t>采购</w:t>
            </w:r>
            <w:r>
              <w:rPr>
                <w:rFonts w:hint="eastAsia"/>
                <w:color w:val="auto"/>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lang w:eastAsia="zh-CN"/>
              </w:rPr>
              <w:t>驻马店市中心医院GE彩超超声探头采购项目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13万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13万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b w:val="0"/>
          <w:bCs w:val="0"/>
          <w:color w:val="auto"/>
          <w:kern w:val="2"/>
          <w:sz w:val="21"/>
          <w:szCs w:val="21"/>
          <w:shd w:val="clear" w:color="auto" w:fill="FFFFFF"/>
          <w:lang w:val="en-US" w:eastAsia="zh-CN" w:bidi="ar-SA"/>
        </w:rPr>
        <w:t>供应商应提供2021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 xml:space="preserve">4.5 </w:t>
      </w:r>
      <w:r>
        <w:rPr>
          <w:rFonts w:hint="eastAsia"/>
          <w:color w:val="auto"/>
          <w:highlight w:val="none"/>
          <w:lang w:val="en-US" w:eastAsia="zh-CN"/>
        </w:rPr>
        <w:t>供应商是生产厂家的须具有《医疗器械生产许可证》；供应商是代理商的须具有《医疗器械经营许可证》或《医疗器械经营备案凭证》</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4.6 </w:t>
      </w:r>
      <w:r>
        <w:rPr>
          <w:rFonts w:hint="eastAsia"/>
          <w:color w:val="auto"/>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 代表人（单位负责人）或其授权的代理人签字。</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lang w:eastAsia="zh-CN"/>
              </w:rPr>
              <w:t>第二章  采购需求</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cs="宋体"/>
                <w:b w:val="0"/>
                <w:bCs w:val="0"/>
                <w:color w:val="auto"/>
                <w:kern w:val="0"/>
                <w:sz w:val="21"/>
                <w:szCs w:val="21"/>
                <w:highlight w:val="none"/>
                <w:lang w:val="en-US" w:eastAsia="zh-CN"/>
              </w:rPr>
              <w:t>的响应</w:t>
            </w:r>
            <w:r>
              <w:rPr>
                <w:rFonts w:hint="eastAsia" w:ascii="宋体" w:hAnsi="宋体" w:eastAsia="宋体" w:cs="宋体"/>
                <w:b w:val="0"/>
                <w:bCs w:val="0"/>
                <w:color w:val="auto"/>
                <w:kern w:val="0"/>
                <w:sz w:val="21"/>
                <w:szCs w:val="21"/>
                <w:highlight w:val="none"/>
                <w:lang w:eastAsia="zh-CN"/>
              </w:rPr>
              <w:t>、性能及产品功能等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若投标设备技术指标与</w:t>
            </w:r>
            <w:r>
              <w:rPr>
                <w:rFonts w:hint="eastAsia" w:ascii="宋体" w:hAnsi="宋体" w:cs="宋体"/>
                <w:b w:val="0"/>
                <w:bCs w:val="0"/>
                <w:color w:val="auto"/>
                <w:sz w:val="21"/>
                <w:szCs w:val="21"/>
                <w:highlight w:val="none"/>
                <w:lang w:val="en-US" w:eastAsia="zh-CN"/>
              </w:rPr>
              <w:t>磋商文件中</w:t>
            </w:r>
            <w:r>
              <w:rPr>
                <w:rFonts w:hint="eastAsia" w:ascii="宋体" w:hAnsi="宋体" w:eastAsia="宋体" w:cs="宋体"/>
                <w:b w:val="0"/>
                <w:bCs w:val="0"/>
                <w:color w:val="auto"/>
                <w:sz w:val="21"/>
                <w:szCs w:val="21"/>
                <w:highlight w:val="none"/>
              </w:rPr>
              <w:t>技术参数相比出现负偏离者或提供证明文件不符</w:t>
            </w:r>
            <w:r>
              <w:rPr>
                <w:rFonts w:hint="eastAsia" w:ascii="宋体" w:hAnsi="宋体" w:eastAsia="宋体" w:cs="宋体"/>
                <w:b w:val="0"/>
                <w:bCs w:val="0"/>
                <w:color w:val="auto"/>
                <w:sz w:val="21"/>
                <w:szCs w:val="21"/>
                <w:highlight w:val="none"/>
                <w:lang w:val="en-US" w:eastAsia="zh-CN"/>
              </w:rPr>
              <w:t>或未按要求提供证明材料</w:t>
            </w:r>
            <w:r>
              <w:rPr>
                <w:rFonts w:hint="eastAsia" w:ascii="宋体" w:hAnsi="宋体" w:eastAsia="宋体" w:cs="宋体"/>
                <w:b w:val="0"/>
                <w:bCs w:val="0"/>
                <w:color w:val="auto"/>
                <w:sz w:val="21"/>
                <w:szCs w:val="21"/>
                <w:highlight w:val="none"/>
              </w:rPr>
              <w:t>，每项扣除技术分</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扣完为止</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c>
          <w:tcPr>
            <w:tcW w:w="214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质保期</w:t>
            </w:r>
          </w:p>
        </w:tc>
        <w:tc>
          <w:tcPr>
            <w:tcW w:w="6103"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质保期超过磋商文件规定的，每增加一年得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2140" w:type="dxa"/>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类似业绩</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自 2020年 1 月 1 日至今（近三年）已完成的类似项目(</w:t>
            </w:r>
            <w:r>
              <w:rPr>
                <w:rFonts w:hint="eastAsia" w:ascii="宋体" w:hAnsi="宋体" w:cs="宋体"/>
                <w:sz w:val="24"/>
                <w:szCs w:val="32"/>
              </w:rPr>
              <w:t>以合同文件为准</w:t>
            </w:r>
            <w:r>
              <w:rPr>
                <w:rFonts w:hint="eastAsia" w:ascii="宋体" w:hAnsi="宋体" w:cs="宋体"/>
                <w:b w:val="0"/>
                <w:bCs w:val="0"/>
                <w:color w:val="auto"/>
                <w:kern w:val="0"/>
                <w:sz w:val="21"/>
                <w:szCs w:val="21"/>
                <w:highlight w:val="none"/>
                <w:lang w:val="en-US" w:eastAsia="zh-CN"/>
              </w:rPr>
              <w:t>），</w:t>
            </w:r>
            <w:r>
              <w:rPr>
                <w:rFonts w:hint="eastAsia" w:ascii="宋体" w:hAnsi="宋体" w:cs="宋体"/>
                <w:sz w:val="24"/>
                <w:szCs w:val="32"/>
              </w:rPr>
              <w:t>每提供一份得</w:t>
            </w:r>
            <w:r>
              <w:rPr>
                <w:rFonts w:hint="eastAsia" w:ascii="宋体" w:hAnsi="宋体" w:cs="宋体"/>
                <w:sz w:val="24"/>
                <w:szCs w:val="32"/>
                <w:lang w:val="en-US" w:eastAsia="zh-CN"/>
              </w:rPr>
              <w:t>3</w:t>
            </w:r>
            <w:r>
              <w:rPr>
                <w:rFonts w:hint="eastAsia" w:ascii="宋体" w:hAnsi="宋体" w:cs="宋体"/>
                <w:sz w:val="24"/>
                <w:szCs w:val="32"/>
              </w:rPr>
              <w:t>分，最多得</w:t>
            </w:r>
            <w:r>
              <w:rPr>
                <w:rFonts w:hint="eastAsia" w:ascii="宋体" w:hAnsi="宋体" w:cs="宋体"/>
                <w:sz w:val="24"/>
                <w:szCs w:val="32"/>
                <w:lang w:val="en-US" w:eastAsia="zh-CN"/>
              </w:rPr>
              <w:t>6</w:t>
            </w:r>
            <w:r>
              <w:rPr>
                <w:rFonts w:hint="eastAsia" w:ascii="宋体" w:hAnsi="宋体" w:cs="宋体"/>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w:t>
            </w:r>
            <w:r>
              <w:rPr>
                <w:rFonts w:hint="eastAsia" w:ascii="宋体" w:hAnsi="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售后服务方案</w:t>
            </w:r>
            <w:r>
              <w:rPr>
                <w:rFonts w:hint="eastAsia" w:ascii="宋体" w:hAnsi="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安全质量保障措施等内容</w:t>
            </w:r>
            <w:r>
              <w:rPr>
                <w:rFonts w:hint="eastAsia" w:ascii="宋体" w:hAnsi="宋体" w:cs="宋体"/>
                <w:b w:val="0"/>
                <w:bCs w:val="0"/>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售后服务</w:t>
            </w:r>
            <w:r>
              <w:rPr>
                <w:rFonts w:hint="eastAsia" w:ascii="宋体" w:hAnsi="宋体" w:cs="宋体"/>
                <w:color w:val="auto"/>
                <w:kern w:val="2"/>
                <w:sz w:val="21"/>
                <w:szCs w:val="21"/>
                <w:highlight w:val="none"/>
                <w:lang w:eastAsia="zh-CN"/>
              </w:rPr>
              <w:t>内容具体</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合理</w:t>
            </w:r>
            <w:r>
              <w:rPr>
                <w:rFonts w:hint="eastAsia" w:ascii="宋体" w:hAnsi="宋体" w:eastAsia="宋体" w:cs="宋体"/>
                <w:color w:val="auto"/>
                <w:sz w:val="21"/>
                <w:szCs w:val="21"/>
                <w:highlight w:val="none"/>
              </w:rPr>
              <w:t>性程度</w:t>
            </w:r>
            <w:r>
              <w:rPr>
                <w:rFonts w:hint="eastAsia" w:ascii="宋体" w:hAnsi="宋体" w:cs="宋体"/>
                <w:color w:val="auto"/>
                <w:kern w:val="2"/>
                <w:sz w:val="21"/>
                <w:szCs w:val="21"/>
                <w:highlight w:val="none"/>
                <w:lang w:eastAsia="zh-CN"/>
              </w:rPr>
              <w:t>强得</w:t>
            </w:r>
            <w:r>
              <w:rPr>
                <w:rFonts w:hint="eastAsia" w:ascii="宋体" w:hAnsi="宋体" w:cs="宋体"/>
                <w:color w:val="auto"/>
                <w:sz w:val="21"/>
                <w:szCs w:val="21"/>
                <w:highlight w:val="none"/>
                <w:lang w:val="en-US" w:eastAsia="zh-CN"/>
              </w:rPr>
              <w:t>20</w:t>
            </w:r>
            <w:r>
              <w:rPr>
                <w:rFonts w:hint="eastAsia" w:ascii="宋体" w:hAnsi="宋体" w:cs="宋体"/>
                <w:color w:val="auto"/>
                <w:kern w:val="2"/>
                <w:sz w:val="21"/>
                <w:szCs w:val="21"/>
                <w:highlight w:val="none"/>
                <w:lang w:val="en-US" w:eastAsia="zh-CN"/>
              </w:rPr>
              <w:t>分，</w:t>
            </w:r>
            <w:r>
              <w:rPr>
                <w:rFonts w:hint="eastAsia" w:ascii="宋体" w:hAnsi="宋体" w:cs="宋体"/>
                <w:color w:val="auto"/>
                <w:kern w:val="2"/>
                <w:sz w:val="21"/>
                <w:szCs w:val="21"/>
                <w:highlight w:val="none"/>
                <w:lang w:eastAsia="zh-CN"/>
              </w:rPr>
              <w:t>具体</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合理</w:t>
            </w:r>
            <w:r>
              <w:rPr>
                <w:rFonts w:hint="eastAsia" w:ascii="宋体" w:hAnsi="宋体" w:eastAsia="宋体" w:cs="宋体"/>
                <w:color w:val="auto"/>
                <w:sz w:val="21"/>
                <w:szCs w:val="21"/>
                <w:highlight w:val="none"/>
              </w:rPr>
              <w:t>性程度</w:t>
            </w:r>
            <w:r>
              <w:rPr>
                <w:rFonts w:hint="eastAsia" w:ascii="宋体" w:hAnsi="宋体" w:cs="宋体"/>
                <w:color w:val="auto"/>
                <w:kern w:val="2"/>
                <w:sz w:val="21"/>
                <w:szCs w:val="21"/>
                <w:highlight w:val="none"/>
                <w:lang w:val="en-US" w:eastAsia="zh-CN"/>
              </w:rPr>
              <w:t>一般得</w:t>
            </w:r>
            <w:r>
              <w:rPr>
                <w:rFonts w:hint="eastAsia" w:ascii="宋体" w:hAnsi="宋体" w:cs="宋体"/>
                <w:color w:val="auto"/>
                <w:sz w:val="21"/>
                <w:szCs w:val="21"/>
                <w:highlight w:val="none"/>
                <w:lang w:val="en-US" w:eastAsia="zh-CN"/>
              </w:rPr>
              <w:t>10</w:t>
            </w:r>
            <w:r>
              <w:rPr>
                <w:rFonts w:hint="eastAsia" w:ascii="宋体" w:hAnsi="宋体" w:cs="宋体"/>
                <w:color w:val="auto"/>
                <w:kern w:val="2"/>
                <w:sz w:val="21"/>
                <w:szCs w:val="21"/>
                <w:highlight w:val="none"/>
                <w:lang w:val="en-US" w:eastAsia="zh-CN"/>
              </w:rPr>
              <w:t>分，</w:t>
            </w:r>
            <w:r>
              <w:rPr>
                <w:rFonts w:hint="eastAsia" w:ascii="宋体" w:hAnsi="宋体" w:cs="宋体"/>
                <w:color w:val="auto"/>
                <w:kern w:val="2"/>
                <w:sz w:val="21"/>
                <w:szCs w:val="21"/>
                <w:highlight w:val="none"/>
                <w:lang w:eastAsia="zh-CN"/>
              </w:rPr>
              <w:t>具体</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合理</w:t>
            </w:r>
            <w:r>
              <w:rPr>
                <w:rFonts w:hint="eastAsia" w:ascii="宋体" w:hAnsi="宋体" w:eastAsia="宋体" w:cs="宋体"/>
                <w:color w:val="auto"/>
                <w:sz w:val="21"/>
                <w:szCs w:val="21"/>
                <w:highlight w:val="none"/>
              </w:rPr>
              <w:t>性程度</w:t>
            </w:r>
            <w:r>
              <w:rPr>
                <w:rFonts w:hint="eastAsia" w:ascii="宋体" w:hAnsi="宋体" w:cs="宋体"/>
                <w:color w:val="auto"/>
                <w:kern w:val="2"/>
                <w:sz w:val="21"/>
                <w:szCs w:val="21"/>
                <w:highlight w:val="none"/>
                <w:lang w:val="en-US" w:eastAsia="zh-CN"/>
              </w:rPr>
              <w:t>差得</w:t>
            </w:r>
            <w:r>
              <w:rPr>
                <w:rFonts w:hint="eastAsia" w:ascii="宋体" w:hAnsi="宋体" w:cs="宋体"/>
                <w:color w:val="auto"/>
                <w:sz w:val="21"/>
                <w:szCs w:val="21"/>
                <w:highlight w:val="none"/>
                <w:lang w:val="en-US" w:eastAsia="zh-CN"/>
              </w:rPr>
              <w:t>5</w:t>
            </w:r>
            <w:r>
              <w:rPr>
                <w:rFonts w:hint="eastAsia" w:ascii="宋体" w:hAnsi="宋体" w:cs="宋体"/>
                <w:color w:val="auto"/>
                <w:kern w:val="2"/>
                <w:sz w:val="21"/>
                <w:szCs w:val="21"/>
                <w:highlight w:val="none"/>
                <w:lang w:val="en-US" w:eastAsia="zh-CN"/>
              </w:rPr>
              <w:t>分，</w:t>
            </w:r>
            <w:r>
              <w:rPr>
                <w:rFonts w:hint="eastAsia" w:ascii="宋体" w:hAnsi="宋体" w:eastAsia="宋体" w:cs="宋体"/>
                <w:color w:val="auto"/>
                <w:sz w:val="21"/>
                <w:szCs w:val="21"/>
                <w:highlight w:val="none"/>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rPr>
          <w:color w:val="auto"/>
        </w:rPr>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singl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outlineLvl w:val="9"/>
        <w:rPr>
          <w:rFonts w:cs="宋体"/>
          <w:b/>
          <w:color w:val="auto"/>
          <w:kern w:val="0"/>
          <w:sz w:val="24"/>
          <w:highlight w:val="none"/>
        </w:rPr>
      </w:pPr>
    </w:p>
    <w:p>
      <w:pPr>
        <w:widowControl/>
        <w:wordWrap w:val="0"/>
        <w:spacing w:line="460" w:lineRule="exact"/>
        <w:jc w:val="left"/>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color w:val="auto"/>
        </w:rPr>
      </w:pPr>
    </w:p>
    <w:p>
      <w:pPr>
        <w:outlineLvl w:val="9"/>
        <w:rPr>
          <w:rFonts w:cs="宋体"/>
          <w:b/>
          <w:color w:val="auto"/>
          <w:kern w:val="0"/>
          <w:sz w:val="24"/>
          <w:highlight w:val="none"/>
        </w:rPr>
      </w:pPr>
      <w:r>
        <w:rPr>
          <w:rFonts w:cs="宋体"/>
          <w:b/>
          <w:color w:val="auto"/>
          <w:kern w:val="0"/>
          <w:sz w:val="24"/>
          <w:highlight w:val="none"/>
        </w:rPr>
        <w:br w:type="page"/>
      </w:r>
    </w:p>
    <w:p>
      <w:pPr>
        <w:pStyle w:val="30"/>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widowControl/>
        <w:shd w:val="clear" w:color="auto" w:fill="auto"/>
        <w:ind w:firstLine="360" w:firstLineChars="150"/>
        <w:jc w:val="left"/>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rPr>
      </w:pPr>
    </w:p>
    <w:p>
      <w:pPr>
        <w:pStyle w:val="48"/>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cs="宋体"/>
        <w:color w:val="auto"/>
        <w:lang w:eastAsia="zh-CN"/>
      </w:rPr>
      <w:t>驻马店市中心医院GE彩超超声探头采购项目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驻马店市中心医院GE彩超超声探头采购项目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7CA08"/>
    <w:multiLevelType w:val="singleLevel"/>
    <w:tmpl w:val="90C7CA08"/>
    <w:lvl w:ilvl="0" w:tentative="0">
      <w:start w:val="1"/>
      <w:numFmt w:val="decimal"/>
      <w:suff w:val="nothing"/>
      <w:lvlText w:val="%1、"/>
      <w:lvlJc w:val="left"/>
    </w:lvl>
  </w:abstractNum>
  <w:abstractNum w:abstractNumId="1">
    <w:nsid w:val="93C3247B"/>
    <w:multiLevelType w:val="singleLevel"/>
    <w:tmpl w:val="93C3247B"/>
    <w:lvl w:ilvl="0" w:tentative="0">
      <w:start w:val="2"/>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4B9160E"/>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D13A85"/>
    <w:rsid w:val="0AE033D9"/>
    <w:rsid w:val="0B091954"/>
    <w:rsid w:val="0B167AE8"/>
    <w:rsid w:val="0B1A1257"/>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3F3A0E"/>
    <w:rsid w:val="0DC577E0"/>
    <w:rsid w:val="0DDC6319"/>
    <w:rsid w:val="0E0C0D4C"/>
    <w:rsid w:val="0E115DA1"/>
    <w:rsid w:val="0E162D6D"/>
    <w:rsid w:val="0E541CA2"/>
    <w:rsid w:val="0E594756"/>
    <w:rsid w:val="0E770027"/>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647475"/>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14E33"/>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4C5F8A"/>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AA1C1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75258E"/>
    <w:rsid w:val="30BF439A"/>
    <w:rsid w:val="30CB1B61"/>
    <w:rsid w:val="30CF6A37"/>
    <w:rsid w:val="30D250CF"/>
    <w:rsid w:val="31002970"/>
    <w:rsid w:val="311016AD"/>
    <w:rsid w:val="31117F14"/>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D76F4A"/>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8FF5F72"/>
    <w:rsid w:val="3906718E"/>
    <w:rsid w:val="392536E2"/>
    <w:rsid w:val="39465F15"/>
    <w:rsid w:val="396453C5"/>
    <w:rsid w:val="39922CCF"/>
    <w:rsid w:val="39A65327"/>
    <w:rsid w:val="39A65C9B"/>
    <w:rsid w:val="39BC5ED6"/>
    <w:rsid w:val="39EB39E0"/>
    <w:rsid w:val="39EF02D4"/>
    <w:rsid w:val="3A11342A"/>
    <w:rsid w:val="3A153110"/>
    <w:rsid w:val="3A2507C0"/>
    <w:rsid w:val="3A273368"/>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0B6E7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86454"/>
    <w:rsid w:val="407F2DE9"/>
    <w:rsid w:val="408C5A03"/>
    <w:rsid w:val="40991379"/>
    <w:rsid w:val="409B3C3D"/>
    <w:rsid w:val="40F701DF"/>
    <w:rsid w:val="40FD480A"/>
    <w:rsid w:val="412A32F8"/>
    <w:rsid w:val="417F433E"/>
    <w:rsid w:val="41B7239D"/>
    <w:rsid w:val="41E47AD6"/>
    <w:rsid w:val="41FF3845"/>
    <w:rsid w:val="421104A9"/>
    <w:rsid w:val="42143B88"/>
    <w:rsid w:val="42164586"/>
    <w:rsid w:val="422143B7"/>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1C313A"/>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87358E"/>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1F47B3"/>
    <w:rsid w:val="4D297BF3"/>
    <w:rsid w:val="4D2D0EAF"/>
    <w:rsid w:val="4D63401A"/>
    <w:rsid w:val="4D7F0082"/>
    <w:rsid w:val="4D952FD9"/>
    <w:rsid w:val="4D970662"/>
    <w:rsid w:val="4DB33393"/>
    <w:rsid w:val="4DCF1E0D"/>
    <w:rsid w:val="4DD632D9"/>
    <w:rsid w:val="4DE05DF9"/>
    <w:rsid w:val="4DE44800"/>
    <w:rsid w:val="4DEE0709"/>
    <w:rsid w:val="4DFC14EA"/>
    <w:rsid w:val="4DFF6815"/>
    <w:rsid w:val="4E0A3427"/>
    <w:rsid w:val="4E27036A"/>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9003B1"/>
    <w:rsid w:val="52DE008D"/>
    <w:rsid w:val="52EE341E"/>
    <w:rsid w:val="52F37FE6"/>
    <w:rsid w:val="52FC1CAF"/>
    <w:rsid w:val="532540D9"/>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25CFB"/>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AC249A"/>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B52AC"/>
    <w:rsid w:val="59AC3C86"/>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C349B4"/>
    <w:rsid w:val="5BF03D58"/>
    <w:rsid w:val="5C1A6BB2"/>
    <w:rsid w:val="5C5355FE"/>
    <w:rsid w:val="5C6F4105"/>
    <w:rsid w:val="5C7A4EE2"/>
    <w:rsid w:val="5CBB7F6F"/>
    <w:rsid w:val="5D7C3F11"/>
    <w:rsid w:val="5D9D49E0"/>
    <w:rsid w:val="5DDF1821"/>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AF4418"/>
    <w:rsid w:val="64DB63AB"/>
    <w:rsid w:val="650242F0"/>
    <w:rsid w:val="65542778"/>
    <w:rsid w:val="655829AF"/>
    <w:rsid w:val="656B70C3"/>
    <w:rsid w:val="658F4798"/>
    <w:rsid w:val="659B1EBA"/>
    <w:rsid w:val="65B461E9"/>
    <w:rsid w:val="65BE39A8"/>
    <w:rsid w:val="65FB3FBE"/>
    <w:rsid w:val="66247D11"/>
    <w:rsid w:val="66736112"/>
    <w:rsid w:val="667F5B5B"/>
    <w:rsid w:val="66897C79"/>
    <w:rsid w:val="6694262A"/>
    <w:rsid w:val="669609C2"/>
    <w:rsid w:val="66990381"/>
    <w:rsid w:val="66B31B01"/>
    <w:rsid w:val="66CE1E80"/>
    <w:rsid w:val="66E362F9"/>
    <w:rsid w:val="66E47FD9"/>
    <w:rsid w:val="67071922"/>
    <w:rsid w:val="671626D9"/>
    <w:rsid w:val="673B73C0"/>
    <w:rsid w:val="675608B6"/>
    <w:rsid w:val="67754402"/>
    <w:rsid w:val="677D54ED"/>
    <w:rsid w:val="67AC6886"/>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792EBA"/>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BF84629"/>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9C6026"/>
    <w:rsid w:val="72A17C99"/>
    <w:rsid w:val="72AF6F7E"/>
    <w:rsid w:val="72C576C8"/>
    <w:rsid w:val="73047904"/>
    <w:rsid w:val="730E5DA8"/>
    <w:rsid w:val="734C1A6A"/>
    <w:rsid w:val="735C5949"/>
    <w:rsid w:val="73737DA5"/>
    <w:rsid w:val="73887B3E"/>
    <w:rsid w:val="73892412"/>
    <w:rsid w:val="73E96BCA"/>
    <w:rsid w:val="73EE4A6E"/>
    <w:rsid w:val="741048BC"/>
    <w:rsid w:val="742E78D4"/>
    <w:rsid w:val="74676A28"/>
    <w:rsid w:val="7479207F"/>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07B65"/>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customStyle="1" w:styleId="14">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31"/>
    <w:qFormat/>
    <w:uiPriority w:val="0"/>
    <w:pPr>
      <w:spacing w:line="360" w:lineRule="auto"/>
      <w:ind w:firstLine="420" w:firstLineChars="100"/>
    </w:pPr>
    <w:rPr>
      <w:szCs w:val="21"/>
    </w:rPr>
  </w:style>
  <w:style w:type="paragraph" w:styleId="31">
    <w:name w:val="Body Text First Indent 2"/>
    <w:basedOn w:val="13"/>
    <w:next w:val="1"/>
    <w:qFormat/>
    <w:uiPriority w:val="0"/>
    <w:pPr>
      <w:ind w:firstLine="420" w:firstLineChars="200"/>
    </w:p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31"/>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4"/>
    <w:link w:val="11"/>
    <w:qFormat/>
    <w:uiPriority w:val="0"/>
  </w:style>
  <w:style w:type="character" w:customStyle="1" w:styleId="74">
    <w:name w:val="apple-converted-space"/>
    <w:basedOn w:val="34"/>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14964</Words>
  <Characters>15718</Characters>
  <Lines>50</Lines>
  <Paragraphs>68</Paragraphs>
  <TotalTime>2</TotalTime>
  <ScaleCrop>false</ScaleCrop>
  <LinksUpToDate>false</LinksUpToDate>
  <CharactersWithSpaces>16708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2023-03-01T00:27:08Z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562A285641654D2EA086C4325B3B203C</vt:lpwstr>
  </property>
</Properties>
</file>