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804073"/>
      <w:bookmarkEnd w:id="0"/>
      <w:bookmarkStart w:id="1" w:name="_Toc22953395"/>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rPr>
      </w:pPr>
      <w:r>
        <w:rPr>
          <w:rFonts w:hint="eastAsia" w:cs="宋体"/>
          <w:b/>
          <w:bCs/>
          <w:sz w:val="48"/>
          <w:szCs w:val="48"/>
          <w:lang w:val="en-US" w:eastAsia="zh-CN"/>
        </w:rPr>
        <w:t>驻马店市中心医院120车辆保险二次</w:t>
      </w:r>
    </w:p>
    <w:p>
      <w:pPr>
        <w:pStyle w:val="18"/>
        <w:bidi w:val="0"/>
        <w:jc w:val="center"/>
        <w:rPr>
          <w:rStyle w:val="42"/>
          <w:rFonts w:hint="eastAsia" w:ascii="宋体" w:hAnsi="宋体" w:eastAsia="宋体" w:cs="宋体"/>
          <w:b/>
          <w:bCs/>
          <w:color w:val="auto"/>
          <w:sz w:val="48"/>
          <w:szCs w:val="48"/>
        </w:rPr>
      </w:pPr>
    </w:p>
    <w:p>
      <w:pPr>
        <w:pStyle w:val="18"/>
        <w:bidi w:val="0"/>
        <w:jc w:val="center"/>
        <w:rPr>
          <w:rStyle w:val="42"/>
          <w:rFonts w:hint="eastAsia" w:ascii="宋体" w:hAnsi="宋体" w:eastAsia="宋体" w:cs="宋体"/>
          <w:b/>
          <w:bCs/>
          <w:color w:val="auto"/>
          <w:sz w:val="48"/>
          <w:szCs w:val="48"/>
        </w:rPr>
      </w:pPr>
    </w:p>
    <w:p>
      <w:pPr>
        <w:pStyle w:val="18"/>
        <w:bidi w:val="0"/>
        <w:jc w:val="center"/>
        <w:rPr>
          <w:rStyle w:val="42"/>
          <w:rFonts w:hint="eastAsia" w:ascii="宋体" w:hAnsi="宋体" w:eastAsia="宋体" w:cs="宋体"/>
          <w:b/>
          <w:bCs/>
          <w:color w:val="auto"/>
          <w:sz w:val="48"/>
          <w:szCs w:val="48"/>
        </w:rPr>
      </w:pPr>
    </w:p>
    <w:p>
      <w:pPr>
        <w:pStyle w:val="18"/>
        <w:bidi w:val="0"/>
        <w:jc w:val="center"/>
        <w:rPr>
          <w:rStyle w:val="42"/>
          <w:rFonts w:hint="eastAsia" w:ascii="宋体" w:hAnsi="宋体" w:eastAsia="宋体" w:cs="宋体"/>
          <w:b/>
          <w:bCs/>
          <w:color w:val="auto"/>
          <w:sz w:val="48"/>
          <w:szCs w:val="48"/>
        </w:rPr>
      </w:pPr>
    </w:p>
    <w:p>
      <w:pPr>
        <w:pStyle w:val="18"/>
        <w:bidi w:val="0"/>
        <w:jc w:val="center"/>
        <w:rPr>
          <w:rStyle w:val="42"/>
          <w:rFonts w:hint="eastAsia" w:ascii="宋体" w:hAnsi="宋体" w:eastAsia="宋体" w:cs="宋体"/>
          <w:b/>
          <w:bCs/>
          <w:color w:val="auto"/>
          <w:szCs w:val="44"/>
        </w:rPr>
      </w:pPr>
      <w:r>
        <w:rPr>
          <w:rStyle w:val="42"/>
          <w:rFonts w:hint="eastAsia" w:cs="宋体"/>
          <w:b/>
          <w:bCs/>
          <w:color w:val="auto"/>
          <w:sz w:val="72"/>
          <w:szCs w:val="72"/>
          <w:lang w:val="en-US" w:eastAsia="zh-CN"/>
        </w:rPr>
        <w:t>采购</w:t>
      </w:r>
      <w:r>
        <w:rPr>
          <w:rStyle w:val="42"/>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9"/>
        <w:rPr>
          <w:rFonts w:hint="eastAsia"/>
        </w:rPr>
      </w:pPr>
    </w:p>
    <w:p>
      <w:pPr>
        <w:pStyle w:val="58"/>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w:t>
      </w:r>
      <w:r>
        <w:rPr>
          <w:rFonts w:hint="eastAsia" w:ascii="宋体" w:hAnsi="宋体" w:cs="宋体"/>
          <w:b/>
          <w:bCs/>
          <w:spacing w:val="40"/>
          <w:sz w:val="34"/>
          <w:szCs w:val="34"/>
          <w:lang w:val="en-US" w:eastAsia="zh-CN"/>
        </w:rPr>
        <w:t>3</w:t>
      </w:r>
      <w:r>
        <w:rPr>
          <w:rFonts w:hint="eastAsia" w:ascii="宋体" w:hAnsi="宋体" w:eastAsia="宋体" w:cs="宋体"/>
          <w:b/>
          <w:bCs/>
          <w:color w:val="000000" w:themeColor="text1"/>
          <w:spacing w:val="40"/>
          <w:sz w:val="34"/>
          <w:szCs w:val="34"/>
          <w14:textFill>
            <w14:solidFill>
              <w14:schemeClr w14:val="tx1"/>
            </w14:solidFill>
          </w14:textFill>
        </w:rPr>
        <w:t>年</w:t>
      </w:r>
      <w:r>
        <w:rPr>
          <w:rFonts w:hint="eastAsia" w:ascii="宋体" w:hAnsi="宋体" w:cs="宋体"/>
          <w:b/>
          <w:bCs/>
          <w:color w:val="000000" w:themeColor="text1"/>
          <w:spacing w:val="40"/>
          <w:sz w:val="34"/>
          <w:szCs w:val="34"/>
          <w:lang w:val="en-US" w:eastAsia="zh-CN"/>
          <w14:textFill>
            <w14:solidFill>
              <w14:schemeClr w14:val="tx1"/>
            </w14:solidFill>
          </w14:textFill>
        </w:rPr>
        <w:t>02</w:t>
      </w:r>
      <w:r>
        <w:rPr>
          <w:rFonts w:hint="eastAsia" w:ascii="宋体" w:hAnsi="宋体" w:eastAsia="宋体" w:cs="宋体"/>
          <w:b/>
          <w:bCs/>
          <w:color w:val="000000" w:themeColor="text1"/>
          <w:spacing w:val="40"/>
          <w:sz w:val="34"/>
          <w:szCs w:val="34"/>
          <w14:textFill>
            <w14:solidFill>
              <w14:schemeClr w14:val="tx1"/>
            </w14:solidFill>
          </w14:textFill>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2"/>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2"/>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u w:val="none"/>
          <w:lang w:val="en-US" w:eastAsia="zh-CN"/>
        </w:rPr>
        <w:t>驻马店市中心医院120车辆保险二次</w:t>
      </w:r>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bookmarkStart w:id="91" w:name="_GoBack"/>
      <w:r>
        <w:rPr>
          <w:rFonts w:hint="eastAsia" w:ascii="宋体" w:hAnsi="宋体" w:eastAsia="宋体" w:cs="宋体"/>
          <w:color w:val="auto"/>
        </w:rPr>
        <w:t>驻马店市中心医院现对</w:t>
      </w:r>
      <w:r>
        <w:rPr>
          <w:rFonts w:hint="eastAsia" w:ascii="宋体" w:hAnsi="宋体" w:cs="宋体"/>
          <w:color w:val="auto"/>
          <w:u w:val="single"/>
          <w:lang w:val="en-US" w:eastAsia="zh-CN"/>
        </w:rPr>
        <w:t>驻马店市中心医院120车辆保险二次</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驻马店市中心医院120车辆保险二次</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w:t>
      </w:r>
      <w:r>
        <w:rPr>
          <w:rFonts w:hint="eastAsia" w:ascii="宋体" w:hAnsi="宋体" w:eastAsia="宋体" w:cs="宋体"/>
          <w:color w:val="000000" w:themeColor="text1"/>
          <w:szCs w:val="21"/>
          <w:highlight w:val="none"/>
          <w:shd w:val="clear" w:color="auto" w:fill="FFFFFF"/>
          <w14:textFill>
            <w14:solidFill>
              <w14:schemeClr w14:val="tx1"/>
            </w14:solidFill>
          </w14:textFill>
        </w:rPr>
        <w:t>预算金额：</w:t>
      </w:r>
      <w:r>
        <w:rPr>
          <w:rFonts w:hint="eastAsia" w:ascii="宋体" w:hAnsi="宋体" w:cs="宋体"/>
          <w:color w:val="000000" w:themeColor="text1"/>
          <w:kern w:val="0"/>
          <w:szCs w:val="21"/>
          <w:highlight w:val="none"/>
          <w:u w:val="none"/>
          <w:lang w:val="en-US" w:eastAsia="zh-CN"/>
          <w14:textFill>
            <w14:solidFill>
              <w14:schemeClr w14:val="tx1"/>
            </w14:solidFill>
          </w14:textFill>
        </w:rPr>
        <w:t>11万</w:t>
      </w:r>
      <w:r>
        <w:rPr>
          <w:rFonts w:hint="eastAsia" w:ascii="宋体" w:hAnsi="宋体" w:eastAsia="宋体" w:cs="宋体"/>
          <w:color w:val="000000" w:themeColor="text1"/>
          <w:szCs w:val="21"/>
          <w:highlight w:val="none"/>
          <w:shd w:val="clear" w:color="auto" w:fill="FFFFFF"/>
          <w14:textFill>
            <w14:solidFill>
              <w14:schemeClr w14:val="tx1"/>
            </w14:solidFill>
          </w14:textFill>
        </w:rPr>
        <w:t>元</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自筹资金；</w:t>
      </w:r>
    </w:p>
    <w:p>
      <w:pPr>
        <w:snapToGrid w:val="0"/>
        <w:spacing w:line="360" w:lineRule="auto"/>
        <w:ind w:firstLine="420" w:firstLineChars="200"/>
        <w:rPr>
          <w:rFonts w:hint="default" w:ascii="宋体" w:hAnsi="宋体" w:eastAsia="宋体" w:cs="宋体"/>
          <w:color w:val="000000" w:themeColor="text1"/>
          <w:szCs w:val="21"/>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4、</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服务</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地点：采购人指定地点；</w:t>
      </w:r>
    </w:p>
    <w:p>
      <w:pPr>
        <w:snapToGrid w:val="0"/>
        <w:spacing w:line="360" w:lineRule="auto"/>
        <w:ind w:firstLine="420" w:firstLineChars="200"/>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pPr>
      <w:bookmarkStart w:id="4" w:name="_Toc21071"/>
      <w:bookmarkStart w:id="5" w:name="_Toc19521"/>
      <w:bookmarkStart w:id="6" w:name="_Toc26079"/>
      <w:bookmarkStart w:id="7" w:name="_Toc24040"/>
      <w:bookmarkStart w:id="8" w:name="_Toc27913"/>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bookmarkEnd w:id="4"/>
      <w:bookmarkEnd w:id="5"/>
      <w:bookmarkEnd w:id="6"/>
      <w:bookmarkEnd w:id="7"/>
      <w:bookmarkEnd w:id="8"/>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合同履行期限：一年；</w:t>
      </w:r>
    </w:p>
    <w:p>
      <w:pPr>
        <w:widowControl/>
        <w:tabs>
          <w:tab w:val="left" w:pos="840"/>
        </w:tabs>
        <w:snapToGrid w:val="0"/>
        <w:spacing w:line="360" w:lineRule="auto"/>
        <w:ind w:firstLine="420" w:firstLineChars="200"/>
        <w:jc w:val="left"/>
        <w:rPr>
          <w:rFonts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bCs/>
          <w:color w:val="000000" w:themeColor="text1"/>
          <w:szCs w:val="21"/>
          <w:highlight w:val="none"/>
          <w:shd w:val="clear" w:color="auto" w:fill="FFFFFF"/>
          <w14:textFill>
            <w14:solidFill>
              <w14:schemeClr w14:val="tx1"/>
            </w14:solidFill>
          </w14:textFill>
        </w:rPr>
        <w:t>6、</w:t>
      </w:r>
      <w:r>
        <w:rPr>
          <w:rFonts w:hint="eastAsia" w:ascii="宋体" w:hAnsi="宋体" w:cs="宋体"/>
          <w:bCs/>
          <w:color w:val="000000" w:themeColor="text1"/>
          <w:szCs w:val="21"/>
          <w:highlight w:val="none"/>
          <w:shd w:val="clear" w:color="auto" w:fill="FFFFFF"/>
          <w:lang w:val="en-US" w:eastAsia="zh-CN"/>
          <w14:textFill>
            <w14:solidFill>
              <w14:schemeClr w14:val="tx1"/>
            </w14:solidFill>
          </w14:textFill>
        </w:rPr>
        <w:t>服务</w:t>
      </w:r>
      <w:r>
        <w:rPr>
          <w:rFonts w:hint="eastAsia" w:ascii="宋体" w:hAnsi="宋体" w:eastAsia="宋体" w:cs="宋体"/>
          <w:color w:val="000000" w:themeColor="text1"/>
          <w:szCs w:val="21"/>
          <w:highlight w:val="none"/>
          <w:shd w:val="clear" w:color="auto" w:fill="FFFFFF"/>
          <w14:textFill>
            <w14:solidFill>
              <w14:schemeClr w14:val="tx1"/>
            </w14:solidFill>
          </w14:textFill>
        </w:rPr>
        <w:t>要求：</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合格。</w:t>
      </w:r>
      <w:r>
        <w:rPr>
          <w:rFonts w:hint="eastAsia" w:ascii="宋体" w:hAnsi="宋体" w:cs="宋体"/>
          <w:color w:val="000000" w:themeColor="text1"/>
          <w:szCs w:val="21"/>
          <w:highlight w:val="none"/>
          <w:shd w:val="clear" w:color="auto" w:fill="FFFFFF"/>
          <w:lang w:eastAsia="zh-CN"/>
          <w14:textFill>
            <w14:solidFill>
              <w14:schemeClr w14:val="tx1"/>
            </w14:solidFill>
          </w14:textFill>
        </w:rPr>
        <w:t>（</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以采购人要求为准</w:t>
      </w:r>
      <w:r>
        <w:rPr>
          <w:rFonts w:hint="eastAsia" w:ascii="宋体" w:hAnsi="宋体" w:cs="宋体"/>
          <w:color w:val="000000" w:themeColor="text1"/>
          <w:szCs w:val="21"/>
          <w:highlight w:val="none"/>
          <w:shd w:val="clear" w:color="auto" w:fill="FFFFFF"/>
          <w:lang w:eastAsia="zh-CN"/>
          <w14:textFill>
            <w14:solidFill>
              <w14:schemeClr w14:val="tx1"/>
            </w14:solidFill>
          </w14:textFill>
        </w:rPr>
        <w:t>）</w:t>
      </w:r>
    </w:p>
    <w:p>
      <w:pPr>
        <w:keepNext w:val="0"/>
        <w:keepLines w:val="0"/>
        <w:widowControl/>
        <w:snapToGrid w:val="0"/>
        <w:spacing w:before="0" w:after="0" w:line="360" w:lineRule="auto"/>
        <w:jc w:val="left"/>
        <w:outlineLvl w:val="1"/>
        <w:rPr>
          <w:rFonts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bookmarkStart w:id="9" w:name="_Toc23626"/>
      <w:bookmarkStart w:id="10" w:name="_Toc18607"/>
      <w:bookmarkStart w:id="11" w:name="_Toc27704"/>
      <w:bookmarkStart w:id="12" w:name="_Toc16639"/>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9"/>
      <w:bookmarkEnd w:id="10"/>
      <w:bookmarkEnd w:id="11"/>
      <w:bookmarkEnd w:id="12"/>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bookmarkStart w:id="13" w:name="_Toc23395"/>
      <w:bookmarkStart w:id="14" w:name="_Toc30643"/>
      <w:bookmarkStart w:id="15" w:name="_Toc7823"/>
      <w:bookmarkStart w:id="16" w:name="_Toc30971"/>
      <w:bookmarkStart w:id="17" w:name="_Toc9562"/>
      <w:r>
        <w:rPr>
          <w:rFonts w:hint="eastAsia" w:ascii="宋体" w:hAnsi="宋体" w:eastAsia="宋体" w:cs="宋体"/>
          <w:color w:val="000000" w:themeColor="text1"/>
          <w:kern w:val="2"/>
          <w:sz w:val="21"/>
          <w:szCs w:val="24"/>
          <w:lang w:val="en-US" w:eastAsia="zh-CN" w:bidi="ar-SA"/>
          <w14:textFill>
            <w14:solidFill>
              <w14:schemeClr w14:val="tx1"/>
            </w14:solidFill>
          </w14:textFill>
        </w:rPr>
        <w:t>1、具有独立承担民事责任能力的在中华人民共和国境内注册的企业法人，提供有效的营业执照或其他证明材料；具有中国保险监督管理委员会颁发的《经营保险业务许可证》，分支机构参加投标的，必须同时提供集团或总公司的项目授权等证明材料。</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2、供应商应提供</w:t>
      </w:r>
      <w:r>
        <w:rPr>
          <w:rFonts w:hint="eastAsia" w:ascii="宋体" w:hAnsi="宋体" w:cs="宋体"/>
          <w:color w:val="000000" w:themeColor="text1"/>
          <w:kern w:val="2"/>
          <w:sz w:val="21"/>
          <w:szCs w:val="24"/>
          <w:lang w:val="en-US" w:eastAsia="zh-CN" w:bidi="ar-SA"/>
          <w14:textFill>
            <w14:solidFill>
              <w14:schemeClr w14:val="tx1"/>
            </w14:solidFill>
          </w14:textFill>
        </w:rPr>
        <w:t>2021年度</w:t>
      </w:r>
      <w:r>
        <w:rPr>
          <w:rFonts w:hint="eastAsia" w:ascii="宋体" w:hAnsi="宋体" w:eastAsia="宋体" w:cs="宋体"/>
          <w:color w:val="000000" w:themeColor="text1"/>
          <w:kern w:val="2"/>
          <w:sz w:val="21"/>
          <w:szCs w:val="24"/>
          <w:lang w:val="en-US" w:eastAsia="zh-CN" w:bidi="ar-SA"/>
          <w14:textFill>
            <w14:solidFill>
              <w14:schemeClr w14:val="tx1"/>
            </w14:solidFill>
          </w14:textFill>
        </w:rPr>
        <w:t>经审计的财务报告或者其基本开户银行出具的资信证明；采购活动近三个月或上个季度任意一个月的依法缴纳税收的凭据和缴纳社会保险的凭据</w:t>
      </w:r>
      <w:r>
        <w:rPr>
          <w:rFonts w:hint="eastAsia" w:ascii="宋体" w:hAnsi="宋体" w:cs="宋体"/>
          <w:color w:val="000000" w:themeColor="text1"/>
          <w:kern w:val="2"/>
          <w:sz w:val="21"/>
          <w:szCs w:val="24"/>
          <w:lang w:val="en-US" w:eastAsia="zh-CN" w:bidi="ar-SA"/>
          <w14:textFill>
            <w14:solidFill>
              <w14:schemeClr w14:val="tx1"/>
            </w14:solidFill>
          </w14:textFill>
        </w:rPr>
        <w:t>；</w:t>
      </w:r>
      <w:r>
        <w:rPr>
          <w:rFonts w:hint="eastAsia" w:ascii="宋体" w:hAnsi="宋体" w:eastAsia="宋体" w:cs="宋体"/>
          <w:color w:val="000000" w:themeColor="text1"/>
          <w:kern w:val="2"/>
          <w:sz w:val="21"/>
          <w:szCs w:val="24"/>
          <w:lang w:val="en-US" w:eastAsia="zh-CN" w:bidi="ar-SA"/>
          <w14:textFill>
            <w14:solidFill>
              <w14:schemeClr w14:val="tx1"/>
            </w14:solidFill>
          </w14:textFill>
        </w:rPr>
        <w:t>依法免税或不需要缴纳社会保障资金的供应商，应提供相应文件证明其依法免税或不需要缴纳社会保障资金。（新成立企业从成立之日起计算）；</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sz w:val="21"/>
          <w:lang w:val="en-US" w:eastAsia="zh-CN"/>
          <w14:textFill>
            <w14:solidFill>
              <w14:schemeClr w14:val="tx1"/>
            </w14:solidFill>
          </w14:textFill>
        </w:rPr>
        <w:t>3、</w:t>
      </w:r>
      <w:r>
        <w:rPr>
          <w:rFonts w:hint="eastAsia" w:ascii="宋体" w:hAnsi="宋体" w:eastAsia="宋体" w:cs="宋体"/>
          <w:color w:val="000000" w:themeColor="text1"/>
          <w:kern w:val="2"/>
          <w:sz w:val="21"/>
          <w:szCs w:val="24"/>
          <w:lang w:val="en-US" w:eastAsia="zh-CN" w:bidi="ar-SA"/>
          <w14:textFill>
            <w14:solidFill>
              <w14:schemeClr w14:val="tx1"/>
            </w14:solidFill>
          </w14:textFill>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2"/>
          <w:sz w:val="21"/>
          <w:szCs w:val="24"/>
          <w:lang w:val="en-US" w:eastAsia="zh-CN" w:bidi="ar-SA"/>
          <w14:textFill>
            <w14:solidFill>
              <w14:schemeClr w14:val="tx1"/>
            </w14:solidFill>
          </w14:textFill>
        </w:rPr>
        <w:t>4</w:t>
      </w:r>
      <w:r>
        <w:rPr>
          <w:rFonts w:hint="eastAsia" w:ascii="宋体" w:hAnsi="宋体" w:eastAsia="宋体" w:cs="宋体"/>
          <w:color w:val="000000" w:themeColor="text1"/>
          <w:kern w:val="2"/>
          <w:sz w:val="21"/>
          <w:szCs w:val="24"/>
          <w:lang w:val="en-US" w:eastAsia="zh-CN" w:bidi="ar-SA"/>
          <w14:textFill>
            <w14:solidFill>
              <w14:schemeClr w14:val="tx1"/>
            </w14:solidFill>
          </w14:textFill>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2"/>
          <w:sz w:val="21"/>
          <w:szCs w:val="24"/>
          <w:lang w:val="en-US" w:eastAsia="zh-CN" w:bidi="ar-SA"/>
          <w14:textFill>
            <w14:solidFill>
              <w14:schemeClr w14:val="tx1"/>
            </w14:solidFill>
          </w14:textFill>
        </w:rPr>
        <w:t>5</w:t>
      </w:r>
      <w:r>
        <w:rPr>
          <w:rFonts w:hint="eastAsia" w:ascii="宋体" w:hAnsi="宋体" w:eastAsia="宋体" w:cs="宋体"/>
          <w:color w:val="000000" w:themeColor="text1"/>
          <w:kern w:val="2"/>
          <w:sz w:val="21"/>
          <w:szCs w:val="24"/>
          <w:lang w:val="en-US" w:eastAsia="zh-CN" w:bidi="ar-SA"/>
          <w14:textFill>
            <w14:solidFill>
              <w14:schemeClr w14:val="tx1"/>
            </w14:solidFill>
          </w14:textFill>
        </w:rPr>
        <w:t>、符合法律、行政法规规定的其他条件；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2"/>
          <w:sz w:val="21"/>
          <w:szCs w:val="24"/>
          <w:lang w:val="en-US" w:eastAsia="zh-CN" w:bidi="ar-SA"/>
          <w14:textFill>
            <w14:solidFill>
              <w14:schemeClr w14:val="tx1"/>
            </w14:solidFill>
          </w14:textFill>
        </w:rPr>
        <w:t>6、</w:t>
      </w:r>
      <w:r>
        <w:rPr>
          <w:rFonts w:hint="eastAsia" w:ascii="宋体" w:hAnsi="宋体" w:eastAsia="宋体" w:cs="宋体"/>
          <w:color w:val="000000" w:themeColor="text1"/>
          <w:kern w:val="2"/>
          <w:sz w:val="21"/>
          <w:szCs w:val="24"/>
          <w:lang w:val="en-US" w:eastAsia="zh-CN" w:bidi="ar-SA"/>
          <w14:textFill>
            <w14:solidFill>
              <w14:schemeClr w14:val="tx1"/>
            </w14:solidFill>
          </w14:textFill>
        </w:rPr>
        <w:t>供应商需提供近两年</w:t>
      </w:r>
      <w:r>
        <w:rPr>
          <w:rFonts w:hint="eastAsia" w:ascii="宋体" w:hAnsi="宋体" w:cs="宋体"/>
          <w:color w:val="000000" w:themeColor="text1"/>
          <w:kern w:val="2"/>
          <w:sz w:val="21"/>
          <w:szCs w:val="24"/>
          <w:lang w:val="en-US" w:eastAsia="zh-CN" w:bidi="ar-SA"/>
          <w14:textFill>
            <w14:solidFill>
              <w14:schemeClr w14:val="tx1"/>
            </w14:solidFill>
          </w14:textFill>
        </w:rPr>
        <w:t>（2021年1月1日以来）</w:t>
      </w:r>
      <w:r>
        <w:rPr>
          <w:rFonts w:hint="eastAsia" w:ascii="宋体" w:hAnsi="宋体" w:eastAsia="宋体" w:cs="宋体"/>
          <w:color w:val="000000" w:themeColor="text1"/>
          <w:kern w:val="2"/>
          <w:sz w:val="21"/>
          <w:szCs w:val="24"/>
          <w:lang w:val="en-US" w:eastAsia="zh-CN" w:bidi="ar-SA"/>
          <w14:textFill>
            <w14:solidFill>
              <w14:schemeClr w14:val="tx1"/>
            </w14:solidFill>
          </w14:textFill>
        </w:rPr>
        <w:t>签约的车辆责任保险合同</w:t>
      </w:r>
      <w:r>
        <w:rPr>
          <w:rFonts w:hint="eastAsia" w:ascii="宋体" w:hAnsi="宋体" w:cs="宋体"/>
          <w:color w:val="000000" w:themeColor="text1"/>
          <w:kern w:val="2"/>
          <w:sz w:val="21"/>
          <w:szCs w:val="24"/>
          <w:lang w:val="en-US" w:eastAsia="zh-CN" w:bidi="ar-SA"/>
          <w14:textFill>
            <w14:solidFill>
              <w14:schemeClr w14:val="tx1"/>
            </w14:solidFill>
          </w14:textFill>
        </w:rPr>
        <w:t>2</w:t>
      </w:r>
      <w:r>
        <w:rPr>
          <w:rFonts w:hint="eastAsia" w:ascii="宋体" w:hAnsi="宋体" w:eastAsia="宋体" w:cs="宋体"/>
          <w:color w:val="000000" w:themeColor="text1"/>
          <w:kern w:val="2"/>
          <w:sz w:val="21"/>
          <w:szCs w:val="24"/>
          <w:lang w:val="en-US" w:eastAsia="zh-CN" w:bidi="ar-SA"/>
          <w14:textFill>
            <w14:solidFill>
              <w14:schemeClr w14:val="tx1"/>
            </w14:solidFill>
          </w14:textFill>
        </w:rPr>
        <w:t>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kern w:val="2"/>
          <w:sz w:val="21"/>
          <w:szCs w:val="24"/>
          <w:lang w:val="en-US" w:eastAsia="zh-CN" w:bidi="ar-SA"/>
        </w:rPr>
      </w:pPr>
      <w:r>
        <w:rPr>
          <w:rFonts w:hint="eastAsia" w:ascii="宋体" w:hAnsi="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lang w:val="en-US" w:eastAsia="zh-CN"/>
          <w14:textFill>
            <w14:solidFill>
              <w14:schemeClr w14:val="tx1"/>
            </w14:solidFill>
          </w14:textFill>
        </w:rPr>
        <w:t>、根据《关于在政府采购活动中查询及使用信用记录有关问题的通知》（财库【2016】125号）的规定，对列入失信被执行人、</w:t>
      </w:r>
      <w:r>
        <w:rPr>
          <w:rFonts w:hint="eastAsia"/>
          <w:color w:val="auto"/>
          <w:lang w:val="en-US" w:eastAsia="zh-CN"/>
        </w:rPr>
        <w:t>重大税收违法失信主体</w:t>
      </w:r>
      <w:r>
        <w:rPr>
          <w:rFonts w:hint="eastAsia" w:ascii="宋体" w:hAnsi="宋体" w:eastAsia="宋体" w:cs="宋体"/>
          <w:color w:val="000000" w:themeColor="text1"/>
          <w:lang w:val="en-US" w:eastAsia="zh-CN"/>
          <w14:textFill>
            <w14:solidFill>
              <w14:schemeClr w14:val="tx1"/>
            </w14:solidFill>
          </w14:textFill>
        </w:rPr>
        <w:t>、政府采购严重违法失信</w:t>
      </w:r>
      <w:r>
        <w:rPr>
          <w:rFonts w:hint="eastAsia" w:ascii="宋体" w:hAnsi="宋体" w:eastAsia="宋体" w:cs="宋体"/>
          <w:color w:val="auto"/>
          <w:lang w:val="en-US" w:eastAsia="zh-CN"/>
        </w:rPr>
        <w:t>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8</w:t>
      </w:r>
      <w:r>
        <w:rPr>
          <w:rFonts w:hint="eastAsia" w:ascii="宋体" w:hAnsi="宋体" w:eastAsia="宋体" w:cs="宋体"/>
          <w:color w:val="auto"/>
          <w:kern w:val="2"/>
          <w:sz w:val="21"/>
          <w:szCs w:val="24"/>
          <w:lang w:val="en-US" w:eastAsia="zh-CN" w:bidi="ar-SA"/>
        </w:rPr>
        <w:t>、不接受联合体投标。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auto"/>
          <w:szCs w:val="21"/>
          <w:shd w:val="clear" w:color="auto" w:fill="FFFFFF"/>
        </w:rPr>
        <w:t>1</w:t>
      </w:r>
      <w:r>
        <w:rPr>
          <w:rFonts w:hint="eastAsia" w:ascii="宋体" w:hAnsi="宋体" w:cs="宋体"/>
          <w:color w:val="000000" w:themeColor="text1"/>
          <w:szCs w:val="21"/>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shd w:val="clear" w:color="auto" w:fill="FFFFFF"/>
          <w14:textFill>
            <w14:solidFill>
              <w14:schemeClr w14:val="tx1"/>
            </w14:solidFill>
          </w14:textFill>
        </w:rPr>
        <w:t>时间：20</w:t>
      </w:r>
      <w:r>
        <w:rPr>
          <w:rFonts w:hint="eastAsia" w:ascii="宋体" w:hAnsi="宋体" w:cs="宋体"/>
          <w:color w:val="000000" w:themeColor="text1"/>
          <w:szCs w:val="21"/>
          <w:shd w:val="clear" w:color="auto" w:fill="FFFFFF"/>
          <w:lang w:val="en-US" w:eastAsia="zh-CN"/>
          <w14:textFill>
            <w14:solidFill>
              <w14:schemeClr w14:val="tx1"/>
            </w14:solidFill>
          </w14:textFill>
        </w:rPr>
        <w:t>23</w:t>
      </w:r>
      <w:r>
        <w:rPr>
          <w:rFonts w:hint="eastAsia" w:ascii="宋体" w:hAnsi="宋体" w:eastAsia="宋体" w:cs="宋体"/>
          <w:color w:val="000000" w:themeColor="text1"/>
          <w:szCs w:val="21"/>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22</w:t>
      </w:r>
      <w:r>
        <w:rPr>
          <w:rFonts w:hint="eastAsia" w:ascii="宋体" w:hAnsi="宋体" w:eastAsia="宋体" w:cs="宋体"/>
          <w:color w:val="000000" w:themeColor="text1"/>
          <w:szCs w:val="21"/>
          <w:highlight w:val="none"/>
          <w:shd w:val="clear" w:color="auto" w:fill="FFFFFF"/>
          <w14:textFill>
            <w14:solidFill>
              <w14:schemeClr w14:val="tx1"/>
            </w14:solidFill>
          </w14:textFill>
        </w:rPr>
        <w:t>日-202</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3</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24</w:t>
      </w:r>
      <w:r>
        <w:rPr>
          <w:rFonts w:hint="eastAsia" w:ascii="宋体" w:hAnsi="宋体" w:eastAsia="宋体" w:cs="宋体"/>
          <w:color w:val="000000" w:themeColor="text1"/>
          <w:szCs w:val="21"/>
          <w:highlight w:val="none"/>
          <w:shd w:val="clear" w:color="auto" w:fill="FFFFFF"/>
          <w14:textFill>
            <w14:solidFill>
              <w14:schemeClr w14:val="tx1"/>
            </w14:solidFill>
          </w14:textFill>
        </w:rPr>
        <w:t>日</w:t>
      </w:r>
      <w:r>
        <w:rPr>
          <w:rFonts w:hint="eastAsia" w:ascii="宋体" w:hAnsi="宋体" w:eastAsia="宋体" w:cs="宋体"/>
          <w:color w:val="000000" w:themeColor="text1"/>
          <w:szCs w:val="21"/>
          <w:shd w:val="clear" w:color="auto" w:fill="FFFFFF"/>
          <w14:textFill>
            <w14:solidFill>
              <w14:schemeClr w14:val="tx1"/>
            </w14:solidFill>
          </w14:textFill>
        </w:rPr>
        <w:t>，上午8：30-11:30，下午14:30-17:30（北京时间，法定节假日除外）</w:t>
      </w:r>
      <w:r>
        <w:rPr>
          <w:rFonts w:hint="eastAsia" w:ascii="宋体" w:hAnsi="宋体" w:eastAsia="宋体" w:cs="宋体"/>
          <w:color w:val="000000" w:themeColor="text1"/>
          <w:szCs w:val="21"/>
          <w:shd w:val="clear" w:color="auto" w:fill="FFFFFF"/>
          <w:lang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报名费用</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2.凡报名成功的供应商无故不来参与投标的，列入我院黑名</w:t>
      </w:r>
      <w:r>
        <w:rPr>
          <w:rFonts w:hint="eastAsia" w:ascii="宋体" w:hAnsi="宋体" w:eastAsia="宋体" w:cs="宋体"/>
          <w:color w:val="auto"/>
          <w:kern w:val="0"/>
          <w:sz w:val="21"/>
          <w:szCs w:val="21"/>
          <w:shd w:val="clear" w:color="auto" w:fill="FFFFFF"/>
          <w:lang w:val="en-US" w:eastAsia="zh-CN" w:bidi="ar-SA"/>
        </w:rPr>
        <w:t xml:space="preserve">单，一年内不得参与我院任何采购活动。中标供应商缴纳相应服务费。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2131538583@qq.com并标明XX公司XX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15135"/>
      <w:bookmarkStart w:id="19" w:name="_Toc10738"/>
      <w:bookmarkStart w:id="20" w:name="_Toc25869"/>
      <w:bookmarkStart w:id="21" w:name="_Toc15111"/>
      <w:bookmarkStart w:id="22" w:name="_Toc27480"/>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20287"/>
      <w:bookmarkStart w:id="24" w:name="_Toc6523"/>
      <w:bookmarkStart w:id="25" w:name="_Toc29784"/>
      <w:bookmarkStart w:id="26" w:name="_Toc30918"/>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626"/>
      <w:bookmarkStart w:id="28" w:name="_Toc35393795"/>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16291"/>
      <w:bookmarkStart w:id="30" w:name="_Toc31928"/>
      <w:bookmarkStart w:id="31" w:name="_Toc27370"/>
      <w:bookmarkStart w:id="32" w:name="_Toc3604"/>
      <w:bookmarkStart w:id="33" w:name="_Toc24274"/>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报名联系人：李先生</w:t>
      </w:r>
    </w:p>
    <w:p>
      <w:pPr>
        <w:widowControl/>
        <w:snapToGrid w:val="0"/>
        <w:spacing w:before="0" w:beforeAutospacing="0" w:after="0" w:afterAutospacing="0" w:line="360" w:lineRule="auto"/>
        <w:ind w:firstLine="420" w:firstLineChars="200"/>
        <w:jc w:val="left"/>
        <w:rPr>
          <w:rFonts w:hint="default"/>
          <w:lang w:val="en-US" w:eastAsia="zh-CN"/>
        </w:rPr>
      </w:pPr>
      <w:r>
        <w:rPr>
          <w:rFonts w:hint="eastAsia" w:ascii="宋体" w:hAnsi="宋体" w:eastAsia="宋体" w:cs="宋体"/>
          <w:color w:val="auto"/>
          <w:kern w:val="0"/>
          <w:sz w:val="21"/>
          <w:szCs w:val="21"/>
          <w:highlight w:val="none"/>
          <w:shd w:val="clear" w:color="auto" w:fill="FFFFFF"/>
          <w:lang w:val="en-US" w:eastAsia="zh-CN" w:bidi="ar-SA"/>
        </w:rPr>
        <w:t>联系电话：18595618752</w:t>
      </w:r>
      <w:r>
        <w:rPr>
          <w:rFonts w:hint="eastAsia" w:ascii="宋体" w:hAnsi="宋体" w:cs="宋体"/>
          <w:color w:val="auto"/>
          <w:kern w:val="0"/>
          <w:sz w:val="21"/>
          <w:szCs w:val="21"/>
          <w:highlight w:val="none"/>
          <w:shd w:val="clear" w:color="auto" w:fill="FFFFFF"/>
          <w:lang w:val="en-US" w:eastAsia="zh-CN" w:bidi="ar-SA"/>
        </w:rPr>
        <w:t xml:space="preserve"> / 0396</w:t>
      </w:r>
      <w:r>
        <w:rPr>
          <w:rFonts w:hint="eastAsia" w:ascii="宋体" w:hAnsi="宋体" w:eastAsia="宋体" w:cs="宋体"/>
          <w:color w:val="auto"/>
          <w:kern w:val="0"/>
          <w:sz w:val="21"/>
          <w:szCs w:val="21"/>
          <w:shd w:val="clear" w:color="auto" w:fill="FFFFFF"/>
          <w:lang w:val="en-US" w:eastAsia="zh-CN" w:bidi="ar-SA"/>
        </w:rPr>
        <w:t>-</w:t>
      </w:r>
      <w:r>
        <w:rPr>
          <w:rFonts w:hint="eastAsia" w:ascii="宋体" w:hAnsi="宋体" w:cs="宋体"/>
          <w:color w:val="auto"/>
          <w:kern w:val="0"/>
          <w:sz w:val="21"/>
          <w:szCs w:val="21"/>
          <w:shd w:val="clear" w:color="auto" w:fill="FFFFFF"/>
          <w:lang w:val="en-US" w:eastAsia="zh-CN" w:bidi="ar-SA"/>
        </w:rPr>
        <w:t>3383666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w:t>
      </w:r>
      <w:r>
        <w:rPr>
          <w:rFonts w:hint="eastAsia" w:ascii="宋体" w:hAnsi="宋体" w:eastAsia="宋体" w:cs="宋体"/>
          <w:color w:val="auto"/>
          <w:kern w:val="0"/>
          <w:sz w:val="21"/>
          <w:szCs w:val="21"/>
          <w:highlight w:val="none"/>
          <w:shd w:val="clear" w:color="auto" w:fill="FFFFFF"/>
          <w:lang w:val="en-US" w:eastAsia="zh-CN" w:bidi="ar-SA"/>
        </w:rPr>
        <w:t>0396-2725435</w:t>
      </w:r>
    </w:p>
    <w:p>
      <w:pPr>
        <w:pStyle w:val="29"/>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shd w:val="clear" w:color="auto" w:fill="FFFFFF"/>
          <w:lang w:val="en-US" w:eastAsia="zh-CN" w:bidi="ar-SA"/>
        </w:rPr>
        <w:t>驻马</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店市中心医院采购科</w:t>
      </w:r>
    </w:p>
    <w:p>
      <w:pPr>
        <w:pStyle w:val="27"/>
        <w:widowControl/>
        <w:snapToGrid w:val="0"/>
        <w:spacing w:before="0" w:beforeAutospacing="0" w:after="0" w:afterAutospacing="0" w:line="360" w:lineRule="auto"/>
        <w:ind w:firstLine="420" w:firstLineChars="200"/>
        <w:jc w:val="center"/>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202</w:t>
      </w: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3</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年</w:t>
      </w: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月</w:t>
      </w: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21</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日</w:t>
      </w:r>
    </w:p>
    <w:bookmarkEnd w:id="91"/>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rPr>
          <w:rFonts w:hint="eastAsia" w:ascii="宋体" w:hAnsi="宋体"/>
          <w:b/>
          <w:color w:val="auto"/>
          <w:sz w:val="32"/>
          <w:szCs w:val="32"/>
          <w:highlight w:val="none"/>
        </w:rPr>
      </w:pPr>
      <w:bookmarkStart w:id="34" w:name="_Toc25063"/>
      <w:bookmarkStart w:id="35" w:name="_Toc23793"/>
      <w:bookmarkStart w:id="36" w:name="_Toc29890"/>
      <w:r>
        <w:rPr>
          <w:rFonts w:hint="eastAsia" w:ascii="宋体" w:hAnsi="宋体"/>
          <w:b/>
          <w:color w:val="auto"/>
          <w:sz w:val="32"/>
          <w:szCs w:val="32"/>
          <w:highlight w:val="none"/>
        </w:rPr>
        <w:br w:type="page"/>
      </w:r>
    </w:p>
    <w:p>
      <w:pPr>
        <w:widowControl/>
        <w:spacing w:line="360" w:lineRule="auto"/>
        <w:ind w:firstLine="643" w:firstLineChars="200"/>
        <w:jc w:val="center"/>
        <w:rPr>
          <w:rFonts w:ascii="宋体" w:hAnsi="宋体"/>
          <w:b/>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9989"/>
      <w:bookmarkStart w:id="38" w:name="_Toc31536"/>
      <w:bookmarkStart w:id="39" w:name="_Toc23610"/>
    </w:p>
    <w:bookmarkEnd w:id="35"/>
    <w:bookmarkEnd w:id="36"/>
    <w:bookmarkEnd w:id="37"/>
    <w:bookmarkEnd w:id="38"/>
    <w:bookmarkEnd w:id="39"/>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bookmarkStart w:id="40" w:name="_Toc14504"/>
      <w:r>
        <w:rPr>
          <w:rFonts w:hint="eastAsia" w:cs="宋体"/>
          <w:kern w:val="2"/>
          <w:sz w:val="21"/>
          <w:szCs w:val="24"/>
          <w:lang w:val="en-US" w:eastAsia="zh-CN" w:bidi="ar-SA"/>
        </w:rPr>
        <w:t>一、</w:t>
      </w:r>
      <w:r>
        <w:rPr>
          <w:rFonts w:hint="eastAsia" w:ascii="宋体" w:hAnsi="宋体" w:eastAsia="宋体" w:cs="宋体"/>
          <w:kern w:val="2"/>
          <w:sz w:val="21"/>
          <w:szCs w:val="24"/>
          <w:lang w:val="en-US" w:eastAsia="zh-CN" w:bidi="ar-SA"/>
        </w:rPr>
        <w:t xml:space="preserve">项目名称、数量：120车辆保险（含车船税）共17辆车 </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 xml:space="preserve">二、项目用途说明： 车辆保险 </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三、配置规格、附件及零配件（包括专用工具）：</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718"/>
        <w:gridCol w:w="1736"/>
        <w:gridCol w:w="147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2718"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项目名称</w:t>
            </w:r>
          </w:p>
        </w:tc>
        <w:tc>
          <w:tcPr>
            <w:tcW w:w="1736"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数量或规模</w:t>
            </w:r>
          </w:p>
        </w:tc>
        <w:tc>
          <w:tcPr>
            <w:tcW w:w="1473"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资金预算</w:t>
            </w:r>
          </w:p>
        </w:tc>
        <w:tc>
          <w:tcPr>
            <w:tcW w:w="1554"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1" w:type="dxa"/>
            <w:tcBorders>
              <w:top w:val="single" w:color="auto" w:sz="4" w:space="0"/>
              <w:left w:val="single" w:color="auto" w:sz="4" w:space="0"/>
              <w:bottom w:val="single" w:color="auto" w:sz="4" w:space="0"/>
              <w:right w:val="single" w:color="auto" w:sz="4" w:space="0"/>
            </w:tcBorders>
            <w:vAlign w:val="top"/>
          </w:tcPr>
          <w:p>
            <w:pPr>
              <w:pStyle w:val="13"/>
              <w:ind w:left="0" w:left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2718" w:type="dxa"/>
            <w:tcBorders>
              <w:top w:val="single" w:color="auto" w:sz="4" w:space="0"/>
              <w:left w:val="nil"/>
              <w:bottom w:val="single" w:color="auto" w:sz="4" w:space="0"/>
              <w:right w:val="single" w:color="auto" w:sz="4" w:space="0"/>
            </w:tcBorders>
            <w:vAlign w:val="top"/>
          </w:tcPr>
          <w:p>
            <w:pPr>
              <w:pStyle w:val="13"/>
              <w:ind w:left="0" w:left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120车辆保险（含车船税）</w:t>
            </w:r>
          </w:p>
        </w:tc>
        <w:tc>
          <w:tcPr>
            <w:tcW w:w="1736" w:type="dxa"/>
            <w:tcBorders>
              <w:top w:val="single" w:color="auto" w:sz="4" w:space="0"/>
              <w:left w:val="nil"/>
              <w:bottom w:val="single" w:color="auto" w:sz="4" w:space="0"/>
              <w:right w:val="single" w:color="auto" w:sz="4" w:space="0"/>
            </w:tcBorders>
            <w:vAlign w:val="top"/>
          </w:tcPr>
          <w:p>
            <w:pPr>
              <w:pStyle w:val="13"/>
              <w:ind w:left="0" w:left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17辆车</w:t>
            </w:r>
          </w:p>
        </w:tc>
        <w:tc>
          <w:tcPr>
            <w:tcW w:w="1473" w:type="dxa"/>
            <w:tcBorders>
              <w:top w:val="single" w:color="auto" w:sz="4" w:space="0"/>
              <w:left w:val="nil"/>
              <w:bottom w:val="single" w:color="auto" w:sz="4" w:space="0"/>
              <w:right w:val="single" w:color="auto" w:sz="4" w:space="0"/>
            </w:tcBorders>
            <w:vAlign w:val="top"/>
          </w:tcPr>
          <w:p>
            <w:pPr>
              <w:pStyle w:val="13"/>
              <w:ind w:left="0" w:left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11万元</w:t>
            </w:r>
          </w:p>
        </w:tc>
        <w:tc>
          <w:tcPr>
            <w:tcW w:w="1554" w:type="dxa"/>
            <w:tcBorders>
              <w:top w:val="single" w:color="auto" w:sz="4" w:space="0"/>
              <w:left w:val="nil"/>
              <w:bottom w:val="single" w:color="auto" w:sz="4" w:space="0"/>
              <w:right w:val="single" w:color="auto" w:sz="4" w:space="0"/>
            </w:tcBorders>
            <w:vAlign w:val="top"/>
          </w:tcPr>
          <w:p>
            <w:pPr>
              <w:pStyle w:val="13"/>
              <w:ind w:left="0" w:left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医院自筹</w:t>
            </w:r>
          </w:p>
        </w:tc>
      </w:tr>
    </w:tbl>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四、详细技术要求、参数及产品资料等：</w:t>
      </w:r>
    </w:p>
    <w:p>
      <w:pPr>
        <w:jc w:val="center"/>
        <w:rPr>
          <w:rFonts w:hint="eastAsia" w:asciiTheme="minorEastAsia" w:hAnsiTheme="minorEastAsia" w:eastAsiaTheme="minorEastAsia" w:cstheme="minorEastAsia"/>
          <w:color w:val="auto"/>
          <w:sz w:val="22"/>
          <w:szCs w:val="22"/>
          <w:lang w:val="en-US" w:eastAsia="zh-CN"/>
        </w:rPr>
      </w:pPr>
    </w:p>
    <w:p>
      <w:pPr>
        <w:spacing w:line="360" w:lineRule="auto"/>
        <w:jc w:val="center"/>
        <w:rPr>
          <w:rFonts w:ascii="宋体" w:hAnsi="宋体" w:eastAsia="宋体"/>
          <w:b/>
          <w:sz w:val="24"/>
          <w:szCs w:val="24"/>
        </w:rPr>
      </w:pPr>
      <w:r>
        <w:rPr>
          <w:rFonts w:hint="eastAsia" w:ascii="宋体" w:hAnsi="宋体" w:eastAsia="宋体"/>
          <w:b/>
          <w:sz w:val="24"/>
          <w:szCs w:val="24"/>
        </w:rPr>
        <w:t>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kern w:val="2"/>
          <w:sz w:val="21"/>
          <w:szCs w:val="21"/>
          <w:u w:val="none"/>
          <w:lang w:val="en-US" w:eastAsia="zh-CN" w:bidi="ar-SA"/>
        </w:rPr>
      </w:pPr>
      <w:r>
        <w:rPr>
          <w:rFonts w:hint="default" w:ascii="宋体" w:hAnsi="宋体" w:eastAsia="宋体" w:cs="Times New Roman"/>
          <w:kern w:val="2"/>
          <w:sz w:val="21"/>
          <w:szCs w:val="21"/>
          <w:u w:val="none"/>
          <w:lang w:val="en-US" w:eastAsia="zh-CN" w:bidi="ar-SA"/>
        </w:rPr>
        <w:t xml:space="preserve">车辆详情：车型，九龙救护车两辆(2015年1月购置)车型瑞弗救护车四辆(均在2021，1月购置)1月19日份到期现已脱保。，车型，长安救车护车1辆3月份到期(2011年3月)购置)车型，奔驰负压车1辆(2021年5月购置)，车型，宇通救车3辆(负压车1辆)，5月份到期(2018年5月购置)车型，奔驰负压车两辆6月份到期(2021年6购置)奔驰转运型救护车3辆大马牌救护车2辆12月份到期(2018，12月购置) </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五、售后服务条件及交货日期（或工期）：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kern w:val="2"/>
          <w:sz w:val="21"/>
          <w:szCs w:val="21"/>
          <w:u w:val="none"/>
          <w:lang w:val="en-US" w:eastAsia="zh-CN" w:bidi="ar-SA"/>
        </w:rPr>
      </w:pPr>
      <w:r>
        <w:rPr>
          <w:rFonts w:hint="eastAsia" w:ascii="宋体" w:hAnsi="宋体" w:eastAsia="宋体" w:cs="Times New Roman"/>
          <w:kern w:val="2"/>
          <w:sz w:val="21"/>
          <w:szCs w:val="21"/>
          <w:u w:val="none"/>
          <w:lang w:val="en-US" w:eastAsia="zh-CN" w:bidi="ar-SA"/>
        </w:rPr>
        <w:t xml:space="preserve">  保险要求1、机动车交通事故责任强制险保额不低于20万元。2、第三者责任险不低于10万元。3、驾驶员车上人员责任险（承包一座）不低于10万元。4、乘客车上人员责任险 （承包六座）每座不低于10万元。5包含车船税税款。</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 xml:space="preserve">  </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center"/>
        <w:rPr>
          <w:b/>
          <w:bCs/>
          <w:color w:val="auto"/>
          <w:sz w:val="30"/>
          <w:szCs w:val="30"/>
          <w:highlight w:val="none"/>
        </w:rPr>
      </w:pPr>
      <w:r>
        <w:rPr>
          <w:rFonts w:hint="eastAsia"/>
          <w:b/>
          <w:bCs/>
          <w:color w:val="auto"/>
          <w:sz w:val="30"/>
          <w:szCs w:val="30"/>
          <w:highlight w:val="none"/>
        </w:rPr>
        <w:t>商务要求</w:t>
      </w:r>
    </w:p>
    <w:tbl>
      <w:tblPr>
        <w:tblStyle w:val="31"/>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自中标通知书发出之日起三十个日历日内。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合同履行期限</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both"/>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验   收</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合格。</w:t>
            </w:r>
            <w:r>
              <w:rPr>
                <w:rFonts w:hint="eastAsia" w:cs="宋体"/>
                <w:color w:val="auto"/>
                <w:sz w:val="21"/>
                <w:szCs w:val="21"/>
                <w:highlight w:val="none"/>
                <w:lang w:val="en-US" w:eastAsia="zh-CN"/>
              </w:rPr>
              <w:t>（以采购人要求为准）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售后技术服务要求、售后服务保障要求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中标人须提供后期服务保障和技术支持。</w:t>
            </w:r>
          </w:p>
        </w:tc>
      </w:tr>
    </w:tbl>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1"/>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pPr>
            <w:r>
              <w:rPr>
                <w:rFonts w:hint="eastAsia"/>
              </w:rPr>
              <w:t>不接受联合体投标，不允许转包和分包。</w:t>
            </w:r>
          </w:p>
          <w:p>
            <w:pPr>
              <w:widowControl/>
              <w:snapToGrid w:val="0"/>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2、授权评标委员会确定一名中标人并推荐两名中标候选人。</w:t>
            </w:r>
          </w:p>
          <w:p>
            <w:pPr>
              <w:widowControl/>
              <w:snapToGrid w:val="0"/>
              <w:spacing w:line="360" w:lineRule="auto"/>
              <w:rPr>
                <w:rFonts w:hint="default" w:eastAsia="宋体"/>
                <w:lang w:val="en-US" w:eastAsia="zh-CN"/>
              </w:rPr>
            </w:pPr>
            <w:r>
              <w:rPr>
                <w:rFonts w:hint="eastAsia" w:ascii="Times New Roman" w:hAnsi="Times New Roman" w:eastAsia="宋体" w:cs="Times New Roman"/>
                <w:lang w:val="en-US" w:eastAsia="zh-CN"/>
              </w:rPr>
              <w:t>3、供应商应根据采购文件的要求提供技术响应表、商务响应表等内容以对采购文件作出响应。</w:t>
            </w:r>
          </w:p>
        </w:tc>
      </w:tr>
    </w:tbl>
    <w:p>
      <w:pPr>
        <w:rPr>
          <w:color w:val="auto"/>
          <w:highlight w:val="none"/>
        </w:rPr>
      </w:pPr>
    </w:p>
    <w:p>
      <w:pPr>
        <w:jc w:val="center"/>
        <w:rPr>
          <w:rFonts w:hint="eastAsia"/>
          <w:b/>
          <w:bCs/>
          <w:color w:val="auto"/>
          <w:sz w:val="32"/>
          <w:szCs w:val="32"/>
          <w:highlight w:val="none"/>
        </w:rPr>
      </w:pPr>
    </w:p>
    <w:p>
      <w:pPr>
        <w:jc w:val="center"/>
        <w:rPr>
          <w:rFonts w:hint="eastAsia"/>
          <w:b/>
          <w:bCs/>
          <w:color w:val="auto"/>
          <w:sz w:val="32"/>
          <w:szCs w:val="32"/>
          <w:highlight w:val="none"/>
        </w:rPr>
      </w:pPr>
    </w:p>
    <w:p>
      <w:pPr>
        <w:rPr>
          <w:rFonts w:hint="eastAsia"/>
          <w:b/>
          <w:bCs/>
          <w:color w:val="auto"/>
          <w:sz w:val="32"/>
          <w:szCs w:val="32"/>
          <w:highlight w:val="none"/>
        </w:rPr>
      </w:pPr>
      <w:r>
        <w:rPr>
          <w:rFonts w:hint="eastAsia"/>
          <w:b/>
          <w:bCs/>
          <w:color w:val="auto"/>
          <w:sz w:val="32"/>
          <w:szCs w:val="32"/>
          <w:highlight w:val="none"/>
        </w:rPr>
        <w:br w:type="page"/>
      </w:r>
    </w:p>
    <w:p>
      <w:pPr>
        <w:jc w:val="center"/>
        <w:rPr>
          <w:b/>
          <w:bCs/>
          <w:color w:val="auto"/>
          <w:sz w:val="32"/>
          <w:szCs w:val="32"/>
          <w:highlight w:val="none"/>
        </w:rPr>
      </w:pPr>
      <w:r>
        <w:rPr>
          <w:rFonts w:hint="eastAsia"/>
          <w:b/>
          <w:bCs/>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1"/>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rPr>
            </w:pPr>
            <w:r>
              <w:rPr>
                <w:rFonts w:hint="eastAsia"/>
                <w:color w:val="auto"/>
                <w:highlight w:val="none"/>
              </w:rPr>
              <w:t>1.1 项目名称：</w:t>
            </w:r>
            <w:r>
              <w:rPr>
                <w:rFonts w:hint="eastAsia"/>
                <w:color w:val="auto"/>
                <w:highlight w:val="none"/>
                <w:lang w:val="en-US" w:eastAsia="zh-CN"/>
              </w:rPr>
              <w:t>驻马店市中心医院120车辆保险二次</w:t>
            </w:r>
          </w:p>
          <w:p>
            <w:pPr>
              <w:widowControl/>
              <w:snapToGrid w:val="0"/>
              <w:spacing w:line="440" w:lineRule="exact"/>
              <w:jc w:val="left"/>
              <w:outlineLvl w:val="0"/>
              <w:rPr>
                <w:rFonts w:hint="eastAsia"/>
                <w:color w:val="auto"/>
                <w:highlight w:val="none"/>
              </w:rPr>
            </w:pPr>
            <w:r>
              <w:rPr>
                <w:rFonts w:hint="eastAsia"/>
                <w:color w:val="auto"/>
                <w:highlight w:val="none"/>
              </w:rPr>
              <w:t>1.2 采购人名称：驻马店市中心医院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11万</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w:t>
            </w:r>
            <w:r>
              <w:rPr>
                <w:rFonts w:hint="eastAsia" w:ascii="宋体" w:hAnsi="宋体" w:eastAsia="宋体" w:cs="宋体"/>
              </w:rPr>
              <w:t>：纸质投标文件正本1份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000000" w:themeColor="text1"/>
          <w:kern w:val="0"/>
          <w:szCs w:val="21"/>
          <w:highlight w:val="none"/>
          <w14:textFill>
            <w14:solidFill>
              <w14:schemeClr w14:val="tx1"/>
            </w14:solidFill>
          </w14:textFill>
        </w:rPr>
        <w:t>公告中所叙述项目的</w:t>
      </w:r>
      <w:r>
        <w:rPr>
          <w:rFonts w:hint="eastAsia" w:ascii="宋体" w:hAnsi="宋体" w:eastAsia="宋体" w:cs="宋体"/>
          <w:color w:val="000000" w:themeColor="text1"/>
          <w:kern w:val="0"/>
          <w:szCs w:val="21"/>
          <w:highlight w:val="none"/>
          <w14:textFill>
            <w14:solidFill>
              <w14:schemeClr w14:val="tx1"/>
            </w14:solidFill>
          </w14:textFill>
        </w:rPr>
        <w:t>服务</w:t>
      </w:r>
      <w:r>
        <w:rPr>
          <w:rFonts w:hint="eastAsia" w:ascii="宋体" w:hAnsi="宋体" w:cs="宋体"/>
          <w:color w:val="000000" w:themeColor="text1"/>
          <w:kern w:val="0"/>
          <w:szCs w:val="21"/>
          <w:highlight w:val="none"/>
          <w14:textFill>
            <w14:solidFill>
              <w14:schemeClr w14:val="tx1"/>
            </w14:solidFill>
          </w14:textFill>
        </w:rPr>
        <w:t>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2.1 “采购人</w:t>
      </w:r>
      <w:r>
        <w:rPr>
          <w:rFonts w:hint="eastAsia" w:ascii="宋体" w:hAnsi="宋体" w:cs="宋体"/>
          <w:color w:val="000000" w:themeColor="text1"/>
          <w:kern w:val="0"/>
          <w:szCs w:val="21"/>
          <w:highlight w:val="none"/>
          <w14:textFill>
            <w14:solidFill>
              <w14:schemeClr w14:val="tx1"/>
            </w14:solidFill>
          </w14:textFill>
        </w:rPr>
        <w:t>”系指本次采购项目的业主方。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 “投标人”系指</w:t>
      </w:r>
      <w:r>
        <w:rPr>
          <w:rFonts w:hint="eastAsia" w:ascii="宋体" w:hAnsi="宋体" w:cs="宋体"/>
          <w:color w:val="000000" w:themeColor="text1"/>
          <w:kern w:val="0"/>
          <w:szCs w:val="21"/>
          <w:highlight w:val="none"/>
          <w:lang w:val="en-US" w:eastAsia="zh-CN"/>
          <w14:textFill>
            <w14:solidFill>
              <w14:schemeClr w14:val="tx1"/>
            </w14:solidFill>
          </w14:textFill>
        </w:rPr>
        <w:t>领取</w:t>
      </w:r>
      <w:r>
        <w:rPr>
          <w:rFonts w:hint="eastAsia" w:ascii="宋体" w:hAnsi="宋体" w:cs="宋体"/>
          <w:color w:val="000000" w:themeColor="text1"/>
          <w:kern w:val="0"/>
          <w:szCs w:val="21"/>
          <w:highlight w:val="none"/>
          <w14:textFill>
            <w14:solidFill>
              <w14:schemeClr w14:val="tx1"/>
            </w14:solidFill>
          </w14:textFill>
        </w:rPr>
        <w:t>了本</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 “投标人代表”系指代表投标人参加本次</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 “服务”系指供应商按采购文件规定向采购人提供的一切工作内容。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11万</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4.1具有独立承担民事责任能力的在中华人民共和国境内注册的企业法人，提供有效的营业执照或其他证明材料；具有中国保险监督管理委员会颁发的《经营保险业务许可证》，分支机构参加投标的，必须同时提供集团或总公司的项目授权等证明材料。</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4.2供应商应提供202</w:t>
      </w:r>
      <w:r>
        <w:rPr>
          <w:rFonts w:hint="eastAsia" w:ascii="宋体" w:hAnsi="宋体" w:cs="宋体"/>
          <w:color w:val="auto"/>
          <w:kern w:val="2"/>
          <w:sz w:val="21"/>
          <w:szCs w:val="24"/>
          <w:lang w:val="en-US" w:eastAsia="zh-CN" w:bidi="ar-SA"/>
        </w:rPr>
        <w:t>1</w:t>
      </w:r>
      <w:r>
        <w:rPr>
          <w:rFonts w:hint="eastAsia" w:ascii="宋体" w:hAnsi="宋体" w:eastAsia="宋体" w:cs="宋体"/>
          <w:color w:val="auto"/>
          <w:kern w:val="2"/>
          <w:sz w:val="21"/>
          <w:szCs w:val="24"/>
          <w:lang w:val="en-US" w:eastAsia="zh-CN" w:bidi="ar-SA"/>
        </w:rPr>
        <w:t>年度经审计的财务报告或者其基本开户银行出具的资信证明；</w:t>
      </w:r>
      <w:r>
        <w:rPr>
          <w:rFonts w:hint="eastAsia" w:ascii="宋体" w:hAnsi="宋体" w:eastAsia="宋体" w:cs="宋体"/>
          <w:color w:val="000000" w:themeColor="text1"/>
          <w:kern w:val="2"/>
          <w:sz w:val="21"/>
          <w:szCs w:val="24"/>
          <w:lang w:val="en-US" w:eastAsia="zh-CN" w:bidi="ar-SA"/>
          <w14:textFill>
            <w14:solidFill>
              <w14:schemeClr w14:val="tx1"/>
            </w14:solidFill>
          </w14:textFill>
        </w:rPr>
        <w:t>采购活动近三个月或上个季度任意一个月的依法缴纳税收的凭据和缴纳社会保险的凭据</w:t>
      </w:r>
      <w:r>
        <w:rPr>
          <w:rFonts w:hint="eastAsia" w:ascii="宋体" w:hAnsi="宋体" w:eastAsia="宋体" w:cs="宋体"/>
          <w:color w:val="auto"/>
          <w:kern w:val="2"/>
          <w:sz w:val="21"/>
          <w:szCs w:val="24"/>
          <w:lang w:val="en-US" w:eastAsia="zh-CN" w:bidi="ar-SA"/>
        </w:rPr>
        <w:t>；依法免税或不需要缴纳社会保障资金的供应商，应提供相应文件证明其依法免税或不需要缴纳社会保障资金。（新成立企业从成立之日起计算）；</w:t>
      </w:r>
    </w:p>
    <w:p>
      <w:pPr>
        <w:pStyle w:val="29"/>
        <w:keepNext w:val="0"/>
        <w:keepLines w:val="0"/>
        <w:pageBreakBefore w:val="0"/>
        <w:kinsoku/>
        <w:overflowPunct/>
        <w:topLinePunct w:val="0"/>
        <w:bidi w:val="0"/>
        <w:spacing w:line="440" w:lineRule="exact"/>
        <w:ind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sz w:val="21"/>
          <w:lang w:val="en-US" w:eastAsia="zh-CN"/>
        </w:rPr>
        <w:t>4.3</w:t>
      </w:r>
      <w:r>
        <w:rPr>
          <w:rFonts w:hint="eastAsia" w:ascii="宋体" w:hAnsi="宋体" w:eastAsia="宋体" w:cs="宋体"/>
          <w:color w:val="auto"/>
          <w:kern w:val="2"/>
          <w:sz w:val="21"/>
          <w:szCs w:val="24"/>
          <w:lang w:val="en-US" w:eastAsia="zh-CN" w:bidi="ar-SA"/>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4.4</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auto"/>
          <w:kern w:val="2"/>
          <w:sz w:val="21"/>
          <w:szCs w:val="24"/>
          <w:lang w:val="en-US" w:eastAsia="zh-CN" w:bidi="ar-SA"/>
        </w:rPr>
        <w:t>4.5</w:t>
      </w:r>
      <w:r>
        <w:rPr>
          <w:rFonts w:hint="eastAsia" w:ascii="宋体" w:hAnsi="宋体" w:eastAsia="宋体" w:cs="宋体"/>
          <w:color w:val="000000" w:themeColor="text1"/>
          <w:kern w:val="2"/>
          <w:sz w:val="21"/>
          <w:szCs w:val="24"/>
          <w:lang w:val="en-US" w:eastAsia="zh-CN" w:bidi="ar-SA"/>
          <w14:textFill>
            <w14:solidFill>
              <w14:schemeClr w14:val="tx1"/>
            </w14:solidFill>
          </w14:textFill>
        </w:rPr>
        <w:t>供应商需提供近两年</w:t>
      </w:r>
      <w:r>
        <w:rPr>
          <w:rFonts w:hint="eastAsia" w:ascii="宋体" w:hAnsi="宋体" w:cs="宋体"/>
          <w:color w:val="000000" w:themeColor="text1"/>
          <w:kern w:val="2"/>
          <w:sz w:val="21"/>
          <w:szCs w:val="24"/>
          <w:lang w:val="en-US" w:eastAsia="zh-CN" w:bidi="ar-SA"/>
          <w14:textFill>
            <w14:solidFill>
              <w14:schemeClr w14:val="tx1"/>
            </w14:solidFill>
          </w14:textFill>
        </w:rPr>
        <w:t>（2021年1月1日以来）</w:t>
      </w:r>
      <w:r>
        <w:rPr>
          <w:rFonts w:hint="eastAsia" w:ascii="宋体" w:hAnsi="宋体" w:eastAsia="宋体" w:cs="宋体"/>
          <w:color w:val="000000" w:themeColor="text1"/>
          <w:kern w:val="2"/>
          <w:sz w:val="21"/>
          <w:szCs w:val="24"/>
          <w:lang w:val="en-US" w:eastAsia="zh-CN" w:bidi="ar-SA"/>
          <w14:textFill>
            <w14:solidFill>
              <w14:schemeClr w14:val="tx1"/>
            </w14:solidFill>
          </w14:textFill>
        </w:rPr>
        <w:t>签约的车辆责任保险合同2份。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4.6</w:t>
      </w:r>
      <w:r>
        <w:rPr>
          <w:rFonts w:hint="eastAsia" w:ascii="宋体" w:hAnsi="宋体" w:eastAsia="宋体" w:cs="宋体"/>
          <w:color w:val="auto"/>
          <w:lang w:val="en-US" w:eastAsia="zh-CN"/>
        </w:rPr>
        <w:t>根据《关于在政府采购活动中查询及使用信用记录有关问题的通知》（财库【2016】125号）的规定，对列入失信被执行人、</w:t>
      </w:r>
      <w:r>
        <w:rPr>
          <w:rFonts w:hint="eastAsia"/>
          <w:color w:val="auto"/>
          <w:lang w:val="en-US" w:eastAsia="zh-CN"/>
        </w:rPr>
        <w:t>重大税收违法失信主体</w:t>
      </w:r>
      <w:r>
        <w:rPr>
          <w:rFonts w:hint="eastAsia" w:ascii="宋体" w:hAnsi="宋体" w:eastAsia="宋体" w:cs="宋体"/>
          <w:color w:val="auto"/>
          <w:lang w:val="en-US" w:eastAsia="zh-CN"/>
        </w:rPr>
        <w:t>、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报价明细表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、抵制商业贿赂承诺</w:t>
      </w:r>
    </w:p>
    <w:p>
      <w:pPr>
        <w:pStyle w:val="30"/>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w:t>
      </w:r>
      <w:r>
        <w:rPr>
          <w:rFonts w:hint="eastAsia"/>
          <w:color w:val="auto"/>
          <w:sz w:val="21"/>
          <w:szCs w:val="21"/>
          <w:highlight w:val="none"/>
          <w:lang w:val="en-US" w:eastAsia="zh-CN"/>
        </w:rPr>
        <w:t>9</w:t>
      </w:r>
      <w:r>
        <w:rPr>
          <w:rFonts w:hint="eastAsia"/>
          <w:color w:val="auto"/>
          <w:sz w:val="21"/>
          <w:szCs w:val="21"/>
          <w:highlight w:val="none"/>
        </w:rPr>
        <w:t>、投标人认为有必要的其他资料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r>
        <w:rPr>
          <w:rFonts w:hint="eastAsia" w:ascii="宋体" w:hAnsi="宋体" w:eastAsia="宋体" w:cs="宋体"/>
          <w:color w:val="000000" w:themeColor="text1"/>
          <w:kern w:val="0"/>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.2 投标文件应当对</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文件有关服务期、投标有效期、</w:t>
      </w:r>
      <w:r>
        <w:rPr>
          <w:rFonts w:hint="eastAsia" w:ascii="宋体" w:hAnsi="宋体" w:cs="宋体"/>
          <w:color w:val="000000" w:themeColor="text1"/>
          <w:kern w:val="0"/>
          <w:szCs w:val="21"/>
          <w:highlight w:val="none"/>
          <w:lang w:val="en-US" w:eastAsia="zh-CN"/>
          <w14:textFill>
            <w14:solidFill>
              <w14:schemeClr w14:val="tx1"/>
            </w14:solidFill>
          </w14:textFill>
        </w:rPr>
        <w:t>服务</w:t>
      </w:r>
      <w:r>
        <w:rPr>
          <w:rFonts w:hint="eastAsia" w:ascii="宋体" w:hAnsi="宋体" w:eastAsia="宋体" w:cs="宋体"/>
          <w:color w:val="000000" w:themeColor="text1"/>
          <w:kern w:val="0"/>
          <w:szCs w:val="21"/>
          <w:highlight w:val="none"/>
          <w14:textFill>
            <w14:solidFill>
              <w14:schemeClr w14:val="tx1"/>
            </w14:solidFill>
          </w14:textFill>
        </w:rPr>
        <w:t>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kinsoku/>
        <w:wordWrap/>
        <w:overflowPunct/>
        <w:topLinePunct w:val="0"/>
        <w:autoSpaceDE/>
        <w:autoSpaceDN/>
        <w:bidi w:val="0"/>
        <w:adjustRightInd/>
        <w:spacing w:line="360" w:lineRule="auto"/>
        <w:ind w:firstLine="424" w:firstLineChars="202"/>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21.1</w:t>
      </w:r>
      <w:r>
        <w:rPr>
          <w:color w:val="auto"/>
          <w:highlight w:val="none"/>
        </w:rPr>
        <w:t>响应文件应密封包装，并在封套的封口处加盖供应商单位章或由供应商的法定代表人（单位负责人）或其授权的代理人签字。</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highlight w:val="none"/>
          <w:lang w:eastAsia="zh-CN"/>
        </w:rPr>
      </w:pPr>
      <w:r>
        <w:rPr>
          <w:rFonts w:hint="eastAsia"/>
          <w:highlight w:val="none"/>
          <w:lang w:eastAsia="zh-CN"/>
        </w:rPr>
        <w:t>2</w:t>
      </w:r>
      <w:r>
        <w:rPr>
          <w:rFonts w:hint="eastAsia"/>
          <w:highlight w:val="none"/>
          <w:lang w:val="en-US" w:eastAsia="zh-CN"/>
        </w:rPr>
        <w:t>1</w:t>
      </w:r>
      <w:r>
        <w:rPr>
          <w:rFonts w:hint="eastAsia"/>
          <w:highlight w:val="none"/>
          <w:lang w:eastAsia="zh-CN"/>
        </w:rPr>
        <w:t>.3 未按本章第2</w:t>
      </w:r>
      <w:r>
        <w:rPr>
          <w:rFonts w:hint="eastAsia"/>
          <w:highlight w:val="none"/>
          <w:lang w:val="en-US" w:eastAsia="zh-CN"/>
        </w:rPr>
        <w:t>1</w:t>
      </w:r>
      <w:r>
        <w:rPr>
          <w:rFonts w:hint="eastAsia"/>
          <w:highlight w:val="none"/>
          <w:lang w:eastAsia="zh-CN"/>
        </w:rPr>
        <w:t>.1项或第2</w:t>
      </w:r>
      <w:r>
        <w:rPr>
          <w:rFonts w:hint="eastAsia"/>
          <w:highlight w:val="none"/>
          <w:lang w:val="en-US" w:eastAsia="zh-CN"/>
        </w:rPr>
        <w:t>1</w:t>
      </w:r>
      <w:r>
        <w:rPr>
          <w:rFonts w:hint="eastAsia"/>
          <w:highlight w:val="none"/>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w:t>
      </w:r>
      <w:r>
        <w:rPr>
          <w:rFonts w:hint="eastAsia" w:ascii="宋体" w:hAnsi="宋体"/>
          <w:color w:val="000000" w:themeColor="text1"/>
          <w:szCs w:val="21"/>
          <w:highlight w:val="none"/>
          <w14:textFill>
            <w14:solidFill>
              <w14:schemeClr w14:val="tx1"/>
            </w14:solidFill>
          </w14:textFill>
        </w:rPr>
        <w:t>有效期、</w:t>
      </w:r>
      <w:r>
        <w:rPr>
          <w:rFonts w:hint="eastAsia" w:ascii="宋体" w:hAnsi="宋体"/>
          <w:color w:val="000000" w:themeColor="text1"/>
          <w:szCs w:val="21"/>
          <w:highlight w:val="none"/>
          <w:lang w:val="en-US" w:eastAsia="zh-CN"/>
          <w14:textFill>
            <w14:solidFill>
              <w14:schemeClr w14:val="tx1"/>
            </w14:solidFill>
          </w14:textFill>
        </w:rPr>
        <w:t>合同履行期限</w:t>
      </w:r>
      <w:r>
        <w:rPr>
          <w:rFonts w:hint="eastAsia" w:ascii="宋体" w:hAnsi="宋体"/>
          <w:color w:val="000000" w:themeColor="text1"/>
          <w:szCs w:val="21"/>
          <w:highlight w:val="none"/>
          <w14:textFill>
            <w14:solidFill>
              <w14:schemeClr w14:val="tx1"/>
            </w14:solidFill>
          </w14:textFill>
        </w:rPr>
        <w:t>、质保期等不</w:t>
      </w:r>
      <w:r>
        <w:rPr>
          <w:rFonts w:hint="eastAsia" w:ascii="宋体" w:hAnsi="宋体"/>
          <w:color w:val="auto"/>
          <w:szCs w:val="21"/>
          <w:highlight w:val="none"/>
        </w:rPr>
        <w:t>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1"/>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377"/>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rPr>
                <w:rFonts w:hint="default" w:eastAsia="宋体"/>
                <w:lang w:val="en-US" w:eastAsia="zh-CN"/>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服务质量</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（25分）</w:t>
            </w:r>
          </w:p>
        </w:tc>
        <w:tc>
          <w:tcPr>
            <w:tcW w:w="2377"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对“第二章、采购需求”的响应、</w:t>
            </w:r>
            <w:r>
              <w:rPr>
                <w:rFonts w:hint="eastAsia" w:ascii="宋体" w:hAnsi="宋体" w:eastAsia="宋体" w:cs="宋体"/>
                <w:b w:val="0"/>
                <w:bCs w:val="0"/>
                <w:color w:val="auto"/>
                <w:sz w:val="21"/>
                <w:szCs w:val="21"/>
                <w:highlight w:val="none"/>
              </w:rPr>
              <w:t>人员配备</w:t>
            </w:r>
            <w:r>
              <w:rPr>
                <w:rFonts w:hint="eastAsia" w:ascii="宋体" w:hAnsi="宋体" w:cs="宋体"/>
                <w:b w:val="0"/>
                <w:bCs w:val="0"/>
                <w:color w:val="auto"/>
                <w:sz w:val="21"/>
                <w:szCs w:val="21"/>
                <w:highlight w:val="none"/>
                <w:lang w:val="en-US" w:eastAsia="zh-CN"/>
              </w:rPr>
              <w:t>及</w:t>
            </w:r>
            <w:r>
              <w:rPr>
                <w:rFonts w:hint="eastAsia" w:ascii="宋体" w:hAnsi="宋体" w:eastAsia="宋体" w:cs="宋体"/>
                <w:b w:val="0"/>
                <w:bCs w:val="0"/>
                <w:color w:val="auto"/>
                <w:sz w:val="21"/>
                <w:szCs w:val="21"/>
                <w:highlight w:val="none"/>
              </w:rPr>
              <w:t>专业技术水平、</w:t>
            </w:r>
            <w:r>
              <w:rPr>
                <w:rFonts w:hint="eastAsia" w:ascii="宋体" w:hAnsi="宋体" w:cs="宋体"/>
                <w:b w:val="0"/>
                <w:bCs w:val="0"/>
                <w:color w:val="auto"/>
                <w:kern w:val="0"/>
                <w:sz w:val="21"/>
                <w:szCs w:val="21"/>
                <w:highlight w:val="none"/>
                <w:lang w:val="en-US" w:eastAsia="zh-CN"/>
              </w:rPr>
              <w:t>企业综合实力等</w:t>
            </w:r>
          </w:p>
        </w:tc>
        <w:tc>
          <w:tcPr>
            <w:tcW w:w="58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根据投标人在投标文件中所附</w:t>
            </w:r>
            <w:r>
              <w:rPr>
                <w:rFonts w:hint="eastAsia" w:ascii="宋体" w:hAnsi="宋体" w:cs="宋体"/>
                <w:b w:val="0"/>
                <w:bCs w:val="0"/>
                <w:color w:val="auto"/>
                <w:sz w:val="21"/>
                <w:szCs w:val="21"/>
                <w:highlight w:val="none"/>
                <w:lang w:val="en-US" w:eastAsia="zh-CN"/>
              </w:rPr>
              <w:t>资料</w:t>
            </w:r>
            <w:r>
              <w:rPr>
                <w:rFonts w:hint="eastAsia" w:ascii="宋体" w:hAnsi="宋体" w:eastAsia="宋体" w:cs="宋体"/>
                <w:b w:val="0"/>
                <w:bCs w:val="0"/>
                <w:color w:val="auto"/>
                <w:sz w:val="21"/>
                <w:szCs w:val="21"/>
                <w:highlight w:val="none"/>
              </w:rPr>
              <w:t>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(20分)</w:t>
            </w:r>
          </w:p>
        </w:tc>
        <w:tc>
          <w:tcPr>
            <w:tcW w:w="2377"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证书、资信等级、类似业绩、质保期、其他优惠承诺等</w:t>
            </w:r>
          </w:p>
        </w:tc>
        <w:tc>
          <w:tcPr>
            <w:tcW w:w="58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(25分)</w:t>
            </w:r>
          </w:p>
        </w:tc>
        <w:tc>
          <w:tcPr>
            <w:tcW w:w="2377"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服务站点、服务响应及时性、售后服务方案</w:t>
            </w:r>
            <w:r>
              <w:rPr>
                <w:rFonts w:hint="eastAsia" w:ascii="宋体" w:hAnsi="宋体" w:cs="宋体"/>
                <w:b w:val="0"/>
                <w:bCs w:val="0"/>
                <w:color w:val="auto"/>
                <w:sz w:val="21"/>
                <w:szCs w:val="21"/>
                <w:highlight w:val="none"/>
                <w:lang w:val="en-US" w:eastAsia="zh-CN"/>
              </w:rPr>
              <w:t>、服务承诺及增值服务</w:t>
            </w:r>
            <w:r>
              <w:rPr>
                <w:rFonts w:hint="eastAsia" w:ascii="宋体" w:hAnsi="宋体" w:eastAsia="宋体" w:cs="宋体"/>
                <w:b w:val="0"/>
                <w:bCs w:val="0"/>
                <w:color w:val="auto"/>
                <w:sz w:val="21"/>
                <w:szCs w:val="21"/>
                <w:highlight w:val="none"/>
                <w:lang w:val="en-US" w:eastAsia="zh-CN"/>
              </w:rPr>
              <w:t>等</w:t>
            </w:r>
          </w:p>
        </w:tc>
        <w:tc>
          <w:tcPr>
            <w:tcW w:w="58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947"/>
      <w:bookmarkStart w:id="47" w:name="_Toc1482"/>
      <w:bookmarkStart w:id="48" w:name="_Toc256519703"/>
      <w:bookmarkStart w:id="49" w:name="_Toc326786897"/>
    </w:p>
    <w:p>
      <w:pPr>
        <w:pStyle w:val="3"/>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pPr>
    </w:p>
    <w:p>
      <w:pPr>
        <w:pStyle w:val="3"/>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w:t>
      </w:r>
      <w:r>
        <w:rPr>
          <w:rFonts w:hint="eastAsia"/>
          <w:color w:val="auto"/>
          <w:sz w:val="24"/>
          <w:highlight w:val="none"/>
          <w:lang w:val="en-US" w:eastAsia="zh-CN"/>
        </w:rPr>
        <w:t xml:space="preserve"> </w:t>
      </w:r>
      <w:r>
        <w:rPr>
          <w:rFonts w:hint="eastAsia"/>
          <w:color w:val="auto"/>
          <w:sz w:val="24"/>
          <w:highlight w:val="none"/>
        </w:rPr>
        <w:t>技术</w:t>
      </w:r>
      <w:r>
        <w:rPr>
          <w:rFonts w:hint="eastAsia"/>
          <w:color w:val="auto"/>
          <w:sz w:val="24"/>
          <w:highlight w:val="none"/>
          <w:lang w:val="en-US" w:eastAsia="zh-CN"/>
        </w:rPr>
        <w:t>部分</w:t>
      </w:r>
      <w:bookmarkEnd w:id="57"/>
    </w:p>
    <w:p>
      <w:pPr>
        <w:snapToGrid w:val="0"/>
        <w:spacing w:line="360" w:lineRule="auto"/>
        <w:ind w:firstLine="480" w:firstLineChars="200"/>
        <w:rPr>
          <w:rFonts w:hint="eastAsia" w:eastAsia="宋体"/>
          <w:color w:val="auto"/>
          <w:sz w:val="24"/>
          <w:highlight w:val="none"/>
          <w:lang w:val="en-US" w:eastAsia="zh-CN"/>
        </w:rPr>
      </w:pPr>
      <w:bookmarkStart w:id="58" w:name="_Toc6234"/>
      <w:r>
        <w:rPr>
          <w:rFonts w:hint="eastAsia"/>
          <w:color w:val="auto"/>
          <w:sz w:val="24"/>
          <w:highlight w:val="none"/>
        </w:rPr>
        <w:t>附件6 商务</w:t>
      </w:r>
      <w:bookmarkEnd w:id="58"/>
      <w:r>
        <w:rPr>
          <w:rFonts w:hint="eastAsia"/>
          <w:color w:val="auto"/>
          <w:sz w:val="24"/>
          <w:highlight w:val="none"/>
          <w:lang w:val="en-US" w:eastAsia="zh-CN"/>
        </w:rPr>
        <w:t>部分</w:t>
      </w:r>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snapToGrid w:val="0"/>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附件11 供应商信用承诺函（格式）</w:t>
      </w:r>
    </w:p>
    <w:p>
      <w:pPr>
        <w:pStyle w:val="29"/>
        <w:rPr>
          <w:rFonts w:hint="eastAsia"/>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48"/>
        <w:rPr>
          <w:rFonts w:hAnsi="宋体"/>
          <w:b/>
          <w:bCs/>
          <w:color w:val="auto"/>
          <w:highlight w:val="none"/>
        </w:rPr>
      </w:pPr>
    </w:p>
    <w:p>
      <w:pPr>
        <w:pStyle w:val="48"/>
        <w:rPr>
          <w:rFonts w:hAnsi="宋体"/>
          <w:b/>
          <w:bCs/>
          <w:color w:val="auto"/>
          <w:highlight w:val="none"/>
        </w:rPr>
      </w:pPr>
    </w:p>
    <w:p>
      <w:pPr>
        <w:rPr>
          <w:color w:val="auto"/>
          <w:highlight w:val="none"/>
        </w:rPr>
      </w:pPr>
      <w:r>
        <w:rPr>
          <w:rFonts w:hint="eastAsia"/>
          <w:color w:val="auto"/>
          <w:highlight w:val="none"/>
        </w:rPr>
        <w:br w:type="page"/>
      </w:r>
    </w:p>
    <w:p>
      <w:pPr>
        <w:pStyle w:val="12"/>
        <w:rPr>
          <w:color w:val="auto"/>
          <w:highlight w:val="none"/>
        </w:rPr>
      </w:pPr>
    </w:p>
    <w:p>
      <w:pPr>
        <w:pStyle w:val="2"/>
        <w:rPr>
          <w:color w:val="auto"/>
          <w:highlight w:val="none"/>
        </w:rPr>
      </w:pPr>
      <w:bookmarkStart w:id="63" w:name="_Toc24743"/>
      <w:bookmarkStart w:id="64" w:name="_Toc31798"/>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8"/>
        <w:spacing w:line="360" w:lineRule="auto"/>
        <w:rPr>
          <w:rFonts w:hint="eastAsia" w:ascii="宋体" w:hAnsi="宋体" w:eastAsia="宋体" w:cs="宋体"/>
          <w:color w:val="auto"/>
          <w:highlight w:val="none"/>
        </w:rPr>
      </w:pPr>
    </w:p>
    <w:p>
      <w:pPr>
        <w:pStyle w:val="48"/>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65" w:name="_Toc14560"/>
      <w:bookmarkStart w:id="66" w:name="_Toc8818"/>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hint="default" w:ascii="宋体" w:hAnsi="宋体"/>
          <w:color w:val="auto"/>
          <w:sz w:val="24"/>
          <w:highlight w:val="none"/>
          <w:lang w:val="en-US"/>
        </w:rPr>
      </w:pPr>
      <w:r>
        <w:rPr>
          <w:rFonts w:ascii="宋体" w:hAnsi="宋体"/>
          <w:color w:val="auto"/>
          <w:sz w:val="24"/>
          <w:highlight w:val="none"/>
        </w:rPr>
        <w:t>单位：人民币</w:t>
      </w:r>
      <w:r>
        <w:rPr>
          <w:rFonts w:hint="eastAsia"/>
          <w:sz w:val="24"/>
          <w:lang w:val="en-US" w:eastAsia="zh-CN"/>
        </w:rPr>
        <w:t>元</w:t>
      </w:r>
    </w:p>
    <w:p>
      <w:pPr>
        <w:rPr>
          <w:color w:val="auto"/>
          <w:highlight w:val="none"/>
        </w:rPr>
      </w:pPr>
    </w:p>
    <w:tbl>
      <w:tblPr>
        <w:tblStyle w:val="31"/>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 xml:space="preserve">大写：        </w:t>
            </w:r>
          </w:p>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小写：        </w:t>
            </w:r>
            <w:r>
              <w:rPr>
                <w:rFonts w:hint="eastAsia"/>
                <w:sz w:val="24"/>
                <w:lang w:val="en-US" w:eastAsia="zh-CN"/>
              </w:rPr>
              <w:t>元</w:t>
            </w:r>
            <w:r>
              <w:rPr>
                <w:rFonts w:hint="eastAsia" w:ascii="宋体" w:hAnsi="宋体"/>
                <w:color w:val="auto"/>
                <w:szCs w:val="21"/>
                <w:highlight w:val="none"/>
                <w:lang w:val="en-US" w:eastAsia="zh-CN"/>
              </w:rPr>
              <w:t>（详见报价明细表）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eastAsia" w:ascii="宋体" w:hAnsi="宋体" w:eastAsia="宋体"/>
                <w:color w:val="auto"/>
                <w:szCs w:val="21"/>
                <w:highlight w:val="none"/>
                <w:lang w:eastAsia="zh-CN"/>
              </w:rPr>
            </w:pPr>
            <w:r>
              <w:rPr>
                <w:rFonts w:hint="eastAsia" w:ascii="宋体" w:hAnsi="宋体"/>
                <w:color w:val="000000" w:themeColor="text1"/>
                <w:szCs w:val="21"/>
                <w:highlight w:val="none"/>
                <w:lang w:val="en-US" w:eastAsia="zh-CN"/>
                <w14:textFill>
                  <w14:solidFill>
                    <w14:schemeClr w14:val="tx1"/>
                  </w14:solidFill>
                </w14:textFill>
              </w:rPr>
              <w:t>服务质量</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color w:val="auto"/>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20" w:firstLineChars="200"/>
        <w:jc w:val="center"/>
        <w:rPr>
          <w:rFonts w:ascii="宋体" w:hAnsi="宋体"/>
          <w:color w:val="auto"/>
          <w:szCs w:val="21"/>
          <w:highlight w:val="none"/>
        </w:rPr>
      </w:pPr>
      <w:bookmarkStart w:id="68" w:name="_Toc11620"/>
      <w:bookmarkStart w:id="69" w:name="_Toc20877"/>
      <w:r>
        <w:rPr>
          <w:rFonts w:hint="eastAsia" w:ascii="宋体" w:hAnsi="宋体"/>
          <w:color w:val="auto"/>
          <w:szCs w:val="21"/>
          <w:highlight w:val="none"/>
        </w:rPr>
        <w:t>投标人（全称并加盖公章）：</w:t>
      </w:r>
      <w:bookmarkEnd w:id="68"/>
      <w:bookmarkEnd w:id="69"/>
    </w:p>
    <w:p>
      <w:pPr>
        <w:spacing w:line="360" w:lineRule="auto"/>
        <w:ind w:firstLine="420" w:firstLineChars="200"/>
        <w:jc w:val="center"/>
        <w:rPr>
          <w:rFonts w:ascii="宋体" w:hAnsi="宋体"/>
          <w:color w:val="auto"/>
          <w:szCs w:val="21"/>
          <w:highlight w:val="none"/>
          <w:u w:val="single"/>
        </w:rPr>
      </w:pPr>
      <w:bookmarkStart w:id="70" w:name="_Toc12222"/>
      <w:bookmarkStart w:id="71" w:name="_Toc625"/>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color w:val="auto"/>
          <w:highlight w:val="none"/>
        </w:rPr>
      </w:pPr>
      <w:bookmarkStart w:id="72" w:name="_Toc9950"/>
      <w:bookmarkStart w:id="73" w:name="_Toc1330"/>
      <w:r>
        <w:rPr>
          <w:rFonts w:hint="eastAsia" w:ascii="宋体" w:hAnsi="宋体"/>
          <w:color w:val="auto"/>
          <w:szCs w:val="21"/>
          <w:highlight w:val="none"/>
        </w:rPr>
        <w:t>年  月  日</w:t>
      </w:r>
      <w:bookmarkEnd w:id="72"/>
      <w:bookmarkEnd w:id="73"/>
    </w:p>
    <w:p>
      <w:pPr>
        <w:rPr>
          <w:color w:val="auto"/>
          <w:highlight w:val="none"/>
        </w:rPr>
      </w:pPr>
    </w:p>
    <w:bookmarkEnd w:id="48"/>
    <w:bookmarkEnd w:id="49"/>
    <w:p>
      <w:pPr>
        <w:spacing w:before="20" w:after="20"/>
        <w:outlineLvl w:val="9"/>
        <w:rPr>
          <w:rFonts w:hint="eastAsia" w:eastAsia="黑体"/>
          <w:color w:val="000000" w:themeColor="text1"/>
          <w:highlight w:val="none"/>
          <w:lang w:eastAsia="zh-CN"/>
          <w14:textFill>
            <w14:solidFill>
              <w14:schemeClr w14:val="tx1"/>
            </w14:solidFill>
          </w14:textFill>
        </w:rPr>
      </w:pPr>
      <w:bookmarkStart w:id="74" w:name="_Toc22004"/>
      <w:bookmarkStart w:id="75" w:name="_Toc24984"/>
    </w:p>
    <w:p>
      <w:pPr>
        <w:outlineLvl w:val="9"/>
        <w:rPr>
          <w:rFonts w:hint="eastAsia"/>
          <w:lang w:eastAsia="zh-CN"/>
        </w:rPr>
      </w:pP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pStyle w:val="2"/>
        <w:spacing w:before="20" w:after="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金额单位：人民币（元）</w:t>
      </w:r>
    </w:p>
    <w:tbl>
      <w:tblPr>
        <w:tblStyle w:val="31"/>
        <w:tblW w:w="9279"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7"/>
        <w:gridCol w:w="2384"/>
        <w:gridCol w:w="1516"/>
        <w:gridCol w:w="1541"/>
        <w:gridCol w:w="1718"/>
        <w:gridCol w:w="12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1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238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服务名称</w:t>
            </w:r>
          </w:p>
        </w:tc>
        <w:tc>
          <w:tcPr>
            <w:tcW w:w="151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单位</w:t>
            </w:r>
          </w:p>
        </w:tc>
        <w:tc>
          <w:tcPr>
            <w:tcW w:w="1541"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1718"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单价</w:t>
            </w:r>
          </w:p>
        </w:tc>
        <w:tc>
          <w:tcPr>
            <w:tcW w:w="1203"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 xml:space="preserve">…… </w:t>
            </w: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076" w:type="dxa"/>
            <w:gridSpan w:val="5"/>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投标总价(</w:t>
            </w:r>
            <w:r>
              <w:rPr>
                <w:rFonts w:hint="eastAsia" w:ascii="宋体" w:hAnsi="宋体" w:cs="宋体"/>
                <w:color w:val="000000" w:themeColor="text1"/>
                <w:kern w:val="0"/>
                <w:sz w:val="24"/>
                <w:szCs w:val="21"/>
                <w:highlight w:val="none"/>
                <w14:textFill>
                  <w14:solidFill>
                    <w14:schemeClr w14:val="tx1"/>
                  </w14:solidFill>
                </w14:textFill>
              </w:rPr>
              <w:t>大写)：</w:t>
            </w:r>
          </w:p>
        </w:tc>
        <w:tc>
          <w:tcPr>
            <w:tcW w:w="1203"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szCs w:val="21"/>
                <w:highlight w:val="none"/>
                <w14:textFill>
                  <w14:solidFill>
                    <w14:schemeClr w14:val="tx1"/>
                  </w14:solidFill>
                </w14:textFill>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2"/>
        <w:rPr>
          <w:rFonts w:hint="eastAsia" w:eastAsia="黑体"/>
          <w:color w:val="auto"/>
          <w:highlight w:val="none"/>
          <w:lang w:val="en-US" w:eastAsia="zh-CN"/>
        </w:rPr>
      </w:pPr>
      <w:r>
        <w:rPr>
          <w:rFonts w:hint="eastAsia"/>
          <w:color w:val="auto"/>
          <w:highlight w:val="none"/>
        </w:rPr>
        <w:br w:type="page"/>
      </w:r>
      <w:bookmarkStart w:id="76" w:name="_Toc226"/>
      <w:bookmarkStart w:id="77" w:name="_Toc15804"/>
      <w:r>
        <w:rPr>
          <w:rFonts w:hint="eastAsia"/>
          <w:color w:val="auto"/>
          <w:highlight w:val="none"/>
        </w:rPr>
        <w:t xml:space="preserve">附件5         </w:t>
      </w:r>
      <w:bookmarkEnd w:id="76"/>
      <w:bookmarkEnd w:id="77"/>
      <w:r>
        <w:rPr>
          <w:rFonts w:hint="eastAsia"/>
          <w:color w:val="auto"/>
          <w:highlight w:val="none"/>
        </w:rPr>
        <w:t xml:space="preserve">     技术响应</w:t>
      </w:r>
      <w:r>
        <w:rPr>
          <w:rFonts w:hint="eastAsia"/>
          <w:color w:val="auto"/>
          <w:highlight w:val="none"/>
          <w:lang w:val="en-US" w:eastAsia="zh-CN"/>
        </w:rPr>
        <w:t>部分</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技术部分相关证明文件</w:t>
      </w: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val="en-US" w:eastAsia="zh-CN"/>
        </w:rPr>
      </w:pPr>
      <w:bookmarkStart w:id="78" w:name="_Toc29960"/>
      <w:bookmarkStart w:id="79" w:name="_Toc20420"/>
      <w:r>
        <w:rPr>
          <w:rFonts w:hint="eastAsia" w:ascii="Arial" w:hAnsi="Arial" w:eastAsia="新宋体"/>
          <w:b/>
          <w:color w:val="auto"/>
          <w:sz w:val="28"/>
          <w:highlight w:val="none"/>
        </w:rPr>
        <w:t>附件6               商务响应</w:t>
      </w:r>
      <w:bookmarkEnd w:id="78"/>
      <w:bookmarkEnd w:id="79"/>
      <w:r>
        <w:rPr>
          <w:rFonts w:hint="eastAsia" w:ascii="Arial" w:hAnsi="Arial" w:eastAsia="新宋体"/>
          <w:b/>
          <w:color w:val="auto"/>
          <w:sz w:val="28"/>
          <w:highlight w:val="none"/>
          <w:lang w:val="en-US" w:eastAsia="zh-CN"/>
        </w:rPr>
        <w:t>部分</w:t>
      </w:r>
    </w:p>
    <w:p>
      <w:pPr>
        <w:widowControl/>
        <w:wordWrap w:val="0"/>
        <w:spacing w:line="460" w:lineRule="exact"/>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 xml:space="preserve">  </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商务部分相关证明文件</w:t>
      </w:r>
    </w:p>
    <w:p>
      <w:pPr>
        <w:rPr>
          <w:rFonts w:cs="宋体"/>
          <w:b/>
          <w:color w:val="auto"/>
          <w:kern w:val="0"/>
          <w:sz w:val="24"/>
          <w:highlight w:val="none"/>
        </w:rPr>
      </w:pPr>
    </w:p>
    <w:p>
      <w:pPr>
        <w:pStyle w:val="2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rPr>
          <w:rFonts w:hint="eastAsia" w:ascii="Arial" w:hAnsi="Arial" w:eastAsia="新宋体"/>
          <w:b/>
          <w:color w:val="auto"/>
          <w:sz w:val="28"/>
          <w:highlight w:val="none"/>
        </w:rPr>
      </w:pPr>
      <w:bookmarkStart w:id="80" w:name="_Toc31526"/>
      <w:bookmarkStart w:id="81" w:name="_Toc28621"/>
      <w:r>
        <w:rPr>
          <w:rFonts w:hint="eastAsia" w:ascii="Arial" w:hAnsi="Arial" w:eastAsia="新宋体"/>
          <w:b/>
          <w:color w:val="auto"/>
          <w:sz w:val="28"/>
          <w:highlight w:val="none"/>
        </w:rPr>
        <w:br w:type="page"/>
      </w:r>
    </w:p>
    <w:p>
      <w:pPr>
        <w:widowControl/>
        <w:wordWrap w:val="0"/>
        <w:spacing w:line="460" w:lineRule="exact"/>
        <w:jc w:val="left"/>
        <w:outlineLvl w:val="0"/>
        <w:rPr>
          <w:rFonts w:ascii="Arial" w:hAnsi="Arial" w:eastAsia="新宋体"/>
          <w:b/>
          <w:color w:val="auto"/>
          <w:sz w:val="28"/>
          <w:highlight w:val="none"/>
        </w:rPr>
      </w:pPr>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1"/>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2"/>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30519"/>
      <w:bookmarkStart w:id="83" w:name="_Toc13976"/>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1"/>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24693"/>
      <w:bookmarkStart w:id="85" w:name="_Toc18105"/>
      <w:r>
        <w:rPr>
          <w:rFonts w:hint="eastAsia" w:ascii="Arial" w:hAnsi="Arial" w:eastAsia="新宋体"/>
          <w:b/>
          <w:color w:val="auto"/>
          <w:sz w:val="28"/>
          <w:highlight w:val="none"/>
        </w:rPr>
        <w:t>附件9               证明文件</w:t>
      </w:r>
      <w:bookmarkEnd w:id="84"/>
      <w:bookmarkEnd w:id="85"/>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3726"/>
      <w:bookmarkStart w:id="88" w:name="_Toc12888"/>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pStyle w:val="29"/>
        <w:rPr>
          <w:rFonts w:ascii="宋体" w:hAnsi="宋体" w:cs="宋体"/>
          <w:color w:val="auto"/>
          <w:kern w:val="0"/>
          <w:szCs w:val="21"/>
          <w:highlight w:val="none"/>
        </w:rPr>
      </w:pPr>
    </w:p>
    <w:p>
      <w:pPr>
        <w:pStyle w:val="30"/>
        <w:rPr>
          <w:rFonts w:ascii="宋体" w:hAnsi="宋体" w:cs="宋体"/>
          <w:color w:val="auto"/>
          <w:kern w:val="0"/>
          <w:szCs w:val="21"/>
          <w:highlight w:val="none"/>
        </w:rPr>
      </w:pPr>
    </w:p>
    <w:p>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致（采购人或政府采购代理机构）：</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单位名称（自然人姓名）：</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统一社会信用代码（身份证号码）：</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法定代表人（负责人）：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联系地址和电话：</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仿宋" w:hAnsi="仿宋" w:eastAsia="仿宋" w:cs="仿宋"/>
          <w:sz w:val="32"/>
          <w:szCs w:val="32"/>
        </w:rPr>
      </w:pPr>
      <w:r>
        <w:rPr>
          <w:rFonts w:hint="eastAsia" w:ascii="宋体" w:hAnsi="宋体" w:eastAsia="宋体" w:cs="宋体"/>
          <w:color w:val="auto"/>
          <w:sz w:val="24"/>
          <w:szCs w:val="24"/>
          <w:lang w:val="en-US" w:eastAsia="zh-CN"/>
        </w:rPr>
        <w:t>（四）有依法缴纳税收和社会保障资金的良好</w:t>
      </w:r>
      <w:r>
        <w:rPr>
          <w:rFonts w:hint="eastAsia" w:ascii="仿宋" w:hAnsi="仿宋" w:eastAsia="仿宋" w:cs="仿宋"/>
          <w:sz w:val="32"/>
          <w:szCs w:val="32"/>
          <w:lang w:val="en-US" w:eastAsia="zh-CN"/>
        </w:rPr>
        <w:t>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（六）未被列入严重失信主体名单、失信被执行人、税收违法黑名单、政府采购严重违法失信行为记录名单，未曾作出虚假承诺；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（七）符合法律、行政法规规定的其他条件。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供应商名称（盖章）：</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法定代表人、负责人、自然人或授权代表(签字)：</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注：1.供应商须在投标（响应性）文件中按此模板提供承诺函，未提供视为未实质性响应招标文件要求，按无效投标（响应）处理。</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2.供应商的法定代表人或者授权代表的签字或盖章应真实、有效，如由授权代表签字或盖章的，应提供“法定代表人授权书”。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
      <w:pPr>
        <w:spacing w:line="360" w:lineRule="auto"/>
        <w:rPr>
          <w:color w:val="auto"/>
          <w:highlight w:val="none"/>
        </w:rPr>
      </w:pPr>
    </w:p>
    <w:p>
      <w:pPr>
        <w:rPr>
          <w:color w:val="auto"/>
          <w:highlight w:val="none"/>
        </w:rPr>
      </w:pPr>
      <w:r>
        <w:rPr>
          <w:color w:val="auto"/>
          <w:highlight w:val="none"/>
        </w:rPr>
        <w:br w:type="page"/>
      </w:r>
    </w:p>
    <w:p>
      <w:pPr>
        <w:pStyle w:val="49"/>
      </w:pPr>
    </w:p>
    <w:p>
      <w:pPr>
        <w:widowControl/>
        <w:snapToGrid w:val="0"/>
        <w:spacing w:line="360" w:lineRule="auto"/>
        <w:jc w:val="center"/>
        <w:outlineLvl w:val="0"/>
        <w:rPr>
          <w:rFonts w:ascii="宋体" w:hAnsi="宋体" w:cs="Lucida Sans Unicode"/>
          <w:b/>
          <w:color w:val="auto"/>
          <w:kern w:val="0"/>
          <w:sz w:val="24"/>
          <w:highlight w:val="none"/>
        </w:rPr>
      </w:pPr>
      <w:bookmarkStart w:id="89" w:name="_Toc25094"/>
      <w:bookmarkStart w:id="90" w:name="_Toc233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rFonts w:hint="eastAsia" w:ascii="宋体" w:hAnsi="宋体" w:cs="宋体"/>
        <w:color w:val="auto"/>
        <w:szCs w:val="21"/>
        <w:highlight w:val="none"/>
        <w:shd w:val="clear" w:color="auto" w:fill="FFFFFF"/>
        <w:lang w:val="en-US" w:eastAsia="zh-CN"/>
      </w:rPr>
      <w:t>驻马店市中心医院120车辆保险二次</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hint="eastAsia"/>
      </w:rPr>
    </w:pPr>
    <w:r>
      <w:rPr>
        <w:rFonts w:hint="eastAsia" w:ascii="宋体" w:hAnsi="宋体" w:cs="宋体"/>
        <w:color w:val="auto"/>
        <w:szCs w:val="21"/>
        <w:highlight w:val="none"/>
        <w:shd w:val="clear" w:color="auto" w:fill="FFFFFF"/>
        <w:lang w:val="en-US" w:eastAsia="zh-CN"/>
      </w:rPr>
      <w:t>驻马店市中心医院120车辆保险二次</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MjRmYTY4OTJhZjc1NTA1MGQwNDc0NzZhNTkwMmU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525212"/>
    <w:rsid w:val="01564054"/>
    <w:rsid w:val="015C0A67"/>
    <w:rsid w:val="017E6D95"/>
    <w:rsid w:val="01D715BE"/>
    <w:rsid w:val="01EB45BC"/>
    <w:rsid w:val="01FA63A5"/>
    <w:rsid w:val="02011C7D"/>
    <w:rsid w:val="02035523"/>
    <w:rsid w:val="021C6E40"/>
    <w:rsid w:val="02222FF2"/>
    <w:rsid w:val="02384FF4"/>
    <w:rsid w:val="023F67A9"/>
    <w:rsid w:val="0247575A"/>
    <w:rsid w:val="025235B1"/>
    <w:rsid w:val="0262674D"/>
    <w:rsid w:val="02747B01"/>
    <w:rsid w:val="02890D36"/>
    <w:rsid w:val="02D92EF7"/>
    <w:rsid w:val="02DA4665"/>
    <w:rsid w:val="02F40325"/>
    <w:rsid w:val="031126C4"/>
    <w:rsid w:val="03475E56"/>
    <w:rsid w:val="035E4919"/>
    <w:rsid w:val="036A009A"/>
    <w:rsid w:val="03844805"/>
    <w:rsid w:val="03845791"/>
    <w:rsid w:val="03A011E9"/>
    <w:rsid w:val="03AE7F27"/>
    <w:rsid w:val="03BD2BCD"/>
    <w:rsid w:val="03CC058D"/>
    <w:rsid w:val="03E017D2"/>
    <w:rsid w:val="03F77068"/>
    <w:rsid w:val="04416C20"/>
    <w:rsid w:val="047968B1"/>
    <w:rsid w:val="04870542"/>
    <w:rsid w:val="04B30F7A"/>
    <w:rsid w:val="054C0111"/>
    <w:rsid w:val="05545DD3"/>
    <w:rsid w:val="056E2AD6"/>
    <w:rsid w:val="05806815"/>
    <w:rsid w:val="058251D3"/>
    <w:rsid w:val="058C28F1"/>
    <w:rsid w:val="05945CCE"/>
    <w:rsid w:val="059D05A4"/>
    <w:rsid w:val="059D5E17"/>
    <w:rsid w:val="05AB0A28"/>
    <w:rsid w:val="05AB0F81"/>
    <w:rsid w:val="05B93D6B"/>
    <w:rsid w:val="05D53002"/>
    <w:rsid w:val="05D75738"/>
    <w:rsid w:val="05F17CC7"/>
    <w:rsid w:val="061E7D14"/>
    <w:rsid w:val="06446B44"/>
    <w:rsid w:val="06560AED"/>
    <w:rsid w:val="066469C9"/>
    <w:rsid w:val="066646A1"/>
    <w:rsid w:val="06983B20"/>
    <w:rsid w:val="069A3B66"/>
    <w:rsid w:val="06B31420"/>
    <w:rsid w:val="06B91765"/>
    <w:rsid w:val="06CA2AD2"/>
    <w:rsid w:val="06CE3071"/>
    <w:rsid w:val="06D33DBA"/>
    <w:rsid w:val="06E13F9F"/>
    <w:rsid w:val="06FB0AC5"/>
    <w:rsid w:val="070D2D5D"/>
    <w:rsid w:val="07111B8D"/>
    <w:rsid w:val="074A5B92"/>
    <w:rsid w:val="075D0147"/>
    <w:rsid w:val="075E3193"/>
    <w:rsid w:val="078E18EB"/>
    <w:rsid w:val="07B10EA5"/>
    <w:rsid w:val="07CE3FA1"/>
    <w:rsid w:val="07EC2ECB"/>
    <w:rsid w:val="07FE66CB"/>
    <w:rsid w:val="080B4D47"/>
    <w:rsid w:val="08321601"/>
    <w:rsid w:val="08326375"/>
    <w:rsid w:val="083D5C91"/>
    <w:rsid w:val="0847191F"/>
    <w:rsid w:val="08591DC3"/>
    <w:rsid w:val="08695E80"/>
    <w:rsid w:val="087C4541"/>
    <w:rsid w:val="087E5595"/>
    <w:rsid w:val="08C52D6F"/>
    <w:rsid w:val="08EF0201"/>
    <w:rsid w:val="08F41DE8"/>
    <w:rsid w:val="09737462"/>
    <w:rsid w:val="099156C3"/>
    <w:rsid w:val="09A53F39"/>
    <w:rsid w:val="09A60E13"/>
    <w:rsid w:val="09A82D92"/>
    <w:rsid w:val="09AB2883"/>
    <w:rsid w:val="09D206F0"/>
    <w:rsid w:val="0A321AC2"/>
    <w:rsid w:val="0A343D4E"/>
    <w:rsid w:val="0A3E6D2E"/>
    <w:rsid w:val="0A8455AD"/>
    <w:rsid w:val="0AD13A85"/>
    <w:rsid w:val="0AE0655C"/>
    <w:rsid w:val="0B091954"/>
    <w:rsid w:val="0B637D77"/>
    <w:rsid w:val="0B7006C4"/>
    <w:rsid w:val="0B726646"/>
    <w:rsid w:val="0BAC324F"/>
    <w:rsid w:val="0BC11EE9"/>
    <w:rsid w:val="0BF16C73"/>
    <w:rsid w:val="0BF72F1E"/>
    <w:rsid w:val="0C3152C1"/>
    <w:rsid w:val="0C3957A5"/>
    <w:rsid w:val="0C626DA7"/>
    <w:rsid w:val="0C6876AE"/>
    <w:rsid w:val="0C71390F"/>
    <w:rsid w:val="0C720EC8"/>
    <w:rsid w:val="0C942042"/>
    <w:rsid w:val="0C9D50DC"/>
    <w:rsid w:val="0CA5271D"/>
    <w:rsid w:val="0CAC4D10"/>
    <w:rsid w:val="0CC72121"/>
    <w:rsid w:val="0CEE5A21"/>
    <w:rsid w:val="0D05268E"/>
    <w:rsid w:val="0D0646E7"/>
    <w:rsid w:val="0D0C38CA"/>
    <w:rsid w:val="0D206810"/>
    <w:rsid w:val="0D735465"/>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72614"/>
    <w:rsid w:val="0F3D59C9"/>
    <w:rsid w:val="0F516D5A"/>
    <w:rsid w:val="0F565B36"/>
    <w:rsid w:val="0F684933"/>
    <w:rsid w:val="0F821E7D"/>
    <w:rsid w:val="0FCA42ED"/>
    <w:rsid w:val="0FE7592C"/>
    <w:rsid w:val="0FFD20F0"/>
    <w:rsid w:val="103E6E57"/>
    <w:rsid w:val="1041497B"/>
    <w:rsid w:val="10425FF6"/>
    <w:rsid w:val="106612B1"/>
    <w:rsid w:val="109010E6"/>
    <w:rsid w:val="10B271F4"/>
    <w:rsid w:val="10B537CC"/>
    <w:rsid w:val="10C8275C"/>
    <w:rsid w:val="10C86D3B"/>
    <w:rsid w:val="10E03539"/>
    <w:rsid w:val="10E82D1F"/>
    <w:rsid w:val="10EE5C94"/>
    <w:rsid w:val="10F5757C"/>
    <w:rsid w:val="113329E7"/>
    <w:rsid w:val="113F294C"/>
    <w:rsid w:val="11437C85"/>
    <w:rsid w:val="1166372C"/>
    <w:rsid w:val="11700D10"/>
    <w:rsid w:val="1178125A"/>
    <w:rsid w:val="118441E0"/>
    <w:rsid w:val="1196056D"/>
    <w:rsid w:val="11D34654"/>
    <w:rsid w:val="12010480"/>
    <w:rsid w:val="120E707F"/>
    <w:rsid w:val="121D0051"/>
    <w:rsid w:val="12413D84"/>
    <w:rsid w:val="127A7D1C"/>
    <w:rsid w:val="12836D8B"/>
    <w:rsid w:val="12AB0349"/>
    <w:rsid w:val="12B66520"/>
    <w:rsid w:val="12CD57F1"/>
    <w:rsid w:val="12CE7AFA"/>
    <w:rsid w:val="12D67466"/>
    <w:rsid w:val="13036052"/>
    <w:rsid w:val="13272A5D"/>
    <w:rsid w:val="13493108"/>
    <w:rsid w:val="13733928"/>
    <w:rsid w:val="13920D68"/>
    <w:rsid w:val="139C16C9"/>
    <w:rsid w:val="13B63CE1"/>
    <w:rsid w:val="13BC6684"/>
    <w:rsid w:val="13C72B3A"/>
    <w:rsid w:val="13DF575E"/>
    <w:rsid w:val="13E470BD"/>
    <w:rsid w:val="13EE3A98"/>
    <w:rsid w:val="142123F7"/>
    <w:rsid w:val="142A11D8"/>
    <w:rsid w:val="144B544C"/>
    <w:rsid w:val="145B7B45"/>
    <w:rsid w:val="14717443"/>
    <w:rsid w:val="148D52E3"/>
    <w:rsid w:val="14992B90"/>
    <w:rsid w:val="14AF1856"/>
    <w:rsid w:val="14AF19A3"/>
    <w:rsid w:val="14B53957"/>
    <w:rsid w:val="14C53ECE"/>
    <w:rsid w:val="14CF6CB0"/>
    <w:rsid w:val="14E002E6"/>
    <w:rsid w:val="14FC36BD"/>
    <w:rsid w:val="14FF5EA7"/>
    <w:rsid w:val="151E3A0F"/>
    <w:rsid w:val="15477903"/>
    <w:rsid w:val="1557566D"/>
    <w:rsid w:val="15811F1B"/>
    <w:rsid w:val="15A30135"/>
    <w:rsid w:val="15A34015"/>
    <w:rsid w:val="15BB487B"/>
    <w:rsid w:val="15CE086D"/>
    <w:rsid w:val="15E2236F"/>
    <w:rsid w:val="161D09ED"/>
    <w:rsid w:val="162323A3"/>
    <w:rsid w:val="162F30B1"/>
    <w:rsid w:val="16510F12"/>
    <w:rsid w:val="166448F9"/>
    <w:rsid w:val="1677211D"/>
    <w:rsid w:val="167954F9"/>
    <w:rsid w:val="169F7296"/>
    <w:rsid w:val="16A060BA"/>
    <w:rsid w:val="16A57EAF"/>
    <w:rsid w:val="16AC6E3F"/>
    <w:rsid w:val="16C872D5"/>
    <w:rsid w:val="16D54FA3"/>
    <w:rsid w:val="16D84D9F"/>
    <w:rsid w:val="16E94D3E"/>
    <w:rsid w:val="170D06E0"/>
    <w:rsid w:val="17332185"/>
    <w:rsid w:val="17475951"/>
    <w:rsid w:val="179F2E61"/>
    <w:rsid w:val="17C227C0"/>
    <w:rsid w:val="17EE5BFF"/>
    <w:rsid w:val="18097740"/>
    <w:rsid w:val="185D3C42"/>
    <w:rsid w:val="185F38AF"/>
    <w:rsid w:val="188F0211"/>
    <w:rsid w:val="18AD1BEB"/>
    <w:rsid w:val="18B3004A"/>
    <w:rsid w:val="18B96080"/>
    <w:rsid w:val="18DB2CD8"/>
    <w:rsid w:val="18F67868"/>
    <w:rsid w:val="190B2D88"/>
    <w:rsid w:val="190E6B63"/>
    <w:rsid w:val="19123928"/>
    <w:rsid w:val="19194264"/>
    <w:rsid w:val="19283048"/>
    <w:rsid w:val="19420786"/>
    <w:rsid w:val="19427EC0"/>
    <w:rsid w:val="195711D7"/>
    <w:rsid w:val="195D2A3F"/>
    <w:rsid w:val="198310E9"/>
    <w:rsid w:val="198D747A"/>
    <w:rsid w:val="19A15638"/>
    <w:rsid w:val="1A125525"/>
    <w:rsid w:val="1A5F4342"/>
    <w:rsid w:val="1A616E2C"/>
    <w:rsid w:val="1A7F369B"/>
    <w:rsid w:val="1A8C5D82"/>
    <w:rsid w:val="1A994988"/>
    <w:rsid w:val="1A9B546C"/>
    <w:rsid w:val="1AA3511F"/>
    <w:rsid w:val="1AAE3B54"/>
    <w:rsid w:val="1AC10987"/>
    <w:rsid w:val="1AF423FA"/>
    <w:rsid w:val="1B0C5B32"/>
    <w:rsid w:val="1B0D3E82"/>
    <w:rsid w:val="1B1652AB"/>
    <w:rsid w:val="1B181CD5"/>
    <w:rsid w:val="1B265306"/>
    <w:rsid w:val="1B4F2450"/>
    <w:rsid w:val="1B530868"/>
    <w:rsid w:val="1B8C18B7"/>
    <w:rsid w:val="1BB73AE1"/>
    <w:rsid w:val="1BDA6D68"/>
    <w:rsid w:val="1BF14125"/>
    <w:rsid w:val="1C555978"/>
    <w:rsid w:val="1C6554A1"/>
    <w:rsid w:val="1C7971B7"/>
    <w:rsid w:val="1C917D91"/>
    <w:rsid w:val="1CD402EC"/>
    <w:rsid w:val="1CED16EF"/>
    <w:rsid w:val="1CF02333"/>
    <w:rsid w:val="1D0C33A2"/>
    <w:rsid w:val="1D113E6E"/>
    <w:rsid w:val="1D114E5E"/>
    <w:rsid w:val="1D1F0050"/>
    <w:rsid w:val="1D2222DC"/>
    <w:rsid w:val="1D5B3CDE"/>
    <w:rsid w:val="1D6E2950"/>
    <w:rsid w:val="1D98209B"/>
    <w:rsid w:val="1DA23746"/>
    <w:rsid w:val="1DAA14B9"/>
    <w:rsid w:val="1DD04513"/>
    <w:rsid w:val="1DDD2BCB"/>
    <w:rsid w:val="1E0345E3"/>
    <w:rsid w:val="1E656063"/>
    <w:rsid w:val="1E6B06A5"/>
    <w:rsid w:val="1E7F7D9E"/>
    <w:rsid w:val="1E840DA4"/>
    <w:rsid w:val="1EA5444C"/>
    <w:rsid w:val="1EB350EF"/>
    <w:rsid w:val="1EC21749"/>
    <w:rsid w:val="1EEB7C4E"/>
    <w:rsid w:val="1F072441"/>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0305C"/>
    <w:rsid w:val="210F579E"/>
    <w:rsid w:val="212550B5"/>
    <w:rsid w:val="21592B62"/>
    <w:rsid w:val="2172049B"/>
    <w:rsid w:val="21747CD2"/>
    <w:rsid w:val="219263AA"/>
    <w:rsid w:val="219E5782"/>
    <w:rsid w:val="21E72B0B"/>
    <w:rsid w:val="221F2D96"/>
    <w:rsid w:val="22246DB1"/>
    <w:rsid w:val="22440067"/>
    <w:rsid w:val="225A6017"/>
    <w:rsid w:val="227A5532"/>
    <w:rsid w:val="22843A03"/>
    <w:rsid w:val="228E5C2C"/>
    <w:rsid w:val="22A338AB"/>
    <w:rsid w:val="22AD37A2"/>
    <w:rsid w:val="22B31E8A"/>
    <w:rsid w:val="22C05285"/>
    <w:rsid w:val="22C735BD"/>
    <w:rsid w:val="22F06957"/>
    <w:rsid w:val="23122833"/>
    <w:rsid w:val="231D4917"/>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474F1"/>
    <w:rsid w:val="25056E93"/>
    <w:rsid w:val="25092EBA"/>
    <w:rsid w:val="25241020"/>
    <w:rsid w:val="257572C3"/>
    <w:rsid w:val="25790E85"/>
    <w:rsid w:val="25972C60"/>
    <w:rsid w:val="25974C6F"/>
    <w:rsid w:val="259D1676"/>
    <w:rsid w:val="25A353EB"/>
    <w:rsid w:val="25B87B65"/>
    <w:rsid w:val="25CB78C3"/>
    <w:rsid w:val="25D54390"/>
    <w:rsid w:val="261879A7"/>
    <w:rsid w:val="261A071C"/>
    <w:rsid w:val="264B0BA4"/>
    <w:rsid w:val="268C5256"/>
    <w:rsid w:val="268E455B"/>
    <w:rsid w:val="26912B30"/>
    <w:rsid w:val="269772F0"/>
    <w:rsid w:val="26997893"/>
    <w:rsid w:val="26A30712"/>
    <w:rsid w:val="26AC0C27"/>
    <w:rsid w:val="26C807A6"/>
    <w:rsid w:val="26D1527F"/>
    <w:rsid w:val="26DB67BA"/>
    <w:rsid w:val="26E311CD"/>
    <w:rsid w:val="26EF24ED"/>
    <w:rsid w:val="26F1408A"/>
    <w:rsid w:val="26F96584"/>
    <w:rsid w:val="27015370"/>
    <w:rsid w:val="270B421F"/>
    <w:rsid w:val="274E2228"/>
    <w:rsid w:val="27517A93"/>
    <w:rsid w:val="275E53AF"/>
    <w:rsid w:val="276658E8"/>
    <w:rsid w:val="277E30D2"/>
    <w:rsid w:val="27803F2A"/>
    <w:rsid w:val="27A34941"/>
    <w:rsid w:val="27EE3A7B"/>
    <w:rsid w:val="283C23DF"/>
    <w:rsid w:val="283D69F1"/>
    <w:rsid w:val="284C16F5"/>
    <w:rsid w:val="28570AB5"/>
    <w:rsid w:val="28622C36"/>
    <w:rsid w:val="28C2534B"/>
    <w:rsid w:val="28C5525A"/>
    <w:rsid w:val="28D14B96"/>
    <w:rsid w:val="29020C46"/>
    <w:rsid w:val="290240C7"/>
    <w:rsid w:val="291A2B97"/>
    <w:rsid w:val="29274EE0"/>
    <w:rsid w:val="2969197F"/>
    <w:rsid w:val="29746E87"/>
    <w:rsid w:val="297C03C2"/>
    <w:rsid w:val="299573AB"/>
    <w:rsid w:val="29BE5BD0"/>
    <w:rsid w:val="29C01572"/>
    <w:rsid w:val="29CA4207"/>
    <w:rsid w:val="29E74CE2"/>
    <w:rsid w:val="2A241B69"/>
    <w:rsid w:val="2A306A36"/>
    <w:rsid w:val="2A5372C6"/>
    <w:rsid w:val="2A5B03D8"/>
    <w:rsid w:val="2A6F6D07"/>
    <w:rsid w:val="2A882500"/>
    <w:rsid w:val="2AB63ABC"/>
    <w:rsid w:val="2B003D00"/>
    <w:rsid w:val="2B074D5E"/>
    <w:rsid w:val="2B100BA9"/>
    <w:rsid w:val="2B1B5825"/>
    <w:rsid w:val="2B1E3AFC"/>
    <w:rsid w:val="2B8D373E"/>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9331F9"/>
    <w:rsid w:val="2DD90B7B"/>
    <w:rsid w:val="2DDD3FC1"/>
    <w:rsid w:val="2DF701D8"/>
    <w:rsid w:val="2DF970A1"/>
    <w:rsid w:val="2E085834"/>
    <w:rsid w:val="2E1034F8"/>
    <w:rsid w:val="2E120D8E"/>
    <w:rsid w:val="2E443652"/>
    <w:rsid w:val="2E505773"/>
    <w:rsid w:val="2E742F70"/>
    <w:rsid w:val="2E9A689E"/>
    <w:rsid w:val="2EDC2A13"/>
    <w:rsid w:val="2EFD7DB9"/>
    <w:rsid w:val="2F1A081D"/>
    <w:rsid w:val="2F1E3DC0"/>
    <w:rsid w:val="2F2D326E"/>
    <w:rsid w:val="2F3112DE"/>
    <w:rsid w:val="2F3B6922"/>
    <w:rsid w:val="2F3D7B25"/>
    <w:rsid w:val="2F506C6D"/>
    <w:rsid w:val="2F51291F"/>
    <w:rsid w:val="2F55758A"/>
    <w:rsid w:val="2F7F15AE"/>
    <w:rsid w:val="2FA54796"/>
    <w:rsid w:val="2FA674E2"/>
    <w:rsid w:val="2FFE7D49"/>
    <w:rsid w:val="3002294D"/>
    <w:rsid w:val="3011153D"/>
    <w:rsid w:val="30142680"/>
    <w:rsid w:val="302A11B1"/>
    <w:rsid w:val="302A5C42"/>
    <w:rsid w:val="30B8125D"/>
    <w:rsid w:val="30BF439A"/>
    <w:rsid w:val="30CF6A37"/>
    <w:rsid w:val="30D250CF"/>
    <w:rsid w:val="31002970"/>
    <w:rsid w:val="311016AD"/>
    <w:rsid w:val="3136622A"/>
    <w:rsid w:val="3139422E"/>
    <w:rsid w:val="31496359"/>
    <w:rsid w:val="314D19A6"/>
    <w:rsid w:val="31700E4B"/>
    <w:rsid w:val="3172683C"/>
    <w:rsid w:val="31A359FC"/>
    <w:rsid w:val="31AD0D61"/>
    <w:rsid w:val="31CD73BD"/>
    <w:rsid w:val="31D66571"/>
    <w:rsid w:val="31DB4220"/>
    <w:rsid w:val="31DC56CD"/>
    <w:rsid w:val="31E63B94"/>
    <w:rsid w:val="31F27AF7"/>
    <w:rsid w:val="32176602"/>
    <w:rsid w:val="322A7699"/>
    <w:rsid w:val="322B25C6"/>
    <w:rsid w:val="32422E70"/>
    <w:rsid w:val="325E56C6"/>
    <w:rsid w:val="3275698A"/>
    <w:rsid w:val="32A93829"/>
    <w:rsid w:val="32B943EC"/>
    <w:rsid w:val="32DC63A0"/>
    <w:rsid w:val="32E429C1"/>
    <w:rsid w:val="330503EE"/>
    <w:rsid w:val="334A3B2A"/>
    <w:rsid w:val="3365592E"/>
    <w:rsid w:val="336A31F3"/>
    <w:rsid w:val="336F6533"/>
    <w:rsid w:val="337E5E2F"/>
    <w:rsid w:val="3384610D"/>
    <w:rsid w:val="33AA5979"/>
    <w:rsid w:val="33C03E90"/>
    <w:rsid w:val="33C96649"/>
    <w:rsid w:val="33CC3D88"/>
    <w:rsid w:val="33DD0306"/>
    <w:rsid w:val="33FD722F"/>
    <w:rsid w:val="3400362D"/>
    <w:rsid w:val="340B09C5"/>
    <w:rsid w:val="341E4CAB"/>
    <w:rsid w:val="34584EE2"/>
    <w:rsid w:val="347D373F"/>
    <w:rsid w:val="34922A93"/>
    <w:rsid w:val="34956481"/>
    <w:rsid w:val="34A35871"/>
    <w:rsid w:val="34C06C9D"/>
    <w:rsid w:val="34DF24AE"/>
    <w:rsid w:val="351C4931"/>
    <w:rsid w:val="351C4EAC"/>
    <w:rsid w:val="351D4C26"/>
    <w:rsid w:val="352E7D40"/>
    <w:rsid w:val="35361A77"/>
    <w:rsid w:val="35461A22"/>
    <w:rsid w:val="35483CC9"/>
    <w:rsid w:val="35A815CB"/>
    <w:rsid w:val="35AA1B9C"/>
    <w:rsid w:val="35DB09A6"/>
    <w:rsid w:val="36080591"/>
    <w:rsid w:val="3609472F"/>
    <w:rsid w:val="369B4CF0"/>
    <w:rsid w:val="36D62629"/>
    <w:rsid w:val="36D76172"/>
    <w:rsid w:val="36E833BB"/>
    <w:rsid w:val="36EB1E1B"/>
    <w:rsid w:val="36F17F0D"/>
    <w:rsid w:val="3735197D"/>
    <w:rsid w:val="373756A2"/>
    <w:rsid w:val="375E0DA6"/>
    <w:rsid w:val="378B61A6"/>
    <w:rsid w:val="37B90F0B"/>
    <w:rsid w:val="37CD3F98"/>
    <w:rsid w:val="37DF75BA"/>
    <w:rsid w:val="37E148E2"/>
    <w:rsid w:val="37F848EE"/>
    <w:rsid w:val="38304889"/>
    <w:rsid w:val="38382675"/>
    <w:rsid w:val="383B7B0D"/>
    <w:rsid w:val="3851700B"/>
    <w:rsid w:val="385246B6"/>
    <w:rsid w:val="3876113B"/>
    <w:rsid w:val="38A53DB7"/>
    <w:rsid w:val="38BF3388"/>
    <w:rsid w:val="38CC268D"/>
    <w:rsid w:val="38DF1FDA"/>
    <w:rsid w:val="38EC2960"/>
    <w:rsid w:val="392536E2"/>
    <w:rsid w:val="39465F15"/>
    <w:rsid w:val="396453C5"/>
    <w:rsid w:val="39922CCF"/>
    <w:rsid w:val="39A65327"/>
    <w:rsid w:val="39A65C9B"/>
    <w:rsid w:val="39BC5ED6"/>
    <w:rsid w:val="39D27231"/>
    <w:rsid w:val="39EB39E0"/>
    <w:rsid w:val="39EF02D4"/>
    <w:rsid w:val="3A11342A"/>
    <w:rsid w:val="3A153110"/>
    <w:rsid w:val="3A2149EA"/>
    <w:rsid w:val="3A2507C0"/>
    <w:rsid w:val="3A393FA7"/>
    <w:rsid w:val="3A3A5A22"/>
    <w:rsid w:val="3A524858"/>
    <w:rsid w:val="3A64203E"/>
    <w:rsid w:val="3A663D00"/>
    <w:rsid w:val="3A7428D0"/>
    <w:rsid w:val="3A923AE4"/>
    <w:rsid w:val="3AA50E25"/>
    <w:rsid w:val="3AC566E3"/>
    <w:rsid w:val="3AD6747A"/>
    <w:rsid w:val="3B312338"/>
    <w:rsid w:val="3B3D0FF2"/>
    <w:rsid w:val="3B521A18"/>
    <w:rsid w:val="3B8D2B96"/>
    <w:rsid w:val="3B923660"/>
    <w:rsid w:val="3BCA44BE"/>
    <w:rsid w:val="3C061F3A"/>
    <w:rsid w:val="3C0A04F9"/>
    <w:rsid w:val="3C495480"/>
    <w:rsid w:val="3C4C3A42"/>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A53531"/>
    <w:rsid w:val="3DB54E0C"/>
    <w:rsid w:val="3DB900C1"/>
    <w:rsid w:val="3DE91725"/>
    <w:rsid w:val="3DF159B1"/>
    <w:rsid w:val="3E011BF1"/>
    <w:rsid w:val="3E1A106E"/>
    <w:rsid w:val="3E36303B"/>
    <w:rsid w:val="3E526044"/>
    <w:rsid w:val="3E6C2B3A"/>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65D15"/>
    <w:rsid w:val="407F2DE9"/>
    <w:rsid w:val="40991379"/>
    <w:rsid w:val="409B3C3D"/>
    <w:rsid w:val="40F701DF"/>
    <w:rsid w:val="40FD480A"/>
    <w:rsid w:val="412A32F8"/>
    <w:rsid w:val="417F433E"/>
    <w:rsid w:val="419C4043"/>
    <w:rsid w:val="41B7239D"/>
    <w:rsid w:val="41FF3845"/>
    <w:rsid w:val="421104A9"/>
    <w:rsid w:val="42143B88"/>
    <w:rsid w:val="42164586"/>
    <w:rsid w:val="425B5DD1"/>
    <w:rsid w:val="4260300C"/>
    <w:rsid w:val="427C799E"/>
    <w:rsid w:val="42800B9B"/>
    <w:rsid w:val="42A06B6C"/>
    <w:rsid w:val="42A27996"/>
    <w:rsid w:val="42AA04E2"/>
    <w:rsid w:val="42EA5650"/>
    <w:rsid w:val="431408DA"/>
    <w:rsid w:val="4331401E"/>
    <w:rsid w:val="43591DDA"/>
    <w:rsid w:val="435A0DF2"/>
    <w:rsid w:val="436C42E1"/>
    <w:rsid w:val="437C210F"/>
    <w:rsid w:val="43847F02"/>
    <w:rsid w:val="438F113C"/>
    <w:rsid w:val="439E7EFB"/>
    <w:rsid w:val="43B1568A"/>
    <w:rsid w:val="43BD7F58"/>
    <w:rsid w:val="43D43ECA"/>
    <w:rsid w:val="43DD452F"/>
    <w:rsid w:val="43DE6CD4"/>
    <w:rsid w:val="43E51150"/>
    <w:rsid w:val="43EF28BB"/>
    <w:rsid w:val="43EF56D3"/>
    <w:rsid w:val="44095C00"/>
    <w:rsid w:val="440A6FD2"/>
    <w:rsid w:val="444946CA"/>
    <w:rsid w:val="444B3F54"/>
    <w:rsid w:val="4476661F"/>
    <w:rsid w:val="447E3AC5"/>
    <w:rsid w:val="448E5DEE"/>
    <w:rsid w:val="44A90BAA"/>
    <w:rsid w:val="44B24A20"/>
    <w:rsid w:val="44BC0BEE"/>
    <w:rsid w:val="44BF6C07"/>
    <w:rsid w:val="44C55A88"/>
    <w:rsid w:val="44FB1C9C"/>
    <w:rsid w:val="454F1836"/>
    <w:rsid w:val="45887B45"/>
    <w:rsid w:val="458B66DF"/>
    <w:rsid w:val="45940F0E"/>
    <w:rsid w:val="45AC5DBA"/>
    <w:rsid w:val="45C647AF"/>
    <w:rsid w:val="45DD529D"/>
    <w:rsid w:val="45E57886"/>
    <w:rsid w:val="46003076"/>
    <w:rsid w:val="46026F63"/>
    <w:rsid w:val="46177E29"/>
    <w:rsid w:val="46205B7F"/>
    <w:rsid w:val="465D501C"/>
    <w:rsid w:val="466367DB"/>
    <w:rsid w:val="46686D18"/>
    <w:rsid w:val="46BF7E2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66773"/>
    <w:rsid w:val="485A23C2"/>
    <w:rsid w:val="48A16B62"/>
    <w:rsid w:val="48BC6222"/>
    <w:rsid w:val="48C245E9"/>
    <w:rsid w:val="48DB312A"/>
    <w:rsid w:val="48DF49D9"/>
    <w:rsid w:val="492108CC"/>
    <w:rsid w:val="49413F52"/>
    <w:rsid w:val="494F6304"/>
    <w:rsid w:val="4A05334F"/>
    <w:rsid w:val="4A244932"/>
    <w:rsid w:val="4A2922C8"/>
    <w:rsid w:val="4A4117B2"/>
    <w:rsid w:val="4A7A4350"/>
    <w:rsid w:val="4A7E2497"/>
    <w:rsid w:val="4A896826"/>
    <w:rsid w:val="4ABF5E17"/>
    <w:rsid w:val="4AD52CE0"/>
    <w:rsid w:val="4AE01A66"/>
    <w:rsid w:val="4AE104D6"/>
    <w:rsid w:val="4AED707B"/>
    <w:rsid w:val="4B015D61"/>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E9350A"/>
    <w:rsid w:val="4D297BF3"/>
    <w:rsid w:val="4D2D0EAF"/>
    <w:rsid w:val="4D7F0082"/>
    <w:rsid w:val="4D952FD9"/>
    <w:rsid w:val="4D970662"/>
    <w:rsid w:val="4DB33393"/>
    <w:rsid w:val="4DBC3CE3"/>
    <w:rsid w:val="4DCF1E0D"/>
    <w:rsid w:val="4DD632D9"/>
    <w:rsid w:val="4DE05D9E"/>
    <w:rsid w:val="4DE05DF9"/>
    <w:rsid w:val="4DE44800"/>
    <w:rsid w:val="4DEE0709"/>
    <w:rsid w:val="4DFC14EA"/>
    <w:rsid w:val="4DFF6815"/>
    <w:rsid w:val="4E0A3427"/>
    <w:rsid w:val="4E304B5D"/>
    <w:rsid w:val="4E611B8B"/>
    <w:rsid w:val="4E682F8C"/>
    <w:rsid w:val="4E6A7BB7"/>
    <w:rsid w:val="4F0773B4"/>
    <w:rsid w:val="4F307BB1"/>
    <w:rsid w:val="4F3D562D"/>
    <w:rsid w:val="4F5C4EE0"/>
    <w:rsid w:val="4F6E1972"/>
    <w:rsid w:val="4F943166"/>
    <w:rsid w:val="4FBA02A1"/>
    <w:rsid w:val="4FE7106E"/>
    <w:rsid w:val="50053943"/>
    <w:rsid w:val="50374A3C"/>
    <w:rsid w:val="50550E55"/>
    <w:rsid w:val="50901457"/>
    <w:rsid w:val="509F43E4"/>
    <w:rsid w:val="50A54D3E"/>
    <w:rsid w:val="50F1402B"/>
    <w:rsid w:val="50FD2AD9"/>
    <w:rsid w:val="51097D9A"/>
    <w:rsid w:val="51237D2E"/>
    <w:rsid w:val="515B06D0"/>
    <w:rsid w:val="51996737"/>
    <w:rsid w:val="51B408B8"/>
    <w:rsid w:val="51B80848"/>
    <w:rsid w:val="51CC0868"/>
    <w:rsid w:val="51D5340F"/>
    <w:rsid w:val="52382F2A"/>
    <w:rsid w:val="52386E3D"/>
    <w:rsid w:val="523A7DD1"/>
    <w:rsid w:val="523B7711"/>
    <w:rsid w:val="5271774C"/>
    <w:rsid w:val="52DE008D"/>
    <w:rsid w:val="52EE341E"/>
    <w:rsid w:val="52F37FE6"/>
    <w:rsid w:val="52FC1CAF"/>
    <w:rsid w:val="531A330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3EC4BF7"/>
    <w:rsid w:val="53F758A1"/>
    <w:rsid w:val="540D5A7F"/>
    <w:rsid w:val="542E2BC2"/>
    <w:rsid w:val="54352A96"/>
    <w:rsid w:val="54447390"/>
    <w:rsid w:val="545E1D01"/>
    <w:rsid w:val="54935B8F"/>
    <w:rsid w:val="54CC6227"/>
    <w:rsid w:val="54D10F9B"/>
    <w:rsid w:val="54D97871"/>
    <w:rsid w:val="551D586C"/>
    <w:rsid w:val="55200298"/>
    <w:rsid w:val="55335E1B"/>
    <w:rsid w:val="554B7EF0"/>
    <w:rsid w:val="556F3D99"/>
    <w:rsid w:val="55720837"/>
    <w:rsid w:val="55860894"/>
    <w:rsid w:val="558F6181"/>
    <w:rsid w:val="55B02DF1"/>
    <w:rsid w:val="55DC290C"/>
    <w:rsid w:val="55EA5D64"/>
    <w:rsid w:val="55F01FA1"/>
    <w:rsid w:val="56130B60"/>
    <w:rsid w:val="56990B7C"/>
    <w:rsid w:val="569E1126"/>
    <w:rsid w:val="56B80DEB"/>
    <w:rsid w:val="56E0560F"/>
    <w:rsid w:val="56E06E61"/>
    <w:rsid w:val="56F653FE"/>
    <w:rsid w:val="574448FC"/>
    <w:rsid w:val="575B7AFD"/>
    <w:rsid w:val="57660D3F"/>
    <w:rsid w:val="57D1153D"/>
    <w:rsid w:val="57FA3774"/>
    <w:rsid w:val="58084A3C"/>
    <w:rsid w:val="582772A7"/>
    <w:rsid w:val="58531B77"/>
    <w:rsid w:val="585D2975"/>
    <w:rsid w:val="585F64F9"/>
    <w:rsid w:val="587E3341"/>
    <w:rsid w:val="58CF56D8"/>
    <w:rsid w:val="58D31010"/>
    <w:rsid w:val="58D6741E"/>
    <w:rsid w:val="58DB0535"/>
    <w:rsid w:val="58E62E0E"/>
    <w:rsid w:val="58EA3D0E"/>
    <w:rsid w:val="58F71269"/>
    <w:rsid w:val="58FE045E"/>
    <w:rsid w:val="59561946"/>
    <w:rsid w:val="59670F51"/>
    <w:rsid w:val="596A44F9"/>
    <w:rsid w:val="596C19BB"/>
    <w:rsid w:val="59790BDB"/>
    <w:rsid w:val="597E3F42"/>
    <w:rsid w:val="598653AC"/>
    <w:rsid w:val="59AC3C86"/>
    <w:rsid w:val="59D42FDA"/>
    <w:rsid w:val="59DA4E01"/>
    <w:rsid w:val="59F64E82"/>
    <w:rsid w:val="5A0A5DD6"/>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6D62B9"/>
    <w:rsid w:val="5B9A2B59"/>
    <w:rsid w:val="5BC0085A"/>
    <w:rsid w:val="5BF03D58"/>
    <w:rsid w:val="5BF20AFB"/>
    <w:rsid w:val="5C1A6BB2"/>
    <w:rsid w:val="5C37233A"/>
    <w:rsid w:val="5C5355FE"/>
    <w:rsid w:val="5C6F4105"/>
    <w:rsid w:val="5CBB7F6F"/>
    <w:rsid w:val="5CC248CE"/>
    <w:rsid w:val="5D442CB4"/>
    <w:rsid w:val="5D7C3F11"/>
    <w:rsid w:val="5D9D49E0"/>
    <w:rsid w:val="5DDF1821"/>
    <w:rsid w:val="5DE2656A"/>
    <w:rsid w:val="5DEA2F91"/>
    <w:rsid w:val="5DF94AE0"/>
    <w:rsid w:val="5DFA5883"/>
    <w:rsid w:val="5E3146A3"/>
    <w:rsid w:val="5E442F62"/>
    <w:rsid w:val="5E6C2C5B"/>
    <w:rsid w:val="5E6E2DD8"/>
    <w:rsid w:val="5E7251A2"/>
    <w:rsid w:val="5E7C3591"/>
    <w:rsid w:val="5E9D0E18"/>
    <w:rsid w:val="5EA341D7"/>
    <w:rsid w:val="5EA755DE"/>
    <w:rsid w:val="5ED35F0E"/>
    <w:rsid w:val="5EFC1390"/>
    <w:rsid w:val="5EFC3EB6"/>
    <w:rsid w:val="5F03335D"/>
    <w:rsid w:val="5F0368C7"/>
    <w:rsid w:val="5F1544E7"/>
    <w:rsid w:val="5F312D8D"/>
    <w:rsid w:val="5F3C4923"/>
    <w:rsid w:val="5F5A7800"/>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021B3"/>
    <w:rsid w:val="613253FD"/>
    <w:rsid w:val="61421F29"/>
    <w:rsid w:val="61712185"/>
    <w:rsid w:val="618B7207"/>
    <w:rsid w:val="61A90D68"/>
    <w:rsid w:val="62065A1D"/>
    <w:rsid w:val="621775E2"/>
    <w:rsid w:val="622F7552"/>
    <w:rsid w:val="6250406E"/>
    <w:rsid w:val="627D6831"/>
    <w:rsid w:val="62811B1C"/>
    <w:rsid w:val="62A20409"/>
    <w:rsid w:val="62B54B44"/>
    <w:rsid w:val="62E045DA"/>
    <w:rsid w:val="62E454A1"/>
    <w:rsid w:val="62F36E4C"/>
    <w:rsid w:val="62F47F8F"/>
    <w:rsid w:val="62F7233F"/>
    <w:rsid w:val="631F3FB4"/>
    <w:rsid w:val="6340438B"/>
    <w:rsid w:val="6353238E"/>
    <w:rsid w:val="63612AB8"/>
    <w:rsid w:val="6379289B"/>
    <w:rsid w:val="637D0978"/>
    <w:rsid w:val="638968B0"/>
    <w:rsid w:val="638A282C"/>
    <w:rsid w:val="63A85E90"/>
    <w:rsid w:val="63A962DB"/>
    <w:rsid w:val="63AB1A91"/>
    <w:rsid w:val="63B82D47"/>
    <w:rsid w:val="63C74D38"/>
    <w:rsid w:val="63EE4692"/>
    <w:rsid w:val="63FD622D"/>
    <w:rsid w:val="643F32F9"/>
    <w:rsid w:val="64582686"/>
    <w:rsid w:val="64673C87"/>
    <w:rsid w:val="64A251DD"/>
    <w:rsid w:val="650242F0"/>
    <w:rsid w:val="65365B2B"/>
    <w:rsid w:val="653F447E"/>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6F127F8"/>
    <w:rsid w:val="67071922"/>
    <w:rsid w:val="673B73C0"/>
    <w:rsid w:val="674743C8"/>
    <w:rsid w:val="675608B6"/>
    <w:rsid w:val="67754402"/>
    <w:rsid w:val="677D54ED"/>
    <w:rsid w:val="67B25E27"/>
    <w:rsid w:val="67B4646D"/>
    <w:rsid w:val="67C4383B"/>
    <w:rsid w:val="67D35E1A"/>
    <w:rsid w:val="67F35317"/>
    <w:rsid w:val="680201B7"/>
    <w:rsid w:val="68362BFB"/>
    <w:rsid w:val="683F1130"/>
    <w:rsid w:val="684456A1"/>
    <w:rsid w:val="685E1363"/>
    <w:rsid w:val="687731D1"/>
    <w:rsid w:val="6878475E"/>
    <w:rsid w:val="688E1089"/>
    <w:rsid w:val="68A026F3"/>
    <w:rsid w:val="68AF6C13"/>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E70FA1"/>
    <w:rsid w:val="6CFA6351"/>
    <w:rsid w:val="6CFC3C40"/>
    <w:rsid w:val="6D480984"/>
    <w:rsid w:val="6DB13E57"/>
    <w:rsid w:val="6DC71662"/>
    <w:rsid w:val="6DCD5126"/>
    <w:rsid w:val="6DDB6CB0"/>
    <w:rsid w:val="6DE21877"/>
    <w:rsid w:val="6DE52ACD"/>
    <w:rsid w:val="6DFC0B44"/>
    <w:rsid w:val="6E0458E7"/>
    <w:rsid w:val="6E212037"/>
    <w:rsid w:val="6E3B221B"/>
    <w:rsid w:val="6E475779"/>
    <w:rsid w:val="6E7764EF"/>
    <w:rsid w:val="6EAD447C"/>
    <w:rsid w:val="6EAE5472"/>
    <w:rsid w:val="6ECD7F59"/>
    <w:rsid w:val="6EED7C80"/>
    <w:rsid w:val="6EF773A4"/>
    <w:rsid w:val="6F2F2D9E"/>
    <w:rsid w:val="6F4147D9"/>
    <w:rsid w:val="6F5B0D5A"/>
    <w:rsid w:val="6F5C35EA"/>
    <w:rsid w:val="6F6B6A15"/>
    <w:rsid w:val="6F947E4B"/>
    <w:rsid w:val="6FA30BDA"/>
    <w:rsid w:val="6FB21D4C"/>
    <w:rsid w:val="6FB80698"/>
    <w:rsid w:val="701021F4"/>
    <w:rsid w:val="7024611F"/>
    <w:rsid w:val="70637B96"/>
    <w:rsid w:val="70797317"/>
    <w:rsid w:val="7099044B"/>
    <w:rsid w:val="709D518F"/>
    <w:rsid w:val="70C759D3"/>
    <w:rsid w:val="70CF2B23"/>
    <w:rsid w:val="70D70CB1"/>
    <w:rsid w:val="710952C1"/>
    <w:rsid w:val="71452CD8"/>
    <w:rsid w:val="7158683A"/>
    <w:rsid w:val="715B2F52"/>
    <w:rsid w:val="71764F23"/>
    <w:rsid w:val="71946576"/>
    <w:rsid w:val="71967E84"/>
    <w:rsid w:val="71A61873"/>
    <w:rsid w:val="71AF4936"/>
    <w:rsid w:val="71B12351"/>
    <w:rsid w:val="71D75D0F"/>
    <w:rsid w:val="721919B3"/>
    <w:rsid w:val="721A6098"/>
    <w:rsid w:val="721D18D3"/>
    <w:rsid w:val="72310D1A"/>
    <w:rsid w:val="725D6B54"/>
    <w:rsid w:val="72986FA0"/>
    <w:rsid w:val="72A17C99"/>
    <w:rsid w:val="72AD7197"/>
    <w:rsid w:val="72AF6F7E"/>
    <w:rsid w:val="72CD226C"/>
    <w:rsid w:val="73047904"/>
    <w:rsid w:val="73253EFA"/>
    <w:rsid w:val="734C1A6A"/>
    <w:rsid w:val="735C5949"/>
    <w:rsid w:val="73737DA5"/>
    <w:rsid w:val="73740A39"/>
    <w:rsid w:val="73887B3E"/>
    <w:rsid w:val="73892412"/>
    <w:rsid w:val="73AF2114"/>
    <w:rsid w:val="73E96BCA"/>
    <w:rsid w:val="73EE4A6E"/>
    <w:rsid w:val="741048BC"/>
    <w:rsid w:val="742E78D4"/>
    <w:rsid w:val="74317498"/>
    <w:rsid w:val="74335A84"/>
    <w:rsid w:val="74676A28"/>
    <w:rsid w:val="747E40B6"/>
    <w:rsid w:val="74AC3224"/>
    <w:rsid w:val="74BB2C83"/>
    <w:rsid w:val="74C33758"/>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58241F"/>
    <w:rsid w:val="777A7D22"/>
    <w:rsid w:val="77835654"/>
    <w:rsid w:val="7797109C"/>
    <w:rsid w:val="779A2A38"/>
    <w:rsid w:val="77B4450A"/>
    <w:rsid w:val="77B46E73"/>
    <w:rsid w:val="77E37A12"/>
    <w:rsid w:val="77FE3468"/>
    <w:rsid w:val="78250553"/>
    <w:rsid w:val="78546F0C"/>
    <w:rsid w:val="78EE1C79"/>
    <w:rsid w:val="78F85605"/>
    <w:rsid w:val="78FA66FA"/>
    <w:rsid w:val="79424F6E"/>
    <w:rsid w:val="797239CC"/>
    <w:rsid w:val="79831473"/>
    <w:rsid w:val="7999527A"/>
    <w:rsid w:val="79AF76C5"/>
    <w:rsid w:val="79C25EE1"/>
    <w:rsid w:val="79CE2967"/>
    <w:rsid w:val="79EA664C"/>
    <w:rsid w:val="79F9627A"/>
    <w:rsid w:val="7A2F3BBF"/>
    <w:rsid w:val="7A2F459A"/>
    <w:rsid w:val="7A322A39"/>
    <w:rsid w:val="7A517022"/>
    <w:rsid w:val="7A6F5001"/>
    <w:rsid w:val="7AA2343E"/>
    <w:rsid w:val="7AD60EB8"/>
    <w:rsid w:val="7ADA73A4"/>
    <w:rsid w:val="7AE66B99"/>
    <w:rsid w:val="7AFE508C"/>
    <w:rsid w:val="7B0A3BCA"/>
    <w:rsid w:val="7B345AA9"/>
    <w:rsid w:val="7B4048C1"/>
    <w:rsid w:val="7B73082F"/>
    <w:rsid w:val="7BB46FBD"/>
    <w:rsid w:val="7BC62E00"/>
    <w:rsid w:val="7BC86173"/>
    <w:rsid w:val="7BE35E2A"/>
    <w:rsid w:val="7BF66C24"/>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777A3E"/>
    <w:rsid w:val="7D9005BC"/>
    <w:rsid w:val="7D9F0AD0"/>
    <w:rsid w:val="7DD12BB7"/>
    <w:rsid w:val="7DF223A2"/>
    <w:rsid w:val="7DFF0955"/>
    <w:rsid w:val="7E0B750E"/>
    <w:rsid w:val="7E1939E8"/>
    <w:rsid w:val="7E2822EA"/>
    <w:rsid w:val="7E355A7B"/>
    <w:rsid w:val="7E6E3E85"/>
    <w:rsid w:val="7E9C184B"/>
    <w:rsid w:val="7EA72948"/>
    <w:rsid w:val="7EB31EDB"/>
    <w:rsid w:val="7EE70CC0"/>
    <w:rsid w:val="7EEB48DB"/>
    <w:rsid w:val="7EF27444"/>
    <w:rsid w:val="7F185A04"/>
    <w:rsid w:val="7F265C58"/>
    <w:rsid w:val="7F4C461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5"/>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3"/>
    <w:qFormat/>
    <w:uiPriority w:val="0"/>
  </w:style>
  <w:style w:type="paragraph" w:styleId="12">
    <w:name w:val="Body Text 2"/>
    <w:basedOn w:val="1"/>
    <w:next w:val="11"/>
    <w:qFormat/>
    <w:uiPriority w:val="0"/>
    <w:pPr>
      <w:spacing w:line="480" w:lineRule="auto"/>
    </w:p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1"/>
    <w:next w:val="30"/>
    <w:qFormat/>
    <w:uiPriority w:val="0"/>
    <w:pPr>
      <w:spacing w:line="360" w:lineRule="auto"/>
      <w:ind w:firstLine="420" w:firstLineChars="100"/>
    </w:pPr>
    <w:rPr>
      <w:szCs w:val="21"/>
    </w:rPr>
  </w:style>
  <w:style w:type="paragraph" w:styleId="30">
    <w:name w:val="Body Text First Indent 2"/>
    <w:basedOn w:val="13"/>
    <w:next w:val="1"/>
    <w:qFormat/>
    <w:uiPriority w:val="0"/>
    <w:pPr>
      <w:ind w:firstLine="420" w:firstLineChars="200"/>
    </w:pPr>
  </w:style>
  <w:style w:type="table" w:styleId="32">
    <w:name w:val="Table Grid"/>
    <w:basedOn w:val="3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0"/>
    <w:rPr>
      <w:b/>
      <w:bCs/>
      <w:szCs w:val="24"/>
    </w:rPr>
  </w:style>
  <w:style w:type="character" w:styleId="35">
    <w:name w:val="page number"/>
    <w:basedOn w:val="33"/>
    <w:qFormat/>
    <w:uiPriority w:val="0"/>
  </w:style>
  <w:style w:type="character" w:styleId="36">
    <w:name w:val="FollowedHyperlink"/>
    <w:qFormat/>
    <w:uiPriority w:val="0"/>
    <w:rPr>
      <w:color w:val="333333"/>
      <w:szCs w:val="24"/>
      <w:u w:val="none"/>
    </w:rPr>
  </w:style>
  <w:style w:type="character" w:styleId="37">
    <w:name w:val="Emphasis"/>
    <w:basedOn w:val="33"/>
    <w:qFormat/>
    <w:uiPriority w:val="0"/>
  </w:style>
  <w:style w:type="character" w:styleId="38">
    <w:name w:val="HTML Definition"/>
    <w:basedOn w:val="33"/>
    <w:qFormat/>
    <w:uiPriority w:val="0"/>
  </w:style>
  <w:style w:type="character" w:styleId="39">
    <w:name w:val="HTML Typewriter"/>
    <w:basedOn w:val="33"/>
    <w:qFormat/>
    <w:uiPriority w:val="0"/>
    <w:rPr>
      <w:rFonts w:hint="default" w:ascii="monospace" w:hAnsi="monospace" w:eastAsia="monospace" w:cs="monospace"/>
      <w:sz w:val="20"/>
    </w:rPr>
  </w:style>
  <w:style w:type="character" w:styleId="40">
    <w:name w:val="HTML Acronym"/>
    <w:basedOn w:val="33"/>
    <w:qFormat/>
    <w:uiPriority w:val="0"/>
  </w:style>
  <w:style w:type="character" w:styleId="41">
    <w:name w:val="HTML Variable"/>
    <w:basedOn w:val="33"/>
    <w:qFormat/>
    <w:uiPriority w:val="0"/>
  </w:style>
  <w:style w:type="character" w:styleId="42">
    <w:name w:val="Hyperlink"/>
    <w:basedOn w:val="33"/>
    <w:qFormat/>
    <w:uiPriority w:val="0"/>
    <w:rPr>
      <w:color w:val="333333"/>
      <w:szCs w:val="24"/>
      <w:u w:val="none"/>
    </w:rPr>
  </w:style>
  <w:style w:type="character" w:styleId="43">
    <w:name w:val="HTML Code"/>
    <w:basedOn w:val="33"/>
    <w:qFormat/>
    <w:uiPriority w:val="0"/>
    <w:rPr>
      <w:rFonts w:ascii="monospace" w:hAnsi="monospace" w:eastAsia="monospace" w:cs="monospace"/>
      <w:sz w:val="20"/>
    </w:rPr>
  </w:style>
  <w:style w:type="character" w:styleId="44">
    <w:name w:val="HTML Cite"/>
    <w:basedOn w:val="33"/>
    <w:qFormat/>
    <w:uiPriority w:val="0"/>
  </w:style>
  <w:style w:type="character" w:styleId="45">
    <w:name w:val="HTML Keyboard"/>
    <w:basedOn w:val="33"/>
    <w:qFormat/>
    <w:uiPriority w:val="0"/>
    <w:rPr>
      <w:rFonts w:hint="default" w:ascii="monospace" w:hAnsi="monospace" w:eastAsia="monospace" w:cs="monospace"/>
      <w:sz w:val="20"/>
    </w:rPr>
  </w:style>
  <w:style w:type="character" w:styleId="46">
    <w:name w:val="HTML Sample"/>
    <w:basedOn w:val="33"/>
    <w:qFormat/>
    <w:uiPriority w:val="0"/>
    <w:rPr>
      <w:rFonts w:hint="default" w:ascii="monospace" w:hAnsi="monospace" w:eastAsia="monospace" w:cs="monospace"/>
    </w:rPr>
  </w:style>
  <w:style w:type="paragraph" w:customStyle="1" w:styleId="47">
    <w:name w:val="目录 51"/>
    <w:next w:val="1"/>
    <w:qFormat/>
    <w:uiPriority w:val="0"/>
    <w:pPr>
      <w:wordWrap w:val="0"/>
      <w:ind w:left="1700"/>
      <w:jc w:val="both"/>
    </w:pPr>
    <w:rPr>
      <w:rFonts w:ascii="Calibri" w:hAnsi="Calibri" w:eastAsia="Calibri" w:cs="Times New Roman"/>
      <w:sz w:val="21"/>
      <w:lang w:val="en-US" w:eastAsia="zh-CN" w:bidi="ar-SA"/>
    </w:rPr>
  </w:style>
  <w:style w:type="paragraph" w:customStyle="1" w:styleId="48">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9">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50">
    <w:name w:val="No Spacing1"/>
    <w:basedOn w:val="1"/>
    <w:qFormat/>
    <w:uiPriority w:val="0"/>
    <w:pPr>
      <w:spacing w:line="400" w:lineRule="exact"/>
    </w:pPr>
    <w:rPr>
      <w:sz w:val="24"/>
    </w:rPr>
  </w:style>
  <w:style w:type="paragraph" w:customStyle="1" w:styleId="51">
    <w:name w:val="大标题"/>
    <w:basedOn w:val="1"/>
    <w:next w:val="30"/>
    <w:qFormat/>
    <w:uiPriority w:val="0"/>
    <w:pPr>
      <w:jc w:val="center"/>
    </w:pPr>
    <w:rPr>
      <w:rFonts w:ascii="Arial" w:hAnsi="Arial"/>
      <w:b/>
      <w:sz w:val="28"/>
    </w:rPr>
  </w:style>
  <w:style w:type="paragraph" w:customStyle="1" w:styleId="5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3">
    <w:name w:val="Char"/>
    <w:basedOn w:val="1"/>
    <w:qFormat/>
    <w:uiPriority w:val="0"/>
  </w:style>
  <w:style w:type="paragraph" w:customStyle="1" w:styleId="54">
    <w:name w:val="正文缩进1"/>
    <w:basedOn w:val="1"/>
    <w:qFormat/>
    <w:uiPriority w:val="0"/>
    <w:pPr>
      <w:widowControl/>
      <w:ind w:firstLine="420"/>
      <w:jc w:val="left"/>
    </w:pPr>
    <w:rPr>
      <w:kern w:val="0"/>
      <w:szCs w:val="20"/>
    </w:rPr>
  </w:style>
  <w:style w:type="paragraph" w:customStyle="1" w:styleId="55">
    <w:name w:val="列出段落2"/>
    <w:basedOn w:val="1"/>
    <w:qFormat/>
    <w:uiPriority w:val="34"/>
    <w:pPr>
      <w:ind w:firstLine="420" w:firstLineChars="200"/>
    </w:pPr>
  </w:style>
  <w:style w:type="paragraph" w:customStyle="1" w:styleId="56">
    <w:name w:val="plaintext"/>
    <w:basedOn w:val="1"/>
    <w:qFormat/>
    <w:uiPriority w:val="0"/>
    <w:pPr>
      <w:widowControl/>
      <w:spacing w:beforeAutospacing="1" w:afterAutospacing="1"/>
      <w:jc w:val="left"/>
    </w:pPr>
    <w:rPr>
      <w:rFonts w:ascii="宋体" w:hAnsi="宋体" w:cs="宋体"/>
      <w:kern w:val="0"/>
      <w:sz w:val="24"/>
    </w:rPr>
  </w:style>
  <w:style w:type="paragraph" w:customStyle="1" w:styleId="57">
    <w:name w:val="1"/>
    <w:basedOn w:val="1"/>
    <w:qFormat/>
    <w:uiPriority w:val="0"/>
    <w:pPr>
      <w:widowControl/>
      <w:spacing w:beforeAutospacing="1" w:afterAutospacing="1"/>
      <w:jc w:val="left"/>
    </w:pPr>
    <w:rPr>
      <w:rFonts w:ascii="宋体" w:hAnsi="宋体" w:cs="宋体"/>
      <w:kern w:val="0"/>
      <w:sz w:val="24"/>
    </w:rPr>
  </w:style>
  <w:style w:type="paragraph" w:styleId="58">
    <w:name w:val="No Spacing"/>
    <w:qFormat/>
    <w:uiPriority w:val="1"/>
    <w:rPr>
      <w:rFonts w:ascii="Calibri" w:hAnsi="Calibri" w:eastAsia="宋体" w:cs="Times New Roman"/>
      <w:sz w:val="22"/>
      <w:szCs w:val="22"/>
      <w:lang w:val="en-US" w:eastAsia="zh-CN" w:bidi="ar-SA"/>
    </w:rPr>
  </w:style>
  <w:style w:type="paragraph" w:customStyle="1" w:styleId="59">
    <w:name w:val="_Style 2"/>
    <w:basedOn w:val="1"/>
    <w:qFormat/>
    <w:uiPriority w:val="34"/>
    <w:pPr>
      <w:ind w:firstLine="420" w:firstLineChars="200"/>
    </w:pPr>
    <w:rPr>
      <w:rFonts w:ascii="Calibri" w:hAnsi="Calibri"/>
    </w:rPr>
  </w:style>
  <w:style w:type="paragraph" w:customStyle="1" w:styleId="60">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1">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2">
    <w:name w:val="Char1"/>
    <w:basedOn w:val="1"/>
    <w:qFormat/>
    <w:uiPriority w:val="0"/>
  </w:style>
  <w:style w:type="paragraph" w:customStyle="1" w:styleId="63">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Table Paragraph"/>
    <w:basedOn w:val="1"/>
    <w:qFormat/>
    <w:uiPriority w:val="1"/>
    <w:pPr>
      <w:jc w:val="left"/>
    </w:pPr>
    <w:rPr>
      <w:rFonts w:ascii="宋体" w:hAnsi="宋体" w:cs="宋体"/>
      <w:kern w:val="0"/>
      <w:sz w:val="22"/>
      <w:szCs w:val="22"/>
      <w:lang w:eastAsia="en-US"/>
    </w:rPr>
  </w:style>
  <w:style w:type="paragraph" w:customStyle="1" w:styleId="65">
    <w:name w:val="无间隔1"/>
    <w:basedOn w:val="1"/>
    <w:qFormat/>
    <w:uiPriority w:val="1"/>
    <w:pPr>
      <w:spacing w:line="400" w:lineRule="exact"/>
    </w:pPr>
    <w:rPr>
      <w:sz w:val="24"/>
    </w:rPr>
  </w:style>
  <w:style w:type="paragraph" w:customStyle="1" w:styleId="66">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7">
    <w:name w:val="3"/>
    <w:basedOn w:val="1"/>
    <w:qFormat/>
    <w:uiPriority w:val="0"/>
    <w:pPr>
      <w:widowControl/>
      <w:spacing w:beforeAutospacing="1" w:afterAutospacing="1"/>
      <w:jc w:val="left"/>
    </w:pPr>
    <w:rPr>
      <w:rFonts w:ascii="宋体" w:hAnsi="宋体" w:cs="宋体"/>
      <w:kern w:val="0"/>
      <w:sz w:val="24"/>
    </w:rPr>
  </w:style>
  <w:style w:type="paragraph" w:customStyle="1" w:styleId="68">
    <w:name w:val="列出段落1"/>
    <w:basedOn w:val="1"/>
    <w:qFormat/>
    <w:uiPriority w:val="34"/>
    <w:pPr>
      <w:ind w:firstLine="420" w:firstLineChars="200"/>
    </w:pPr>
  </w:style>
  <w:style w:type="paragraph" w:customStyle="1" w:styleId="69">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70">
    <w:name w:val="a0"/>
    <w:basedOn w:val="1"/>
    <w:qFormat/>
    <w:uiPriority w:val="0"/>
    <w:pPr>
      <w:widowControl/>
      <w:spacing w:beforeAutospacing="1" w:afterAutospacing="1"/>
      <w:jc w:val="left"/>
    </w:pPr>
    <w:rPr>
      <w:rFonts w:ascii="宋体" w:hAnsi="宋体" w:cs="宋体"/>
      <w:kern w:val="0"/>
      <w:sz w:val="24"/>
    </w:rPr>
  </w:style>
  <w:style w:type="paragraph" w:customStyle="1" w:styleId="71">
    <w:name w:val="default"/>
    <w:basedOn w:val="1"/>
    <w:qFormat/>
    <w:uiPriority w:val="0"/>
    <w:pPr>
      <w:widowControl/>
      <w:spacing w:beforeAutospacing="1" w:afterAutospacing="1"/>
      <w:jc w:val="left"/>
    </w:pPr>
    <w:rPr>
      <w:rFonts w:ascii="宋体" w:hAnsi="宋体" w:cs="宋体"/>
      <w:kern w:val="0"/>
      <w:sz w:val="24"/>
    </w:rPr>
  </w:style>
  <w:style w:type="paragraph" w:customStyle="1" w:styleId="72">
    <w:name w:val="列出段落11"/>
    <w:basedOn w:val="1"/>
    <w:qFormat/>
    <w:uiPriority w:val="0"/>
    <w:pPr>
      <w:ind w:firstLine="420" w:firstLineChars="200"/>
    </w:pPr>
    <w:rPr>
      <w:rFonts w:ascii="Calibri" w:hAnsi="Calibri"/>
      <w:szCs w:val="22"/>
    </w:rPr>
  </w:style>
  <w:style w:type="character" w:customStyle="1" w:styleId="73">
    <w:name w:val="正文文本 Char"/>
    <w:basedOn w:val="33"/>
    <w:link w:val="11"/>
    <w:qFormat/>
    <w:uiPriority w:val="0"/>
  </w:style>
  <w:style w:type="character" w:customStyle="1" w:styleId="74">
    <w:name w:val="apple-converted-space"/>
    <w:basedOn w:val="33"/>
    <w:qFormat/>
    <w:uiPriority w:val="0"/>
  </w:style>
  <w:style w:type="character" w:customStyle="1" w:styleId="75">
    <w:name w:val="文档结构图 Char"/>
    <w:link w:val="8"/>
    <w:qFormat/>
    <w:uiPriority w:val="0"/>
    <w:rPr>
      <w:rFonts w:ascii="宋体"/>
      <w:kern w:val="2"/>
      <w:sz w:val="18"/>
      <w:szCs w:val="18"/>
    </w:rPr>
  </w:style>
  <w:style w:type="character" w:customStyle="1" w:styleId="76">
    <w:name w:val="不明显强调1"/>
    <w:qFormat/>
    <w:uiPriority w:val="19"/>
    <w:rPr>
      <w:i/>
      <w:iCs/>
      <w:color w:val="7F7F7F"/>
      <w:szCs w:val="24"/>
    </w:rPr>
  </w:style>
  <w:style w:type="character" w:customStyle="1" w:styleId="77">
    <w:name w:val="font71"/>
    <w:qFormat/>
    <w:uiPriority w:val="0"/>
    <w:rPr>
      <w:rFonts w:hint="eastAsia" w:ascii="宋体" w:hAnsi="宋体" w:eastAsia="宋体" w:cs="宋体"/>
      <w:color w:val="000000"/>
      <w:sz w:val="28"/>
      <w:szCs w:val="28"/>
      <w:u w:val="none"/>
    </w:rPr>
  </w:style>
  <w:style w:type="character" w:customStyle="1" w:styleId="78">
    <w:name w:val="font21"/>
    <w:qFormat/>
    <w:uiPriority w:val="0"/>
    <w:rPr>
      <w:rFonts w:hint="default" w:ascii="Calibri" w:hAnsi="Calibri" w:cs="Calibri"/>
      <w:color w:val="000000"/>
      <w:sz w:val="28"/>
      <w:szCs w:val="28"/>
      <w:u w:val="none"/>
    </w:rPr>
  </w:style>
  <w:style w:type="character" w:customStyle="1" w:styleId="79">
    <w:name w:val="17"/>
    <w:qFormat/>
    <w:uiPriority w:val="0"/>
    <w:rPr>
      <w:rFonts w:hint="eastAsia" w:ascii="宋体" w:hAnsi="宋体" w:eastAsia="宋体"/>
      <w:color w:val="000000"/>
    </w:rPr>
  </w:style>
  <w:style w:type="character" w:customStyle="1" w:styleId="80">
    <w:name w:val="font91"/>
    <w:qFormat/>
    <w:uiPriority w:val="0"/>
    <w:rPr>
      <w:rFonts w:hint="eastAsia" w:ascii="宋体" w:hAnsi="宋体" w:eastAsia="宋体" w:cs="宋体"/>
      <w:color w:val="FF0000"/>
      <w:sz w:val="28"/>
      <w:szCs w:val="28"/>
      <w:u w:val="none"/>
    </w:rPr>
  </w:style>
  <w:style w:type="paragraph" w:customStyle="1" w:styleId="81">
    <w:name w:val="p"/>
    <w:basedOn w:val="1"/>
    <w:qFormat/>
    <w:uiPriority w:val="0"/>
    <w:pPr>
      <w:widowControl/>
      <w:spacing w:line="432" w:lineRule="auto"/>
      <w:jc w:val="left"/>
    </w:pPr>
    <w:rPr>
      <w:rFonts w:ascii="宋体" w:hAnsi="宋体" w:cs="宋体"/>
      <w:kern w:val="0"/>
      <w:sz w:val="24"/>
    </w:rPr>
  </w:style>
  <w:style w:type="paragraph" w:customStyle="1" w:styleId="82">
    <w:name w:val="WPSOffice手动目录 1"/>
    <w:qFormat/>
    <w:uiPriority w:val="0"/>
    <w:rPr>
      <w:rFonts w:ascii="Times New Roman" w:hAnsi="Times New Roman" w:eastAsia="宋体" w:cs="Times New Roman"/>
      <w:lang w:val="en-US" w:eastAsia="zh-CN" w:bidi="ar-SA"/>
    </w:rPr>
  </w:style>
  <w:style w:type="paragraph" w:customStyle="1" w:styleId="83">
    <w:name w:val="*正文_1"/>
    <w:basedOn w:val="1"/>
    <w:next w:val="1"/>
    <w:qFormat/>
    <w:uiPriority w:val="0"/>
    <w:pPr>
      <w:widowControl/>
      <w:ind w:firstLine="482"/>
    </w:pPr>
    <w:rPr>
      <w:rFonts w:ascii="微软雅黑" w:hAnsi="微软雅黑" w:eastAsia="微软雅黑"/>
      <w:kern w:val="0"/>
      <w:szCs w:val="20"/>
    </w:rPr>
  </w:style>
  <w:style w:type="paragraph" w:customStyle="1" w:styleId="84">
    <w:name w:val="表格文字"/>
    <w:basedOn w:val="1"/>
    <w:next w:val="11"/>
    <w:qFormat/>
    <w:uiPriority w:val="0"/>
    <w:pPr>
      <w:adjustRightInd w:val="0"/>
      <w:spacing w:line="420" w:lineRule="atLeast"/>
      <w:jc w:val="left"/>
      <w:textAlignment w:val="baseline"/>
    </w:pPr>
    <w:rPr>
      <w:kern w:val="0"/>
      <w:szCs w:val="20"/>
    </w:rPr>
  </w:style>
  <w:style w:type="character" w:customStyle="1" w:styleId="85">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6">
    <w:name w:val="列表段落1"/>
    <w:basedOn w:val="1"/>
    <w:qFormat/>
    <w:uiPriority w:val="34"/>
    <w:pPr>
      <w:widowControl/>
      <w:ind w:firstLine="420"/>
      <w:jc w:val="left"/>
    </w:pPr>
    <w:rPr>
      <w:kern w:val="0"/>
    </w:rPr>
  </w:style>
  <w:style w:type="paragraph" w:styleId="87">
    <w:name w:val="List Paragraph"/>
    <w:basedOn w:val="1"/>
    <w:qFormat/>
    <w:uiPriority w:val="34"/>
    <w:pPr>
      <w:ind w:firstLine="420" w:firstLineChars="200"/>
    </w:pPr>
  </w:style>
  <w:style w:type="character" w:customStyle="1" w:styleId="88">
    <w:name w:val="hover18"/>
    <w:basedOn w:val="33"/>
    <w:qFormat/>
    <w:uiPriority w:val="0"/>
  </w:style>
  <w:style w:type="table" w:customStyle="1" w:styleId="89">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14340</Words>
  <Characters>15048</Characters>
  <Lines>50</Lines>
  <Paragraphs>68</Paragraphs>
  <TotalTime>9</TotalTime>
  <ScaleCrop>false</ScaleCrop>
  <LinksUpToDate>false</LinksUpToDate>
  <CharactersWithSpaces>15964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2023-02-21T02:08:38Z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BABF91824EC1475297DB676B0F545D5A</vt:lpwstr>
  </property>
</Properties>
</file>