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驻马店市中心医院信息发布平台采购项目（二次）</w:t>
      </w: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1</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驻马店市中心医院信息发布平台采购项目（二次）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驻马店市中心医院信息发布平台采购项目（二次）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驻马店市中心医院信息发布平台采购项目（二次）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300000.00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6079"/>
      <w:bookmarkStart w:id="5" w:name="_Toc21071"/>
      <w:bookmarkStart w:id="6" w:name="_Toc19521"/>
      <w:bookmarkStart w:id="7" w:name="_Toc27913"/>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eastAsia="宋体" w:cs="宋体"/>
          <w:bCs/>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cs="宋体"/>
          <w:bCs/>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要求：</w:t>
      </w:r>
      <w:r>
        <w:rPr>
          <w:rFonts w:hint="eastAsia" w:ascii="宋体" w:hAnsi="宋体" w:eastAsia="宋体" w:cs="宋体"/>
          <w:color w:val="auto"/>
          <w:szCs w:val="21"/>
          <w:highlight w:val="none"/>
          <w:shd w:val="clear" w:color="auto" w:fill="FFFFFF"/>
          <w:lang w:eastAsia="zh-CN"/>
        </w:rPr>
        <w:t>合格。</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以采购人要求为准</w:t>
      </w:r>
      <w:r>
        <w:rPr>
          <w:rFonts w:hint="eastAsia" w:ascii="宋体" w:hAnsi="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16639"/>
      <w:bookmarkStart w:id="11" w:name="_Toc23626"/>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23395"/>
      <w:bookmarkStart w:id="14" w:name="_Toc30971"/>
      <w:bookmarkStart w:id="15" w:name="_Toc9562"/>
      <w:bookmarkStart w:id="16" w:name="_Toc7823"/>
      <w:bookmarkStart w:id="17" w:name="_Toc30643"/>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sz w:val="21"/>
          <w:lang w:val="en-US" w:eastAsia="zh-CN"/>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、根据《关于在政府采购活动中查询及使用信用记录有关问题的通知》（财库【2016】125号）的规定，对列入失信被</w:t>
      </w:r>
      <w:r>
        <w:rPr>
          <w:rFonts w:hint="eastAsia" w:ascii="宋体" w:hAnsi="宋体" w:eastAsia="宋体" w:cs="宋体"/>
          <w:color w:val="000000" w:themeColor="text1"/>
          <w:lang w:val="en-US" w:eastAsia="zh-CN"/>
          <w14:textFill>
            <w14:solidFill>
              <w14:schemeClr w14:val="tx1"/>
            </w14:solidFill>
          </w14:textFill>
        </w:rPr>
        <w:t>执行</w:t>
      </w:r>
      <w:r>
        <w:rPr>
          <w:rFonts w:hint="eastAsia" w:ascii="宋体" w:hAnsi="宋体" w:eastAsia="宋体" w:cs="宋体"/>
          <w:color w:val="auto"/>
          <w:lang w:val="en-US" w:eastAsia="zh-CN"/>
        </w:rPr>
        <w:t>人、</w:t>
      </w:r>
      <w:r>
        <w:rPr>
          <w:rFonts w:hint="eastAsia" w:ascii="宋体" w:hAnsi="宋体" w:cs="宋体"/>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cs="宋体"/>
          <w:color w:val="FF0000"/>
          <w:szCs w:val="21"/>
          <w:shd w:val="clear" w:color="auto" w:fill="FFFFFF"/>
          <w:lang w:val="en-US" w:eastAsia="zh-CN"/>
        </w:rPr>
        <w:t>3</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11"/>
      <w:bookmarkStart w:id="19" w:name="_Toc27480"/>
      <w:bookmarkStart w:id="20" w:name="_Toc15135"/>
      <w:bookmarkStart w:id="21" w:name="_Toc25869"/>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24274"/>
      <w:bookmarkStart w:id="32" w:name="_Toc31928"/>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eastAsia="宋体" w:cs="宋体"/>
          <w:color w:val="auto"/>
          <w:kern w:val="0"/>
          <w:sz w:val="21"/>
          <w:szCs w:val="21"/>
          <w:highlight w:val="none"/>
          <w:shd w:val="clear" w:color="auto" w:fill="FFFFFF"/>
          <w:lang w:val="en-US" w:eastAsia="zh-CN" w:bidi="ar-SA"/>
        </w:rPr>
        <w:t>18137647844</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w:t>
      </w:r>
      <w:r>
        <w:rPr>
          <w:rFonts w:hint="eastAsia" w:ascii="宋体" w:hAnsi="宋体" w:eastAsia="宋体" w:cs="宋体"/>
          <w:color w:val="auto"/>
          <w:kern w:val="0"/>
          <w:sz w:val="21"/>
          <w:szCs w:val="21"/>
          <w:highlight w:val="none"/>
          <w:shd w:val="clear" w:color="auto" w:fill="FFFFFF"/>
          <w:lang w:val="en-US" w:eastAsia="zh-CN" w:bidi="ar-SA"/>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33"/>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w:t>
      </w:r>
      <w:r>
        <w:rPr>
          <w:rFonts w:hint="eastAsia" w:ascii="宋体" w:hAnsi="宋体" w:cs="宋体"/>
          <w:color w:val="FF0000"/>
          <w:kern w:val="0"/>
          <w:sz w:val="21"/>
          <w:szCs w:val="21"/>
          <w:shd w:val="clear" w:color="auto" w:fill="FFFFFF"/>
          <w:lang w:val="en-US" w:eastAsia="zh-CN" w:bidi="ar-SA"/>
        </w:rPr>
        <w:t>3</w:t>
      </w:r>
      <w:r>
        <w:rPr>
          <w:rFonts w:hint="eastAsia" w:ascii="宋体" w:hAnsi="宋体" w:eastAsia="宋体" w:cs="宋体"/>
          <w:color w:val="FF0000"/>
          <w:kern w:val="0"/>
          <w:sz w:val="21"/>
          <w:szCs w:val="21"/>
          <w:shd w:val="clear" w:color="auto" w:fill="FFFFFF"/>
          <w:lang w:val="en-US" w:eastAsia="zh-CN" w:bidi="ar-SA"/>
        </w:rPr>
        <w:t>年</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6</w:t>
      </w:r>
      <w:r>
        <w:rPr>
          <w:rFonts w:hint="eastAsia" w:ascii="宋体" w:hAnsi="宋体" w:eastAsia="宋体" w:cs="宋体"/>
          <w:color w:val="FF0000"/>
          <w:kern w:val="0"/>
          <w:sz w:val="21"/>
          <w:szCs w:val="21"/>
          <w:highlight w:val="none"/>
          <w:shd w:val="clear" w:color="auto" w:fill="FFFFFF"/>
          <w:lang w:val="en-US" w:eastAsia="zh-CN" w:bidi="ar-SA"/>
        </w:rPr>
        <w:t>日</w:t>
      </w:r>
    </w:p>
    <w:p>
      <w:pPr>
        <w:pStyle w:val="31"/>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bookmarkEnd w:id="91"/>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Style w:val="7"/>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驻马店市中心医院信息发布平台采购项目（二次）</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 xml:space="preserve">二、项目用途说明：中心医院院内通知、随访、预约挂号、咨询等日常信息发布    </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873"/>
        <w:gridCol w:w="1226"/>
        <w:gridCol w:w="182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序号</w:t>
            </w:r>
          </w:p>
        </w:tc>
        <w:tc>
          <w:tcPr>
            <w:tcW w:w="2873"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项目名称</w:t>
            </w:r>
          </w:p>
        </w:tc>
        <w:tc>
          <w:tcPr>
            <w:tcW w:w="1226"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数量或规模</w:t>
            </w:r>
          </w:p>
        </w:tc>
        <w:tc>
          <w:tcPr>
            <w:tcW w:w="1828"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873"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驻马店市中心医院信息发布平台采购项目（二次）</w:t>
            </w:r>
          </w:p>
        </w:tc>
        <w:tc>
          <w:tcPr>
            <w:tcW w:w="1226" w:type="dxa"/>
            <w:tcBorders>
              <w:top w:val="single" w:color="auto" w:sz="4" w:space="0"/>
              <w:left w:val="nil"/>
              <w:bottom w:val="single" w:color="auto" w:sz="4" w:space="0"/>
              <w:right w:val="single" w:color="auto" w:sz="4" w:space="0"/>
            </w:tcBorders>
            <w:vAlign w:val="center"/>
          </w:tcPr>
          <w:p>
            <w:pPr>
              <w:pStyle w:val="7"/>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828" w:type="dxa"/>
            <w:tcBorders>
              <w:top w:val="single" w:color="auto" w:sz="4" w:space="0"/>
              <w:left w:val="nil"/>
              <w:bottom w:val="single" w:color="auto" w:sz="4" w:space="0"/>
              <w:right w:val="single" w:color="auto" w:sz="4" w:space="0"/>
            </w:tcBorders>
            <w:vAlign w:val="center"/>
          </w:tcPr>
          <w:p>
            <w:pPr>
              <w:pStyle w:val="7"/>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30万元/年</w:t>
            </w:r>
          </w:p>
        </w:tc>
        <w:tc>
          <w:tcPr>
            <w:tcW w:w="1554"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2873"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p>
        </w:tc>
        <w:tc>
          <w:tcPr>
            <w:tcW w:w="1226"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p>
        </w:tc>
        <w:tc>
          <w:tcPr>
            <w:tcW w:w="1828" w:type="dxa"/>
            <w:tcBorders>
              <w:top w:val="single" w:color="auto" w:sz="4" w:space="0"/>
              <w:left w:val="nil"/>
              <w:bottom w:val="single" w:color="auto" w:sz="4" w:space="0"/>
              <w:right w:val="single" w:color="auto" w:sz="4" w:space="0"/>
            </w:tcBorders>
            <w:vAlign w:val="center"/>
          </w:tcPr>
          <w:p>
            <w:pPr>
              <w:pStyle w:val="7"/>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30万元/年</w:t>
            </w:r>
          </w:p>
        </w:tc>
        <w:tc>
          <w:tcPr>
            <w:tcW w:w="1554"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val="0"/>
                <w:bCs w:val="0"/>
                <w:sz w:val="21"/>
                <w:szCs w:val="21"/>
                <w:lang w:val="en-US" w:eastAsia="zh-CN"/>
              </w:rPr>
            </w:pPr>
          </w:p>
        </w:tc>
      </w:tr>
    </w:tbl>
    <w:p>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支持包年或单条短信发送，提供包年或单条资费，包年及单条价格须控制在0.06元/条以内。</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一）平台功能要求：1、可在医院独立部署系统，具备异地灾备能力；2、短信并发量：≥1000条/秒，平台通过页面提交单批次支持五十万个手机号码进行发送；3、可同时接入总部网关及省网关，实现通道备份，总部网关并发量近50000条/秒；4、账户安全：支持手机验证码、手机APP统一认证登录功能；5、传输安全：HTTPS加密传输，且支持专线接入；6、内容安全：平台会对短信进行关键字过滤，对包含敏感词的短信进行拦截；7、发送方式：支持浏览器、接口等多种发送方式；8、具备普通短信、模板短信、彩信、视频短信发送能力；9、全网发送：支持面向移动、电信、联通三大运营商号码短信发送，且用户收的短信来源号码为统一标识；10、发送范围：可根据不同需求发送全国短信、省内短信；11、上下行功能：平台通过页面提交单批次支持六十万个手机号码进行发送，收到短信的客户可根据内容直接进行回复上行短信；12、鉴权功能：支持证书加密、IP鉴权等多种方式；13、后台管理功能：可以进行EC管理、黑名单管理、企业通讯录、权限管理和SMS接口管理等；</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二）资质要求：1、该平台须提供短信平台的计算机软件著作权登记证书；2、须提供短信平台部署的云平台的三级等保证明、国家ISO27001，ISO20000认证；3、平台稳定性承诺函：须提供平台系统平均无故障率不低于 99.99%；排除其他网元故障，行业短信网关平均无故障时间不少于 20000 小时的承诺函；4、参与投标的供应商需提前沟通端口对接要求并出具端口对接承诺书，未提前沟通并出具承诺的视为无效应标。</w:t>
      </w:r>
    </w:p>
    <w:p>
      <w:pPr>
        <w:pStyle w:val="7"/>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bookmarkEnd w:id="35"/>
    <w:bookmarkEnd w:id="36"/>
    <w:p>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供应商须提供现场安装部署及平台对接，要求5个工作日内部署对接完毕。其中售后服务包括平台的建设、维护及客服及相关得运维工作，提供</w:t>
      </w:r>
      <w:r>
        <w:rPr>
          <w:rFonts w:hint="default" w:ascii="宋体" w:hAnsi="宋体" w:eastAsia="宋体" w:cs="宋体"/>
          <w:kern w:val="2"/>
          <w:sz w:val="21"/>
          <w:szCs w:val="24"/>
          <w:lang w:val="en-US" w:eastAsia="zh-CN" w:bidi="ar-SA"/>
        </w:rPr>
        <w:t>7*24</w:t>
      </w:r>
      <w:r>
        <w:rPr>
          <w:rFonts w:hint="eastAsia" w:ascii="宋体" w:hAnsi="宋体" w:eastAsia="宋体" w:cs="宋体"/>
          <w:kern w:val="2"/>
          <w:sz w:val="21"/>
          <w:szCs w:val="24"/>
          <w:lang w:val="en-US" w:eastAsia="zh-CN" w:bidi="ar-SA"/>
        </w:rPr>
        <w:t>小时不间断服务，售后响应时间不得超过</w:t>
      </w:r>
      <w:r>
        <w:rPr>
          <w:rFonts w:hint="default" w:ascii="宋体" w:hAnsi="宋体" w:eastAsia="宋体" w:cs="宋体"/>
          <w:kern w:val="2"/>
          <w:sz w:val="21"/>
          <w:szCs w:val="24"/>
          <w:lang w:val="en-US" w:eastAsia="zh-CN" w:bidi="ar-SA"/>
        </w:rPr>
        <w:t>2</w:t>
      </w:r>
      <w:r>
        <w:rPr>
          <w:rFonts w:hint="eastAsia" w:ascii="宋体" w:hAnsi="宋体" w:eastAsia="宋体" w:cs="宋体"/>
          <w:kern w:val="2"/>
          <w:sz w:val="21"/>
          <w:szCs w:val="24"/>
          <w:lang w:val="en-US" w:eastAsia="zh-CN" w:bidi="ar-SA"/>
        </w:rPr>
        <w:t xml:space="preserve">小时。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7"/>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驻马店市中心医院信息发布平台采购项目（二次）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300000.00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300000.00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3"/>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w:t>
      </w:r>
      <w:r>
        <w:rPr>
          <w:rFonts w:hint="eastAsia" w:ascii="宋体" w:hAnsi="宋体" w:cs="宋体"/>
          <w:b/>
          <w:color w:val="auto"/>
          <w:kern w:val="0"/>
          <w:szCs w:val="21"/>
          <w:highlight w:val="none"/>
          <w:lang w:val="en-US" w:eastAsia="zh-CN"/>
        </w:rPr>
        <w:t>保证金</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10"/>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10"/>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10"/>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10"/>
        <w:spacing w:before="20" w:after="20"/>
        <w:rPr>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4"/>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3"/>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4"/>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4"/>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4"/>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shd w:val="clear" w:color="auto" w:fill="FFFFFF"/>
        <w:lang w:val="en-US" w:eastAsia="zh-CN"/>
      </w:rPr>
      <w:t>驻马店市中心医院信息发布平台采购项目（二次）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ascii="宋体" w:hAnsi="宋体" w:cs="宋体"/>
        <w:color w:val="auto"/>
        <w:szCs w:val="21"/>
        <w:highlight w:val="none"/>
        <w:shd w:val="clear" w:color="auto" w:fill="FFFFFF"/>
        <w:lang w:val="en-US" w:eastAsia="zh-CN"/>
      </w:rPr>
      <w:t>驻马店市中心医院信息发布平台采购项目（二次）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A249C3"/>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BC61A5"/>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322B15"/>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C42472"/>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2736FD"/>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1F2AF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3E3AD1"/>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4E2AC6"/>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3F77C3"/>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2"/>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9"/>
    <w:qFormat/>
    <w:uiPriority w:val="0"/>
    <w:pPr>
      <w:ind w:firstLine="420" w:firstLineChars="200"/>
    </w:pPr>
  </w:style>
  <w:style w:type="paragraph" w:styleId="7">
    <w:name w:val="Body Text Indent"/>
    <w:basedOn w:val="1"/>
    <w:next w:val="8"/>
    <w:qFormat/>
    <w:uiPriority w:val="0"/>
    <w:pPr>
      <w:widowControl/>
      <w:spacing w:beforeAutospacing="1" w:afterAutospacing="1"/>
      <w:jc w:val="left"/>
    </w:pPr>
    <w:rPr>
      <w:rFonts w:ascii="宋体" w:hAnsi="宋体" w:cs="宋体"/>
      <w:kern w:val="0"/>
      <w:sz w:val="24"/>
    </w:rPr>
  </w:style>
  <w:style w:type="paragraph" w:styleId="8">
    <w:name w:val="envelope return"/>
    <w:basedOn w:val="1"/>
    <w:unhideWhenUsed/>
    <w:qFormat/>
    <w:uiPriority w:val="99"/>
    <w:pPr>
      <w:snapToGrid w:val="0"/>
    </w:pPr>
    <w:rPr>
      <w:rFonts w:ascii="Arial" w:hAnsi="Arial"/>
    </w:r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4"/>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3"/>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3"/>
    <w:next w:val="1"/>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6"/>
    <w:link w:val="3"/>
    <w:qFormat/>
    <w:uiPriority w:val="0"/>
  </w:style>
  <w:style w:type="character" w:customStyle="1" w:styleId="73">
    <w:name w:val="apple-converted-space"/>
    <w:basedOn w:val="36"/>
    <w:qFormat/>
    <w:uiPriority w:val="0"/>
  </w:style>
  <w:style w:type="character" w:customStyle="1" w:styleId="74">
    <w:name w:val="文档结构图 Char"/>
    <w:link w:val="15"/>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3"/>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14195</Words>
  <Characters>14910</Characters>
  <Lines>50</Lines>
  <Paragraphs>68</Paragraphs>
  <TotalTime>0</TotalTime>
  <ScaleCrop>false</ScaleCrop>
  <LinksUpToDate>false</LinksUpToDate>
  <CharactersWithSpaces>15843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2023-01-06T03:50:13Z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956AF4FB426E4C8CBD64517CC8DF2E0E</vt:lpwstr>
  </property>
</Properties>
</file>