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驻马店市中心医院职工停车场集中充电设施安装采购项目（二次）</w:t>
      </w:r>
    </w:p>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3"/>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驻马店市中心医院职工停车场集中充电设施安装采购项目（二次）</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职工停车场集中充电设施安装采购</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驻马店市中心医院职工停车场集中充电设施安装采购项目（二次）</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（一）普通电动车充电收费不得高于以下标准（设备自动识别充电设备的功率）：</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0-150w  0.17元/小时（即6小时/元）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150-220w  0.2元/小时（即5小时/元）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220-300w  0.33元/小时（即3小时/元）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300-400w  0.4元/小时（即2.5小时/元）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400-500w  0.5元/小时 （即2小时/元）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 xml:space="preserve">500-700w  0.67元/小时（即1.5小时/元）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700-1000w  1元/小时（即1小时/元）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 xml:space="preserve">1000-1200w  1.25元/小时（即0.8小时/元）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 xml:space="preserve">1200-1500w  1.67元/小时（即0.6小时/元）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 xml:space="preserve">1500-2000w  2元/小时  （即0.5小时/元 ）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2000-2500w  2.5元/小时（即0.4 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 xml:space="preserve">2500-3000w  3.3元/小时（即0.3小时/元）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3000-3600w   4元/小时（即0.25小时/元）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（二）新能源汽车收费标准：目前新能源汽车市场收费是电价+服务费（0.5元－0.7元之间），本院电价+服务费，每1000Ｗ收费1.25元</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1071"/>
      <w:bookmarkStart w:id="5" w:name="_Toc26079"/>
      <w:bookmarkStart w:id="6" w:name="_Toc27913"/>
      <w:bookmarkStart w:id="7" w:name="_Toc24040"/>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自合同签订之日起10天之内完成</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27704"/>
      <w:bookmarkStart w:id="11" w:name="_Toc23626"/>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6、根据《关于在政府采购活动中查询及使用信用记录有关问题的通知》（财库【2016】125号）的规定，对列入失信被执行人、</w:t>
      </w:r>
      <w:r>
        <w:rPr>
          <w:rFonts w:hint="eastAsia" w:ascii="宋体" w:hAnsi="宋体" w:cs="宋体"/>
          <w:color w:val="auto"/>
          <w:kern w:val="2"/>
          <w:sz w:val="21"/>
          <w:szCs w:val="24"/>
          <w:lang w:val="en-US" w:eastAsia="zh-CN" w:bidi="ar-SA"/>
        </w:rPr>
        <w:t>重大税收违法失信主体</w:t>
      </w:r>
      <w:r>
        <w:rPr>
          <w:rFonts w:hint="eastAsia" w:ascii="宋体" w:hAnsi="宋体" w:eastAsia="宋体" w:cs="宋体"/>
          <w:color w:val="auto"/>
          <w:kern w:val="2"/>
          <w:sz w:val="21"/>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23395"/>
      <w:bookmarkStart w:id="14" w:name="_Toc9562"/>
      <w:bookmarkStart w:id="15" w:name="_Toc30643"/>
      <w:bookmarkStart w:id="16" w:name="_Toc7823"/>
      <w:bookmarkStart w:id="17" w:name="_Toc30971"/>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cs="宋体"/>
          <w:color w:val="FF0000"/>
          <w:szCs w:val="21"/>
          <w:shd w:val="clear" w:color="auto" w:fill="FFFFFF"/>
          <w:lang w:val="en-US" w:eastAsia="zh-CN"/>
        </w:rPr>
        <w:t>3</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5135"/>
      <w:bookmarkStart w:id="19" w:name="_Toc27480"/>
      <w:bookmarkStart w:id="20" w:name="_Toc10738"/>
      <w:bookmarkStart w:id="21" w:name="_Toc25869"/>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24274"/>
      <w:bookmarkStart w:id="32" w:name="_Toc16291"/>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eastAsia="宋体" w:cs="宋体"/>
          <w:color w:val="auto"/>
          <w:kern w:val="0"/>
          <w:sz w:val="21"/>
          <w:szCs w:val="21"/>
          <w:highlight w:val="none"/>
          <w:shd w:val="clear" w:color="auto" w:fill="FFFFFF"/>
          <w:lang w:val="en-US" w:eastAsia="zh-CN" w:bidi="ar-SA"/>
        </w:rPr>
        <w:t>18137647844</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报名联系人2：杨</w:t>
      </w:r>
      <w:r>
        <w:rPr>
          <w:rFonts w:hint="eastAsia" w:ascii="宋体" w:hAnsi="宋体" w:eastAsia="宋体" w:cs="宋体"/>
          <w:color w:val="auto"/>
          <w:kern w:val="0"/>
          <w:sz w:val="21"/>
          <w:szCs w:val="21"/>
          <w:highlight w:val="none"/>
          <w:shd w:val="clear" w:color="auto" w:fill="FFFFFF"/>
          <w:lang w:val="en-US" w:eastAsia="zh-CN" w:bidi="ar-SA"/>
        </w:rPr>
        <w:t>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联系电话：0396-3676106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w:t>
      </w:r>
      <w:r>
        <w:rPr>
          <w:rFonts w:hint="eastAsia" w:ascii="宋体" w:hAnsi="宋体" w:cs="宋体"/>
          <w:color w:val="auto"/>
          <w:kern w:val="0"/>
          <w:sz w:val="21"/>
          <w:szCs w:val="21"/>
          <w:highlight w:val="none"/>
          <w:shd w:val="clear" w:color="auto" w:fill="FFFFFF"/>
          <w:lang w:val="en-US" w:eastAsia="zh-CN" w:bidi="ar-SA"/>
        </w:rPr>
        <w:t>6</w:t>
      </w:r>
      <w:r>
        <w:rPr>
          <w:rFonts w:hint="eastAsia" w:ascii="宋体" w:hAnsi="宋体" w:eastAsia="宋体" w:cs="宋体"/>
          <w:color w:val="auto"/>
          <w:kern w:val="0"/>
          <w:sz w:val="21"/>
          <w:szCs w:val="21"/>
          <w:highlight w:val="none"/>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shd w:val="clear" w:color="auto" w:fill="FFFFFF"/>
          <w:lang w:val="en-US" w:eastAsia="zh-CN" w:bidi="ar-SA"/>
        </w:rPr>
        <w:t>202</w:t>
      </w:r>
      <w:r>
        <w:rPr>
          <w:rFonts w:hint="eastAsia" w:ascii="宋体" w:hAnsi="宋体" w:cs="宋体"/>
          <w:color w:val="FF0000"/>
          <w:kern w:val="0"/>
          <w:sz w:val="21"/>
          <w:szCs w:val="21"/>
          <w:shd w:val="clear" w:color="auto" w:fill="FFFFFF"/>
          <w:lang w:val="en-US" w:eastAsia="zh-CN" w:bidi="ar-SA"/>
        </w:rPr>
        <w:t>3</w:t>
      </w:r>
      <w:r>
        <w:rPr>
          <w:rFonts w:hint="eastAsia" w:ascii="宋体" w:hAnsi="宋体" w:eastAsia="宋体" w:cs="宋体"/>
          <w:color w:val="FF0000"/>
          <w:kern w:val="0"/>
          <w:sz w:val="21"/>
          <w:szCs w:val="21"/>
          <w:shd w:val="clear" w:color="auto" w:fill="FFFFFF"/>
          <w:lang w:val="en-US" w:eastAsia="zh-CN" w:bidi="ar-SA"/>
        </w:rPr>
        <w:t>年</w:t>
      </w:r>
      <w:r>
        <w:rPr>
          <w:rFonts w:hint="eastAsia" w:ascii="宋体" w:hAnsi="宋体" w:cs="宋体"/>
          <w:color w:val="FF0000"/>
          <w:kern w:val="0"/>
          <w:sz w:val="21"/>
          <w:szCs w:val="21"/>
          <w:shd w:val="clear" w:color="auto" w:fill="FFFFFF"/>
          <w:lang w:val="en-US" w:eastAsia="zh-CN" w:bidi="ar-SA"/>
        </w:rPr>
        <w:t>1</w:t>
      </w:r>
      <w:r>
        <w:rPr>
          <w:rFonts w:hint="eastAsia" w:ascii="宋体" w:hAnsi="宋体" w:eastAsia="宋体" w:cs="宋体"/>
          <w:color w:val="FF0000"/>
          <w:kern w:val="0"/>
          <w:sz w:val="21"/>
          <w:szCs w:val="21"/>
          <w:shd w:val="clear" w:color="auto" w:fill="FFFFFF"/>
          <w:lang w:val="en-US" w:eastAsia="zh-CN" w:bidi="ar-SA"/>
        </w:rPr>
        <w:t>月</w:t>
      </w:r>
      <w:r>
        <w:rPr>
          <w:rFonts w:hint="eastAsia" w:ascii="宋体" w:hAnsi="宋体" w:cs="宋体"/>
          <w:color w:val="FF0000"/>
          <w:kern w:val="0"/>
          <w:sz w:val="21"/>
          <w:szCs w:val="21"/>
          <w:shd w:val="clear" w:color="auto" w:fill="FFFFFF"/>
          <w:lang w:val="en-US" w:eastAsia="zh-CN" w:bidi="ar-SA"/>
        </w:rPr>
        <w:t>6</w:t>
      </w:r>
      <w:bookmarkStart w:id="91" w:name="_GoBack"/>
      <w:bookmarkEnd w:id="91"/>
      <w:r>
        <w:rPr>
          <w:rFonts w:hint="eastAsia" w:ascii="宋体" w:hAnsi="宋体" w:eastAsia="宋体" w:cs="宋体"/>
          <w:color w:val="FF0000"/>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w:t>
      </w:r>
      <w:r>
        <w:rPr>
          <w:rFonts w:hint="eastAsia" w:ascii="宋体" w:hAnsi="宋体" w:cs="宋体"/>
          <w:color w:val="auto"/>
          <w:kern w:val="0"/>
          <w:sz w:val="21"/>
          <w:szCs w:val="21"/>
          <w:shd w:val="clear" w:color="auto" w:fill="FFFFFF"/>
          <w:lang w:val="en-US" w:eastAsia="zh-CN" w:bidi="ar-SA"/>
        </w:rPr>
        <w:t>驻马店市中心医院职工停车场集中充电设施安装采购项目（二次）。</w:t>
      </w:r>
      <w:r>
        <w:rPr>
          <w:rFonts w:hint="eastAsia" w:ascii="宋体" w:hAnsi="宋体" w:eastAsia="宋体" w:cs="宋体"/>
          <w:color w:val="auto"/>
          <w:kern w:val="0"/>
          <w:sz w:val="21"/>
          <w:szCs w:val="21"/>
          <w:shd w:val="clear" w:color="auto" w:fill="FFFFFF"/>
          <w:lang w:val="en-US" w:eastAsia="zh-CN" w:bidi="ar-SA"/>
        </w:rPr>
        <w:t xml:space="preserve">                                                                  </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二、</w:t>
      </w:r>
      <w:r>
        <w:rPr>
          <w:rFonts w:hint="eastAsia" w:ascii="宋体" w:hAnsi="宋体" w:eastAsia="宋体" w:cs="宋体"/>
          <w:b w:val="0"/>
          <w:bCs w:val="0"/>
          <w:kern w:val="2"/>
          <w:sz w:val="21"/>
          <w:szCs w:val="21"/>
          <w:lang w:val="en-US" w:eastAsia="zh-CN" w:bidi="ar-SA"/>
        </w:rPr>
        <w:t>项目用途说明： 根据驻马店市机关事务中心《关于加快推进全市公共机构屋顶光伏发电开发及新能源汽车充电桩建设工作的通知》要求和医院班子会研究决定，在职工停车场安装集中充电装置，为职工提供优质的停车服务。</w:t>
      </w:r>
    </w:p>
    <w:p>
      <w:pPr>
        <w:pageBreakBefore w:val="0"/>
        <w:widowControl/>
        <w:kinsoku/>
        <w:wordWrap/>
        <w:overflowPunct/>
        <w:topLinePunct w:val="0"/>
        <w:bidi w:val="0"/>
        <w:snapToGrid w:val="0"/>
        <w:spacing w:before="0" w:beforeAutospacing="0" w:after="0" w:afterAutospacing="0" w:line="500" w:lineRule="exact"/>
        <w:ind w:left="420" w:leftChars="20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三</w:t>
      </w:r>
      <w:r>
        <w:rPr>
          <w:rFonts w:hint="eastAsia" w:ascii="宋体" w:hAnsi="宋体" w:eastAsia="宋体" w:cs="宋体"/>
          <w:color w:val="auto"/>
          <w:kern w:val="0"/>
          <w:sz w:val="21"/>
          <w:szCs w:val="21"/>
          <w:shd w:val="clear" w:color="auto" w:fill="FFFFFF"/>
          <w:lang w:val="en-US" w:eastAsia="zh-CN" w:bidi="ar-SA"/>
        </w:rPr>
        <w:t>、配置规格、附件及零配件（包括专用工具）：</w:t>
      </w:r>
    </w:p>
    <w:tbl>
      <w:tblPr>
        <w:tblStyle w:val="34"/>
        <w:tblW w:w="927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800"/>
        <w:gridCol w:w="4810"/>
        <w:gridCol w:w="82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481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数量或规模</w:t>
            </w:r>
          </w:p>
        </w:tc>
        <w:tc>
          <w:tcPr>
            <w:tcW w:w="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9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4" w:type="dxa"/>
            <w:tcBorders>
              <w:top w:val="single" w:color="auto" w:sz="4" w:space="0"/>
              <w:left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p>
        </w:tc>
        <w:tc>
          <w:tcPr>
            <w:tcW w:w="1800" w:type="dxa"/>
            <w:tcBorders>
              <w:top w:val="single" w:color="auto" w:sz="4" w:space="0"/>
              <w:left w:val="nil"/>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职工停车场集中充电设施安装</w:t>
            </w:r>
          </w:p>
        </w:tc>
        <w:tc>
          <w:tcPr>
            <w:tcW w:w="4810" w:type="dxa"/>
            <w:tcBorders>
              <w:top w:val="single" w:color="auto" w:sz="4" w:space="0"/>
              <w:left w:val="nil"/>
              <w:bottom w:val="single" w:color="auto" w:sz="4" w:space="0"/>
              <w:right w:val="single" w:color="auto" w:sz="4" w:space="0"/>
            </w:tcBorders>
            <w:vAlign w:val="center"/>
          </w:tcPr>
          <w:p>
            <w:pPr>
              <w:pStyle w:val="8"/>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1、新能源汽车充电装置16桩32枪（1桩2枪）32个充电位。</w:t>
            </w:r>
          </w:p>
          <w:p>
            <w:pPr>
              <w:pStyle w:val="8"/>
              <w:keepNext w:val="0"/>
              <w:keepLines w:val="0"/>
              <w:pageBreakBefore w:val="0"/>
              <w:kinsoku/>
              <w:wordWrap/>
              <w:overflowPunct/>
              <w:topLinePunct w:val="0"/>
              <w:autoSpaceDE/>
              <w:autoSpaceDN/>
              <w:bidi w:val="0"/>
              <w:adjustRightInd/>
              <w:snapToGrid/>
              <w:spacing w:beforeAutospacing="0" w:afterAutospacing="0" w:line="240" w:lineRule="auto"/>
              <w:jc w:val="both"/>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2、 5个新能源充电装置1座2孔的5个（10个充电位）。</w:t>
            </w:r>
          </w:p>
          <w:p>
            <w:pPr>
              <w:pStyle w:val="8"/>
              <w:keepNext w:val="0"/>
              <w:keepLines w:val="0"/>
              <w:pageBreakBefore w:val="0"/>
              <w:kinsoku/>
              <w:wordWrap/>
              <w:overflowPunct/>
              <w:topLinePunct w:val="0"/>
              <w:autoSpaceDE/>
              <w:autoSpaceDN/>
              <w:bidi w:val="0"/>
              <w:adjustRightInd/>
              <w:snapToGrid/>
              <w:spacing w:beforeAutospacing="0" w:afterAutospacing="0" w:line="240" w:lineRule="auto"/>
              <w:jc w:val="both"/>
              <w:rPr>
                <w:rFonts w:hint="default" w:ascii="宋体" w:hAnsi="宋体"/>
                <w:sz w:val="24"/>
                <w:szCs w:val="24"/>
                <w:lang w:val="en-US" w:eastAsia="zh-CN"/>
              </w:rPr>
            </w:pPr>
            <w:r>
              <w:rPr>
                <w:rFonts w:hint="eastAsia" w:cs="宋体"/>
                <w:color w:val="auto"/>
                <w:kern w:val="2"/>
                <w:sz w:val="21"/>
                <w:szCs w:val="24"/>
                <w:highlight w:val="none"/>
                <w:lang w:val="en-US" w:eastAsia="zh-CN" w:bidi="ar-SA"/>
              </w:rPr>
              <w:t>3、普通电动车充电60个充电位（1拖20孔）</w:t>
            </w:r>
          </w:p>
        </w:tc>
        <w:tc>
          <w:tcPr>
            <w:tcW w:w="825" w:type="dxa"/>
            <w:tcBorders>
              <w:top w:val="single" w:color="auto" w:sz="4" w:space="0"/>
              <w:left w:val="nil"/>
              <w:bottom w:val="single" w:color="auto" w:sz="4" w:space="0"/>
              <w:right w:val="single" w:color="auto" w:sz="4" w:space="0"/>
            </w:tcBorders>
            <w:vAlign w:val="top"/>
          </w:tcPr>
          <w:p>
            <w:pPr>
              <w:pStyle w:val="8"/>
              <w:ind w:left="0" w:leftChars="0"/>
              <w:jc w:val="center"/>
              <w:rPr>
                <w:rFonts w:hint="default" w:ascii="宋体" w:hAnsi="宋体"/>
                <w:sz w:val="24"/>
                <w:szCs w:val="24"/>
                <w:lang w:val="en-US" w:eastAsia="zh-CN"/>
              </w:rPr>
            </w:pPr>
          </w:p>
        </w:tc>
        <w:tc>
          <w:tcPr>
            <w:tcW w:w="926" w:type="dxa"/>
            <w:tcBorders>
              <w:top w:val="single" w:color="auto" w:sz="4" w:space="0"/>
              <w:left w:val="nil"/>
              <w:bottom w:val="single" w:color="auto" w:sz="4" w:space="0"/>
              <w:right w:val="single" w:color="auto" w:sz="4" w:space="0"/>
            </w:tcBorders>
            <w:vAlign w:val="top"/>
          </w:tcPr>
          <w:p>
            <w:pPr>
              <w:pStyle w:val="8"/>
              <w:ind w:left="0" w:leftChars="0"/>
              <w:jc w:val="center"/>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18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810"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825"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9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pPr>
        <w:spacing w:line="460" w:lineRule="exact"/>
        <w:ind w:firstLine="420" w:firstLineChars="200"/>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四、</w:t>
      </w:r>
      <w:r>
        <w:rPr>
          <w:rFonts w:hint="eastAsia" w:ascii="宋体" w:hAnsi="宋体" w:eastAsia="宋体" w:cs="宋体"/>
          <w:b w:val="0"/>
          <w:bCs w:val="0"/>
          <w:kern w:val="2"/>
          <w:sz w:val="21"/>
          <w:szCs w:val="21"/>
          <w:lang w:val="en-US" w:eastAsia="zh-CN" w:bidi="ar-SA"/>
        </w:rPr>
        <w:t>供应商资格要求：</w:t>
      </w:r>
    </w:p>
    <w:p>
      <w:pPr>
        <w:pStyle w:val="8"/>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1、对产品购买有保额不低于5000000元的责任险。</w:t>
      </w:r>
    </w:p>
    <w:p>
      <w:pPr>
        <w:pStyle w:val="8"/>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2、单路大功率充电控制系统、可共享充电桩充值管理系统、超时断电弱压保护系统、高压充电桩漏电报警系统、充电柱模块设备控制软件、电动汽车充电桩储电管理系统、电动汽车充电桩交流电压控制系统的著作权登记证。</w:t>
      </w:r>
    </w:p>
    <w:p>
      <w:pPr>
        <w:pStyle w:val="8"/>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3、知识产权管理体系认证证书、高新技术企业证书。</w:t>
      </w:r>
    </w:p>
    <w:p>
      <w:pPr>
        <w:numPr>
          <w:ilvl w:val="0"/>
          <w:numId w:val="0"/>
        </w:num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五、</w:t>
      </w:r>
      <w:r>
        <w:rPr>
          <w:rFonts w:hint="eastAsia" w:ascii="宋体" w:hAnsi="宋体" w:eastAsia="宋体" w:cs="宋体"/>
          <w:b w:val="0"/>
          <w:bCs w:val="0"/>
          <w:kern w:val="2"/>
          <w:sz w:val="21"/>
          <w:szCs w:val="21"/>
          <w:lang w:val="en-US" w:eastAsia="zh-CN" w:bidi="ar-SA"/>
        </w:rPr>
        <w:t>详细技术要求、参数及产品资料等：</w:t>
      </w:r>
    </w:p>
    <w:bookmarkEnd w:id="35"/>
    <w:bookmarkEnd w:id="36"/>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医院采取：提供场地、提供电源安装电表的方式，医院在0收益的基础上，按照0.8元/度（医院向电业局缴纳电费标准）收取供应商电费。以医院定期进行抄表数为准，向医院缴纳电费，并开具相关收据。要求供应商本着方便职工使用的原则上，合理设置收费标准，实现双方共赢。</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一</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普通电动车充电收费不得高于以下标准（设备自动识别充电设备的功率）：</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0-150w  0.17元/小时（即6小时/元）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150-220w  0.2元/小时（即5小时/元）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220-300w  0.33元/小时（即3小时/元）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300-400w  0.4元/小时（即2.5小时/元）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400-500w  0.5元/小时 （即2小时/元）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 xml:space="preserve">500-700w  0.67元/小时（即1.5小时/元）  </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700-1000w  1元/小时（即1小时/元）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 xml:space="preserve">1000-1200w  1.25元/小时（即0.8小时/元） </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 xml:space="preserve">1200-1500w  1.67元/小时（即0.6小时/元） </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 xml:space="preserve">1500-2000w  2元/小时  （即0.5小时/元 ） </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2000-2500w  2.5元/小时（即0.4 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 xml:space="preserve">2500-3000w  3.3元/小时（即0.3小时/元）   </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3000-3600w   4元/小时（即0.25小时/元）</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二</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新能源汽车收费标准：目前新能源汽车市场收费是电价+服务费（0.5元－0.7元之间），本院电价+服务费，每1000Ｗ收费1.25元</w:t>
      </w:r>
    </w:p>
    <w:p>
      <w:pPr>
        <w:pStyle w:val="8"/>
        <w:ind w:firstLine="420" w:firstLineChars="200"/>
        <w:jc w:val="left"/>
        <w:rPr>
          <w:rFonts w:hint="eastAsia" w:ascii="宋体" w:hAnsi="宋体" w:eastAsia="宋体" w:cs="宋体"/>
          <w:sz w:val="21"/>
          <w:szCs w:val="21"/>
          <w:u w:val="none"/>
        </w:rPr>
      </w:pPr>
      <w:r>
        <w:rPr>
          <w:rFonts w:hint="eastAsia" w:ascii="宋体" w:hAnsi="宋体" w:eastAsia="宋体" w:cs="宋体"/>
          <w:sz w:val="21"/>
          <w:szCs w:val="21"/>
          <w:u w:val="none"/>
        </w:rPr>
        <w:t>配置规格、附件及零配件（包括专用工具）：</w:t>
      </w:r>
    </w:p>
    <w:p>
      <w:pPr>
        <w:pStyle w:val="8"/>
        <w:spacing w:line="280" w:lineRule="exact"/>
        <w:ind w:firstLine="422" w:firstLineChars="200"/>
        <w:jc w:val="left"/>
        <w:rPr>
          <w:rFonts w:hint="eastAsia" w:ascii="宋体" w:hAnsi="宋体" w:eastAsia="宋体" w:cs="宋体"/>
          <w:b/>
          <w:bCs/>
          <w:sz w:val="21"/>
          <w:szCs w:val="21"/>
          <w:u w:val="none"/>
        </w:rPr>
      </w:pPr>
      <w:r>
        <w:rPr>
          <w:rFonts w:hint="eastAsia" w:ascii="宋体" w:hAnsi="宋体" w:eastAsia="宋体" w:cs="宋体"/>
          <w:b/>
          <w:bCs/>
          <w:sz w:val="21"/>
          <w:szCs w:val="21"/>
          <w:u w:val="none"/>
        </w:rPr>
        <w:t>1.新能源汽车充电装置配置参数</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2535"/>
        <w:gridCol w:w="1080"/>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输入电压</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AC220V</w:t>
            </w:r>
            <w:r>
              <w:rPr>
                <w:rFonts w:hint="eastAsia"/>
                <w:sz w:val="18"/>
              </w:rPr>
              <w:t>±</w:t>
            </w:r>
            <w:r>
              <w:rPr>
                <w:sz w:val="18"/>
              </w:rPr>
              <w:t>10%,50HZ~60HZ</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防护等级</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IP65,</w:t>
            </w:r>
            <w:r>
              <w:rPr>
                <w:rFonts w:hint="eastAsia"/>
                <w:sz w:val="18"/>
              </w:rPr>
              <w:t>防</w:t>
            </w:r>
            <w:r>
              <w:rPr>
                <w:sz w:val="18"/>
              </w:rPr>
              <w:t>UV</w:t>
            </w:r>
            <w:r>
              <w:rPr>
                <w:rFonts w:hint="eastAsia"/>
                <w:sz w:val="18"/>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输出电流</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单枪</w:t>
            </w:r>
            <w:r>
              <w:rPr>
                <w:sz w:val="18"/>
              </w:rPr>
              <w:t>32A</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保护设计</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充电枪温度检测过压</w:t>
            </w:r>
            <w:r>
              <w:rPr>
                <w:sz w:val="18"/>
              </w:rPr>
              <w:t>/</w:t>
            </w:r>
            <w:r>
              <w:rPr>
                <w:rFonts w:hint="eastAsia"/>
                <w:sz w:val="18"/>
              </w:rPr>
              <w:t>欠压保护、短路保护过载保护、接地保护、过温</w:t>
            </w:r>
            <w:r>
              <w:rPr>
                <w:sz w:val="18"/>
              </w:rPr>
              <w:t>/</w:t>
            </w:r>
            <w:r>
              <w:rPr>
                <w:rFonts w:hint="eastAsia"/>
                <w:sz w:val="18"/>
              </w:rPr>
              <w:t>低温保护、防雷防漏电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输入频率</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50</w:t>
            </w:r>
            <w:r>
              <w:rPr>
                <w:rFonts w:hint="eastAsia"/>
                <w:sz w:val="18"/>
              </w:rPr>
              <w:t>±</w:t>
            </w:r>
            <w:r>
              <w:rPr>
                <w:sz w:val="18"/>
              </w:rPr>
              <w:t>1HZ</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冷却方式</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自然冷却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待机功耗</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3W</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安装标准</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GB/T20234</w:t>
            </w:r>
            <w:r>
              <w:rPr>
                <w:rFonts w:hint="eastAsia"/>
                <w:sz w:val="18"/>
              </w:rPr>
              <w:t>、</w:t>
            </w:r>
            <w:r>
              <w:rPr>
                <w:sz w:val="18"/>
              </w:rPr>
              <w:t>GB/T18487</w:t>
            </w:r>
            <w:r>
              <w:rPr>
                <w:rFonts w:hint="eastAsia"/>
                <w:sz w:val="18"/>
              </w:rPr>
              <w:t>、</w:t>
            </w:r>
            <w:r>
              <w:rPr>
                <w:sz w:val="18"/>
              </w:rPr>
              <w:t>NB/T33008</w:t>
            </w:r>
            <w:r>
              <w:rPr>
                <w:rFonts w:hint="eastAsia"/>
                <w:sz w:val="18"/>
              </w:rPr>
              <w:t>、</w:t>
            </w:r>
            <w:r>
              <w:rPr>
                <w:sz w:val="18"/>
              </w:rPr>
              <w:t>NB/T33002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MTBF</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100000</w:t>
            </w:r>
            <w:r>
              <w:rPr>
                <w:rFonts w:hint="eastAsia"/>
                <w:sz w:val="18"/>
              </w:rPr>
              <w:t>小时</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安装组件</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枪座（标配）、落地立柱（选配）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显示屏</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液晶显示屏</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安装方式</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壁挂式</w:t>
            </w:r>
            <w:r>
              <w:rPr>
                <w:sz w:val="18"/>
              </w:rPr>
              <w:t>/</w:t>
            </w:r>
            <w:r>
              <w:rPr>
                <w:rFonts w:hint="eastAsia"/>
                <w:sz w:val="18"/>
              </w:rPr>
              <w:t>落地式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消费方式</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刷卡、扫码</w:t>
            </w:r>
            <w:r>
              <w:rPr>
                <w:sz w:val="18"/>
              </w:rPr>
              <w:t>(</w:t>
            </w:r>
            <w:r>
              <w:rPr>
                <w:rFonts w:hint="eastAsia"/>
                <w:sz w:val="18"/>
              </w:rPr>
              <w:t>需选配</w:t>
            </w:r>
            <w:r>
              <w:rPr>
                <w:sz w:val="18"/>
              </w:rPr>
              <w:t>)</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走线方式</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单相三线式</w:t>
            </w:r>
            <w:r>
              <w:rPr>
                <w:sz w:val="18"/>
              </w:rPr>
              <w:t>(L.N.PE/PG)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通讯接口</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CAN</w:t>
            </w:r>
            <w:r>
              <w:rPr>
                <w:rFonts w:hint="eastAsia"/>
                <w:sz w:val="18"/>
              </w:rPr>
              <w:t>通讯</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线缆长度</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计算精度</w:t>
            </w:r>
          </w:p>
        </w:tc>
        <w:tc>
          <w:tcPr>
            <w:tcW w:w="2535"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sz w:val="18"/>
              </w:rPr>
              <w:t>1</w:t>
            </w:r>
            <w:r>
              <w:rPr>
                <w:rFonts w:hint="eastAsia"/>
                <w:sz w:val="18"/>
              </w:rPr>
              <w:t>级</w:t>
            </w:r>
          </w:p>
        </w:tc>
        <w:tc>
          <w:tcPr>
            <w:tcW w:w="1080"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规格尺寸</w:t>
            </w:r>
          </w:p>
        </w:tc>
        <w:tc>
          <w:tcPr>
            <w:tcW w:w="3758"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重</w:t>
            </w:r>
            <w:r>
              <w:rPr>
                <w:sz w:val="18"/>
              </w:rPr>
              <w:t>27KG</w:t>
            </w:r>
            <w:r>
              <w:rPr>
                <w:rFonts w:hint="eastAsia"/>
                <w:sz w:val="18"/>
              </w:rPr>
              <w:t>，</w:t>
            </w:r>
            <w:r>
              <w:rPr>
                <w:sz w:val="18"/>
              </w:rPr>
              <w:t>560*300*1350mm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适用环境</w:t>
            </w:r>
          </w:p>
        </w:tc>
        <w:tc>
          <w:tcPr>
            <w:tcW w:w="7373" w:type="dxa"/>
            <w:gridSpan w:val="3"/>
            <w:tcBorders>
              <w:top w:val="single" w:color="auto" w:sz="4" w:space="0"/>
              <w:left w:val="single" w:color="auto" w:sz="4" w:space="0"/>
              <w:bottom w:val="single" w:color="auto" w:sz="4" w:space="0"/>
              <w:right w:val="single" w:color="auto" w:sz="4" w:space="0"/>
            </w:tcBorders>
            <w:noWrap w:val="0"/>
            <w:vAlign w:val="top"/>
          </w:tcPr>
          <w:p>
            <w:pPr>
              <w:pBdr>
                <w:bottom w:val="single" w:color="auto" w:sz="6" w:space="1"/>
              </w:pBdr>
              <w:tabs>
                <w:tab w:val="center" w:pos="4153"/>
                <w:tab w:val="right" w:pos="8306"/>
              </w:tabs>
              <w:snapToGrid w:val="0"/>
              <w:spacing w:line="560" w:lineRule="exact"/>
            </w:pPr>
            <w:r>
              <w:rPr>
                <w:rFonts w:hint="eastAsia"/>
                <w:sz w:val="18"/>
              </w:rPr>
              <w:t>户内</w:t>
            </w:r>
            <w:r>
              <w:rPr>
                <w:sz w:val="18"/>
              </w:rPr>
              <w:t>/</w:t>
            </w:r>
            <w:r>
              <w:rPr>
                <w:rFonts w:hint="eastAsia"/>
                <w:sz w:val="18"/>
              </w:rPr>
              <w:t>户外；海拔</w:t>
            </w:r>
            <w:r>
              <w:rPr>
                <w:sz w:val="18"/>
              </w:rPr>
              <w:t>&lt;2000m</w:t>
            </w:r>
            <w:r>
              <w:rPr>
                <w:rFonts w:hint="eastAsia"/>
                <w:sz w:val="18"/>
              </w:rPr>
              <w:t>；</w:t>
            </w:r>
            <w:r>
              <w:rPr>
                <w:sz w:val="18"/>
              </w:rPr>
              <w:t>&lt;95%</w:t>
            </w:r>
            <w:r>
              <w:rPr>
                <w:rFonts w:hint="eastAsia"/>
                <w:sz w:val="18"/>
              </w:rPr>
              <w:t>相对湿度，无冷凝；</w:t>
            </w:r>
            <w:r>
              <w:rPr>
                <w:sz w:val="18"/>
              </w:rPr>
              <w:t>30</w:t>
            </w:r>
            <w:r>
              <w:rPr>
                <w:rFonts w:hint="eastAsia"/>
                <w:sz w:val="18"/>
              </w:rPr>
              <w:t>°</w:t>
            </w:r>
            <w:r>
              <w:rPr>
                <w:sz w:val="18"/>
              </w:rPr>
              <w:t>C~70</w:t>
            </w:r>
            <w:r>
              <w:rPr>
                <w:rFonts w:hint="eastAsia"/>
                <w:sz w:val="18"/>
              </w:rPr>
              <w:t>°</w:t>
            </w:r>
            <w:r>
              <w:rPr>
                <w:sz w:val="18"/>
              </w:rPr>
              <w:t>C</w:t>
            </w:r>
          </w:p>
        </w:tc>
      </w:tr>
    </w:tbl>
    <w:p>
      <w:pPr>
        <w:pStyle w:val="8"/>
        <w:spacing w:after="0" w:line="320" w:lineRule="exact"/>
        <w:ind w:left="527" w:leftChars="0"/>
        <w:jc w:val="left"/>
        <w:rPr>
          <w:rFonts w:hint="eastAsia" w:ascii="宋体" w:hAnsi="宋体" w:eastAsia="宋体" w:cs="宋体"/>
          <w:b/>
          <w:bCs/>
          <w:sz w:val="21"/>
          <w:szCs w:val="21"/>
          <w:u w:val="none"/>
        </w:rPr>
      </w:pPr>
      <w:r>
        <w:rPr>
          <w:rFonts w:hint="eastAsia" w:ascii="宋体" w:hAnsi="宋体" w:eastAsia="宋体" w:cs="宋体"/>
          <w:b/>
          <w:bCs/>
          <w:sz w:val="21"/>
          <w:szCs w:val="21"/>
          <w:u w:val="none"/>
        </w:rPr>
        <w:t>2.普通电动车充电桩参数：</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工作电源：AC220V 50HZ   输出电压：220V</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输出最大电流：10A输出最大功率：2000W空载功率≤3W    取电方式：微信扫码或刷卡（扫码不充值，根据居需求支付，剩余电量可回收）</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 xml:space="preserve">单码双孔，自动识别，联网方式：4G全网通   </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不充电时插座不带电，充满自停（自动断电），过载保护，</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超时长充电保护，自动记录充电数据，自动继续充，</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手机实时控制开启或者关停充电，查询充电记录实</w:t>
      </w:r>
    </w:p>
    <w:p>
      <w:pPr>
        <w:pStyle w:val="9"/>
        <w:spacing w:line="440" w:lineRule="exact"/>
        <w:ind w:firstLine="420" w:firstLineChars="200"/>
        <w:rPr>
          <w:rFonts w:hint="eastAsia" w:ascii="宋体" w:hAnsi="宋体" w:eastAsia="宋体" w:cs="宋体"/>
          <w:sz w:val="21"/>
          <w:szCs w:val="21"/>
          <w:u w:val="none"/>
        </w:rPr>
      </w:pPr>
      <w:r>
        <w:rPr>
          <w:rFonts w:hint="eastAsia" w:ascii="宋体" w:hAnsi="宋体" w:eastAsia="宋体" w:cs="宋体"/>
          <w:sz w:val="21"/>
          <w:szCs w:val="21"/>
          <w:u w:val="none"/>
        </w:rPr>
        <w:t>时知道充电状态，实时功率变化，余额转让。</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六、</w:t>
      </w:r>
      <w:r>
        <w:rPr>
          <w:rFonts w:hint="eastAsia"/>
          <w:b w:val="0"/>
          <w:bCs w:val="0"/>
          <w:color w:val="auto"/>
          <w:sz w:val="21"/>
          <w:szCs w:val="21"/>
          <w:highlight w:val="none"/>
        </w:rPr>
        <w:t>服务条件及交货日期（或工期）：</w:t>
      </w:r>
    </w:p>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r>
        <w:rPr>
          <w:rFonts w:hint="eastAsia" w:cs="Times New Roman"/>
          <w:b w:val="0"/>
          <w:bCs w:val="0"/>
          <w:color w:val="auto"/>
          <w:sz w:val="21"/>
          <w:szCs w:val="21"/>
          <w:highlight w:val="none"/>
          <w:lang w:val="en-US" w:eastAsia="zh-CN"/>
        </w:rPr>
        <w:t xml:space="preserve">  </w:t>
      </w:r>
      <w:r>
        <w:rPr>
          <w:rFonts w:hint="eastAsia" w:ascii="Times New Roman" w:hAnsi="Times New Roman" w:eastAsia="宋体" w:cs="Times New Roman"/>
          <w:b w:val="0"/>
          <w:bCs w:val="0"/>
          <w:color w:val="auto"/>
          <w:sz w:val="21"/>
          <w:szCs w:val="21"/>
          <w:highlight w:val="none"/>
          <w:lang w:val="en-US" w:eastAsia="zh-CN"/>
        </w:rPr>
        <w:t>自合同签订之日起10天之内完成。设备终身质保，人为及不可抗力因素不在质保范围。充电设备及线路符合国家相关安全标准和技术要求，定期维护保养，保证设备始终处于功能和安全状态。出现设备故障等问题2小时内到场解决，因设备问题导致的车辆受损和安全事故，由供应商承担。</w:t>
      </w:r>
      <w:r>
        <w:rPr>
          <w:rFonts w:hint="eastAsia"/>
          <w:b/>
          <w:bCs/>
          <w:color w:val="auto"/>
          <w:sz w:val="30"/>
          <w:szCs w:val="30"/>
          <w:highlight w:val="none"/>
        </w:rPr>
        <w:t>商务要求</w:t>
      </w:r>
    </w:p>
    <w:tbl>
      <w:tblPr>
        <w:tblStyle w:val="34"/>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自合同签订之日起10天之内完成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4"/>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驻马店市中心医院职工停车场集中充电设施安装采购项目（二次）。</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详见采购公告</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为：</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（一）普通电动车充电收费不得高于以下标准（设备自动识别充电设备的功率）：</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0-150w  0.17元/小时（即6小时/元）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150-220w  0.2元/小时（即5小时/元）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220-300w  0.33元/小时（即3小时/元）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300-400w  0.4元/小时（即2.5小时/元）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400-500w  0.5元/小时 （即2小时/元）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 xml:space="preserve">500-700w  0.67元/小时（即1.5小时/元）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700-1000w  1元/小时（即1小时/元）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 xml:space="preserve">1000-1200w  1.25元/小时（即0.8小时/元）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 xml:space="preserve">1200-1500w  1.67元/小时（即0.6小时/元）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 xml:space="preserve">1500-2000w  2元/小时  （即0.5小时/元 ）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2000-2500w  2.5元/小时（即0.4 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 xml:space="preserve">2500-3000w  3.3元/小时（即0.3小时/元）   </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3000-3600w   4元/小时（即0.25小时/元）</w:t>
      </w:r>
    </w:p>
    <w:p>
      <w:pPr>
        <w:keepNext w:val="0"/>
        <w:keepLines w:val="0"/>
        <w:pageBreakBefore w:val="0"/>
        <w:kinsoku/>
        <w:overflowPunct/>
        <w:topLinePunct w:val="0"/>
        <w:bidi w:val="0"/>
        <w:snapToGrid w:val="0"/>
        <w:spacing w:line="440" w:lineRule="exact"/>
        <w:ind w:firstLine="420" w:firstLineChars="200"/>
        <w:textAlignment w:val="auto"/>
        <w:rPr>
          <w:rFonts w:hint="eastAsia" w:ascii="宋体" w:hAnsi="宋体" w:cs="宋体"/>
          <w:color w:val="FF0000"/>
          <w:kern w:val="0"/>
          <w:szCs w:val="21"/>
          <w:highlight w:val="none"/>
          <w:u w:val="none"/>
          <w:lang w:val="en-US" w:eastAsia="zh-CN"/>
        </w:rPr>
      </w:pPr>
      <w:r>
        <w:rPr>
          <w:rFonts w:hint="eastAsia" w:ascii="宋体" w:hAnsi="宋体" w:cs="宋体"/>
          <w:color w:val="FF0000"/>
          <w:kern w:val="0"/>
          <w:szCs w:val="21"/>
          <w:highlight w:val="none"/>
          <w:u w:val="none"/>
          <w:lang w:val="en-US" w:eastAsia="zh-CN"/>
        </w:rPr>
        <w:t>（二）新能源汽车收费标准：目前新能源汽车市场收费是电价+服务费（0.5元－0.7元之间），本院电价+服务费，每1000Ｗ收费1.25元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7"/>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5"/>
    <w:p>
      <w:pPr>
        <w:rPr>
          <w:color w:val="auto"/>
          <w:highlight w:val="none"/>
        </w:rPr>
      </w:pPr>
      <w:bookmarkStart w:id="46" w:name="_Toc1947"/>
      <w:bookmarkStart w:id="47" w:name="_Toc1482"/>
      <w:bookmarkStart w:id="48" w:name="_Toc326786897"/>
      <w:bookmarkStart w:id="49" w:name="_Toc256519703"/>
    </w:p>
    <w:p>
      <w:pPr>
        <w:jc w:val="cente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pPr>
    </w:p>
    <w:p>
      <w:pPr>
        <w:jc w:val="center"/>
        <w:rPr>
          <w:rFonts w:hint="eastAsia" w:ascii="黑体" w:hAnsi="宋体" w:eastAsia="黑体" w:cs="宋体"/>
          <w:b/>
          <w:bCs/>
          <w:color w:val="auto"/>
          <w:kern w:val="0"/>
          <w:sz w:val="32"/>
          <w:szCs w:val="32"/>
          <w:highlight w:val="none"/>
        </w:rPr>
      </w:pPr>
      <w:bookmarkStart w:id="51" w:name="_Toc2638"/>
      <w:r>
        <w:rPr>
          <w:rFonts w:hint="eastAsia" w:ascii="黑体" w:hAnsi="宋体" w:eastAsia="黑体" w:cs="宋体"/>
          <w:b/>
          <w:bCs/>
          <w:color w:val="auto"/>
          <w:kern w:val="0"/>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2"/>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4"/>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8" w:name="_Toc29960"/>
      <w:bookmarkStart w:id="79" w:name="_Toc20420"/>
      <w:r>
        <w:rPr>
          <w:rFonts w:hint="eastAsia" w:ascii="Arial" w:hAnsi="Arial" w:eastAsia="新宋体"/>
          <w:b/>
          <w:color w:val="auto"/>
          <w:sz w:val="28"/>
          <w:highlight w:val="none"/>
        </w:rPr>
        <w:t>附件6               商务响应表（格式）</w:t>
      </w:r>
      <w:bookmarkEnd w:id="78"/>
      <w:bookmarkEnd w:id="79"/>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3"/>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4"/>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4"/>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4"/>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4"/>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1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center"/>
        <w:rPr>
          <w:b/>
          <w:bCs/>
          <w:color w:val="auto"/>
          <w:sz w:val="28"/>
          <w:szCs w:val="28"/>
          <w:highlight w:val="none"/>
        </w:rPr>
      </w:pPr>
    </w:p>
    <w:p>
      <w:pPr>
        <w:pStyle w:val="14"/>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驻马店市中心医院职工停车场集中充电设施安装采购项目（二次）采购文件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lang w:val="en-US" w:eastAsia="zh-CN"/>
      </w:rPr>
    </w:pPr>
    <w:r>
      <w:rPr>
        <w:rFonts w:hint="eastAsia"/>
        <w:lang w:val="en-US" w:eastAsia="zh-CN"/>
      </w:rPr>
      <w:t>驻马店市中心医院职工停车场集中充电设施安装采购项目（二次）采购文件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75D66"/>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3E5A13"/>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7D6EF2"/>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C5269"/>
    <w:rsid w:val="07FE66CB"/>
    <w:rsid w:val="080B4D47"/>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CFA5B77"/>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942A44"/>
    <w:rsid w:val="19A15638"/>
    <w:rsid w:val="1A125525"/>
    <w:rsid w:val="1A394CFA"/>
    <w:rsid w:val="1A5F4342"/>
    <w:rsid w:val="1A6A3709"/>
    <w:rsid w:val="1A8C5D82"/>
    <w:rsid w:val="1A994988"/>
    <w:rsid w:val="1A9B546C"/>
    <w:rsid w:val="1AA3511F"/>
    <w:rsid w:val="1AAE3B54"/>
    <w:rsid w:val="1AC10987"/>
    <w:rsid w:val="1AD92EFF"/>
    <w:rsid w:val="1B0C5B32"/>
    <w:rsid w:val="1B0D3E82"/>
    <w:rsid w:val="1B1652AB"/>
    <w:rsid w:val="1B181CD5"/>
    <w:rsid w:val="1B265306"/>
    <w:rsid w:val="1B4F2450"/>
    <w:rsid w:val="1B8C18B7"/>
    <w:rsid w:val="1B9958A6"/>
    <w:rsid w:val="1BB73AE1"/>
    <w:rsid w:val="1BBE1FA1"/>
    <w:rsid w:val="1BDA6D68"/>
    <w:rsid w:val="1BF3537D"/>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1C002A"/>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0927D3"/>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DF7A78"/>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190581"/>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1B05F8"/>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CD605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368FC"/>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10D49"/>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8E702B"/>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3"/>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0"/>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styleId="9">
    <w:name w:val="envelope return"/>
    <w:basedOn w:val="1"/>
    <w:unhideWhenUsed/>
    <w:qFormat/>
    <w:uiPriority w:val="99"/>
    <w:pPr>
      <w:snapToGrid w:val="0"/>
    </w:pPr>
    <w:rPr>
      <w:rFonts w:ascii="Arial" w:hAnsi="Arial"/>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qFormat/>
    <w:uiPriority w:val="0"/>
    <w:pPr>
      <w:widowControl/>
      <w:spacing w:beforeAutospacing="1" w:afterAutospacing="1"/>
      <w:jc w:val="left"/>
    </w:pPr>
    <w:rPr>
      <w:rFonts w:ascii="宋体" w:hAnsi="宋体" w:cs="宋体"/>
      <w:kern w:val="0"/>
      <w:sz w:val="24"/>
    </w:rPr>
  </w:style>
  <w:style w:type="paragraph" w:styleId="15">
    <w:name w:val="Document Map"/>
    <w:basedOn w:val="1"/>
    <w:link w:val="75"/>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4"/>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4"/>
    <w:next w:val="7"/>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4"/>
    <w:qFormat/>
    <w:uiPriority w:val="0"/>
  </w:style>
  <w:style w:type="character" w:customStyle="1" w:styleId="74">
    <w:name w:val="apple-converted-space"/>
    <w:basedOn w:val="36"/>
    <w:qFormat/>
    <w:uiPriority w:val="0"/>
  </w:style>
  <w:style w:type="character" w:customStyle="1" w:styleId="75">
    <w:name w:val="文档结构图 Char"/>
    <w:link w:val="15"/>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 w:type="character" w:customStyle="1" w:styleId="89">
    <w:name w:val="font41"/>
    <w:basedOn w:val="36"/>
    <w:qFormat/>
    <w:uiPriority w:val="0"/>
    <w:rPr>
      <w:rFonts w:hint="eastAsia" w:ascii="宋体" w:hAnsi="宋体" w:eastAsia="宋体" w:cs="宋体"/>
      <w:color w:val="000000"/>
      <w:sz w:val="21"/>
      <w:szCs w:val="21"/>
      <w:u w:val="none"/>
    </w:rPr>
  </w:style>
  <w:style w:type="character" w:customStyle="1" w:styleId="90">
    <w:name w:val="font51"/>
    <w:basedOn w:val="36"/>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16386</Words>
  <Characters>17650</Characters>
  <Lines>50</Lines>
  <Paragraphs>68</Paragraphs>
  <TotalTime>3</TotalTime>
  <ScaleCrop>false</ScaleCrop>
  <LinksUpToDate>false</LinksUpToDate>
  <CharactersWithSpaces>18779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2023-01-06T03:47:26Z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6417332265E9422A943B0BC70DFA36B5</vt:lpwstr>
  </property>
  <property fmtid="{D5CDD505-2E9C-101B-9397-08002B2CF9AE}" pid="4" name="commondata">
    <vt:lpwstr>eyJoZGlkIjoiYzIwMjRmYTY4OTJhZjc1NTA1MGQwNDc0NzZhNTkwMmUifQ==</vt:lpwstr>
  </property>
</Properties>
</file>