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驻马店市中心医院监护仪、介入诊疗手术台医疗设备采购项目 </w:t>
      </w:r>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3"/>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驻马店市中心医院监护仪、介入诊疗手术台医疗设备采购项目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bookmarkStart w:id="91" w:name="_GoBack"/>
      <w:r>
        <w:rPr>
          <w:rFonts w:hint="eastAsia" w:ascii="宋体" w:hAnsi="宋体" w:eastAsia="宋体" w:cs="宋体"/>
          <w:color w:val="auto"/>
        </w:rPr>
        <w:t>驻马店市中心医院现对</w:t>
      </w:r>
      <w:r>
        <w:rPr>
          <w:rFonts w:hint="eastAsia" w:ascii="宋体" w:hAnsi="宋体" w:eastAsia="宋体" w:cs="宋体"/>
          <w:color w:val="auto"/>
          <w:u w:val="single"/>
        </w:rPr>
        <w:t>监护仪、介入诊疗手术台医疗设备采购</w:t>
      </w:r>
      <w:r>
        <w:rPr>
          <w:rFonts w:hint="eastAsia" w:ascii="宋体" w:hAnsi="宋体" w:eastAsia="宋体" w:cs="宋体"/>
          <w:color w:val="auto"/>
          <w:u w:val="singl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kern w:val="0"/>
          <w:sz w:val="21"/>
          <w:szCs w:val="21"/>
          <w:shd w:val="clear" w:color="auto" w:fill="FFFFFF"/>
          <w:lang w:val="en-US" w:eastAsia="zh-CN" w:bidi="ar-SA"/>
        </w:rPr>
        <w:t>驻马店市中心医院监护仪、介入诊疗手术台医疗设备采购项目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36.6万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7913"/>
      <w:bookmarkStart w:id="5" w:name="_Toc21071"/>
      <w:bookmarkStart w:id="6" w:name="_Toc24040"/>
      <w:bookmarkStart w:id="7" w:name="_Toc19521"/>
      <w:bookmarkStart w:id="8" w:name="_Toc26079"/>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Cs/>
          <w:color w:val="auto"/>
          <w:szCs w:val="21"/>
          <w:highlight w:val="none"/>
          <w:shd w:val="clear" w:color="auto" w:fill="FFFFFF"/>
          <w:lang w:val="en-US" w:eastAsia="zh-CN"/>
        </w:rPr>
        <w:t>以合同约定为准</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27704"/>
      <w:bookmarkStart w:id="11" w:name="_Toc18607"/>
      <w:bookmarkStart w:id="12"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6、根据《关于在政府采购活动中查询及使用信用记录有关问题的通知》（财库【2016】125号）的规定，对列入失信被执行人、</w:t>
      </w:r>
      <w:r>
        <w:rPr>
          <w:rFonts w:hint="eastAsia" w:ascii="宋体" w:hAnsi="宋体" w:cs="宋体"/>
          <w:color w:val="auto"/>
          <w:kern w:val="2"/>
          <w:sz w:val="21"/>
          <w:szCs w:val="24"/>
          <w:lang w:val="en-US" w:eastAsia="zh-CN" w:bidi="ar-SA"/>
        </w:rPr>
        <w:t>重大税收违法失信主体</w:t>
      </w:r>
      <w:r>
        <w:rPr>
          <w:rFonts w:hint="eastAsia" w:ascii="宋体" w:hAnsi="宋体" w:eastAsia="宋体" w:cs="宋体"/>
          <w:color w:val="auto"/>
          <w:kern w:val="2"/>
          <w:sz w:val="21"/>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7823"/>
      <w:bookmarkStart w:id="14" w:name="_Toc9562"/>
      <w:bookmarkStart w:id="15" w:name="_Toc30971"/>
      <w:bookmarkStart w:id="16" w:name="_Toc23395"/>
      <w:bookmarkStart w:id="17" w:name="_Toc30643"/>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cs="宋体"/>
          <w:color w:val="FF0000"/>
          <w:szCs w:val="21"/>
          <w:shd w:val="clear" w:color="auto" w:fill="FFFFFF"/>
          <w:lang w:val="en-US" w:eastAsia="zh-CN"/>
        </w:rPr>
        <w:t>3</w:t>
      </w:r>
      <w:r>
        <w:rPr>
          <w:rFonts w:hint="eastAsia" w:ascii="宋体" w:hAnsi="宋体" w:eastAsia="宋体" w:cs="宋体"/>
          <w:color w:val="FF0000"/>
          <w:szCs w:val="21"/>
          <w:shd w:val="clear" w:color="auto" w:fill="FFFFFF"/>
        </w:rPr>
        <w:t>年</w:t>
      </w:r>
      <w:r>
        <w:rPr>
          <w:rFonts w:hint="eastAsia" w:ascii="宋体" w:hAnsi="宋体" w:cs="宋体"/>
          <w:color w:val="FF0000"/>
          <w:szCs w:val="21"/>
          <w:shd w:val="clear" w:color="auto" w:fill="FFFFFF"/>
          <w:lang w:val="en-US" w:eastAsia="zh-CN"/>
        </w:rPr>
        <w:t>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2.凡报名成功的供应商无故不来参与投标的列入我院黑名单，一年内不得参与我院任何采购活动。中标供应商缴纳相应服务费</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 xml:space="preserve">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25869"/>
      <w:bookmarkStart w:id="19" w:name="_Toc15135"/>
      <w:bookmarkStart w:id="20" w:name="_Toc10738"/>
      <w:bookmarkStart w:id="21" w:name="_Toc15111"/>
      <w:bookmarkStart w:id="22"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6523"/>
      <w:bookmarkStart w:id="24" w:name="_Toc30918"/>
      <w:bookmarkStart w:id="25" w:name="_Toc29784"/>
      <w:bookmarkStart w:id="26"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24274"/>
      <w:bookmarkStart w:id="30" w:name="_Toc31928"/>
      <w:bookmarkStart w:id="31" w:name="_Toc16291"/>
      <w:bookmarkStart w:id="32" w:name="_Toc27370"/>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报名联系人1：李女士</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eastAsia="宋体" w:cs="宋体"/>
          <w:color w:val="auto"/>
          <w:kern w:val="0"/>
          <w:sz w:val="21"/>
          <w:szCs w:val="21"/>
          <w:highlight w:val="none"/>
          <w:shd w:val="clear" w:color="auto" w:fill="FFFFFF"/>
          <w:lang w:val="en-US" w:eastAsia="zh-CN" w:bidi="ar-SA"/>
        </w:rPr>
        <w:t>18137647844</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报名联系人2：杨</w:t>
      </w:r>
      <w:r>
        <w:rPr>
          <w:rFonts w:hint="eastAsia" w:ascii="宋体" w:hAnsi="宋体" w:eastAsia="宋体" w:cs="宋体"/>
          <w:color w:val="auto"/>
          <w:kern w:val="0"/>
          <w:sz w:val="21"/>
          <w:szCs w:val="21"/>
          <w:highlight w:val="none"/>
          <w:shd w:val="clear" w:color="auto" w:fill="FFFFFF"/>
          <w:lang w:val="en-US" w:eastAsia="zh-CN" w:bidi="ar-SA"/>
        </w:rPr>
        <w:t>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联系电话：0396-3676106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w:t>
      </w:r>
      <w:r>
        <w:rPr>
          <w:rFonts w:hint="eastAsia" w:ascii="宋体" w:hAnsi="宋体" w:cs="宋体"/>
          <w:color w:val="auto"/>
          <w:kern w:val="0"/>
          <w:sz w:val="21"/>
          <w:szCs w:val="21"/>
          <w:highlight w:val="none"/>
          <w:shd w:val="clear" w:color="auto" w:fill="FFFFFF"/>
          <w:lang w:val="en-US" w:eastAsia="zh-CN" w:bidi="ar-SA"/>
        </w:rPr>
        <w:t>6</w:t>
      </w:r>
      <w:r>
        <w:rPr>
          <w:rFonts w:hint="eastAsia" w:ascii="宋体" w:hAnsi="宋体" w:eastAsia="宋体" w:cs="宋体"/>
          <w:color w:val="auto"/>
          <w:kern w:val="0"/>
          <w:sz w:val="21"/>
          <w:szCs w:val="21"/>
          <w:highlight w:val="none"/>
          <w:shd w:val="clear" w:color="auto" w:fill="FFFFFF"/>
          <w:lang w:val="en-US" w:eastAsia="zh-CN" w:bidi="ar-SA"/>
        </w:rPr>
        <w:t>435</w:t>
      </w: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31"/>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cs="宋体"/>
          <w:color w:val="FF0000"/>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shd w:val="clear" w:color="auto" w:fill="FFFFFF"/>
          <w:lang w:val="en-US" w:eastAsia="zh-CN" w:bidi="ar-SA"/>
        </w:rPr>
        <w:t>202</w:t>
      </w:r>
      <w:r>
        <w:rPr>
          <w:rFonts w:hint="eastAsia" w:ascii="宋体" w:hAnsi="宋体" w:cs="宋体"/>
          <w:color w:val="FF0000"/>
          <w:kern w:val="0"/>
          <w:sz w:val="21"/>
          <w:szCs w:val="21"/>
          <w:shd w:val="clear" w:color="auto" w:fill="FFFFFF"/>
          <w:lang w:val="en-US" w:eastAsia="zh-CN" w:bidi="ar-SA"/>
        </w:rPr>
        <w:t>3</w:t>
      </w:r>
      <w:r>
        <w:rPr>
          <w:rFonts w:hint="eastAsia" w:ascii="宋体" w:hAnsi="宋体" w:eastAsia="宋体" w:cs="宋体"/>
          <w:color w:val="FF0000"/>
          <w:kern w:val="0"/>
          <w:sz w:val="21"/>
          <w:szCs w:val="21"/>
          <w:shd w:val="clear" w:color="auto" w:fill="FFFFFF"/>
          <w:lang w:val="en-US" w:eastAsia="zh-CN" w:bidi="ar-SA"/>
        </w:rPr>
        <w:t>年</w:t>
      </w:r>
      <w:r>
        <w:rPr>
          <w:rFonts w:hint="eastAsia" w:ascii="宋体" w:hAnsi="宋体" w:cs="宋体"/>
          <w:color w:val="FF0000"/>
          <w:kern w:val="0"/>
          <w:sz w:val="21"/>
          <w:szCs w:val="21"/>
          <w:shd w:val="clear" w:color="auto" w:fill="FFFFFF"/>
          <w:lang w:val="en-US" w:eastAsia="zh-CN" w:bidi="ar-SA"/>
        </w:rPr>
        <w:t>1</w:t>
      </w:r>
      <w:r>
        <w:rPr>
          <w:rFonts w:hint="eastAsia" w:ascii="宋体" w:hAnsi="宋体" w:eastAsia="宋体" w:cs="宋体"/>
          <w:color w:val="FF0000"/>
          <w:kern w:val="0"/>
          <w:sz w:val="21"/>
          <w:szCs w:val="21"/>
          <w:shd w:val="clear" w:color="auto" w:fill="FFFFFF"/>
          <w:lang w:val="en-US" w:eastAsia="zh-CN" w:bidi="ar-SA"/>
        </w:rPr>
        <w:t>月</w:t>
      </w:r>
      <w:r>
        <w:rPr>
          <w:rFonts w:hint="eastAsia" w:ascii="宋体" w:hAnsi="宋体" w:cs="宋体"/>
          <w:color w:val="FF0000"/>
          <w:kern w:val="0"/>
          <w:sz w:val="21"/>
          <w:szCs w:val="21"/>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日</w:t>
      </w:r>
    </w:p>
    <w:bookmarkEnd w:id="91"/>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一、项目名称、数量：驻马店市中心医院监护仪、介入诊疗手术台医疗设备采购项目</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0" w:hanging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二</w:t>
      </w:r>
      <w:r>
        <w:rPr>
          <w:rFonts w:hint="eastAsia" w:ascii="宋体" w:hAnsi="宋体" w:eastAsia="宋体" w:cs="宋体"/>
          <w:color w:val="auto"/>
          <w:kern w:val="0"/>
          <w:sz w:val="21"/>
          <w:szCs w:val="21"/>
          <w:shd w:val="clear" w:color="auto" w:fill="FFFFFF"/>
          <w:lang w:val="en-US" w:eastAsia="zh-CN" w:bidi="ar-SA"/>
        </w:rPr>
        <w:t>、配置规格、附件及零配件（包括专用工具）：</w:t>
      </w:r>
    </w:p>
    <w:tbl>
      <w:tblPr>
        <w:tblStyle w:val="34"/>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851"/>
        <w:gridCol w:w="1821"/>
        <w:gridCol w:w="154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数量或规模</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资金预算</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op w:val="single" w:color="auto" w:sz="4" w:space="0"/>
              <w:left w:val="single" w:color="auto" w:sz="4" w:space="0"/>
              <w:right w:val="single" w:color="auto" w:sz="4" w:space="0"/>
            </w:tcBorders>
            <w:vAlign w:val="top"/>
          </w:tcPr>
          <w:p>
            <w:pPr>
              <w:pStyle w:val="8"/>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1</w:t>
            </w:r>
          </w:p>
        </w:tc>
        <w:tc>
          <w:tcPr>
            <w:tcW w:w="2851" w:type="dxa"/>
            <w:tcBorders>
              <w:top w:val="single" w:color="auto" w:sz="4" w:space="0"/>
              <w:left w:val="nil"/>
              <w:bottom w:val="single" w:color="auto" w:sz="4" w:space="0"/>
              <w:right w:val="single" w:color="auto" w:sz="4" w:space="0"/>
            </w:tcBorders>
            <w:vAlign w:val="top"/>
          </w:tcPr>
          <w:p>
            <w:pPr>
              <w:pStyle w:val="8"/>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eastAsia="zh-CN"/>
              </w:rPr>
              <w:t>监护仪</w:t>
            </w:r>
          </w:p>
        </w:tc>
        <w:tc>
          <w:tcPr>
            <w:tcW w:w="1821" w:type="dxa"/>
            <w:tcBorders>
              <w:top w:val="single" w:color="auto" w:sz="4" w:space="0"/>
              <w:left w:val="nil"/>
              <w:bottom w:val="single" w:color="auto" w:sz="4" w:space="0"/>
              <w:right w:val="single" w:color="auto" w:sz="4" w:space="0"/>
            </w:tcBorders>
            <w:vAlign w:val="top"/>
          </w:tcPr>
          <w:p>
            <w:pPr>
              <w:pStyle w:val="8"/>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2</w:t>
            </w:r>
          </w:p>
        </w:tc>
        <w:tc>
          <w:tcPr>
            <w:tcW w:w="1545" w:type="dxa"/>
            <w:tcBorders>
              <w:top w:val="single" w:color="auto" w:sz="4" w:space="0"/>
              <w:left w:val="nil"/>
              <w:bottom w:val="single" w:color="auto" w:sz="4" w:space="0"/>
              <w:right w:val="single" w:color="auto" w:sz="4" w:space="0"/>
            </w:tcBorders>
            <w:vAlign w:val="top"/>
          </w:tcPr>
          <w:p>
            <w:pPr>
              <w:pStyle w:val="8"/>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15.6</w:t>
            </w:r>
          </w:p>
        </w:tc>
        <w:tc>
          <w:tcPr>
            <w:tcW w:w="1630" w:type="dxa"/>
            <w:tcBorders>
              <w:top w:val="single" w:color="auto" w:sz="4" w:space="0"/>
              <w:left w:val="nil"/>
              <w:bottom w:val="single" w:color="auto" w:sz="4" w:space="0"/>
              <w:right w:val="single" w:color="auto" w:sz="4" w:space="0"/>
            </w:tcBorders>
            <w:vAlign w:val="top"/>
          </w:tcPr>
          <w:p>
            <w:pPr>
              <w:pStyle w:val="8"/>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tcBorders>
              <w:top w:val="single" w:color="auto" w:sz="4" w:space="0"/>
              <w:left w:val="single" w:color="auto" w:sz="4" w:space="0"/>
              <w:right w:val="single" w:color="auto" w:sz="4" w:space="0"/>
            </w:tcBorders>
            <w:vAlign w:val="top"/>
          </w:tcPr>
          <w:p>
            <w:pPr>
              <w:pStyle w:val="8"/>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lang w:val="en-US" w:eastAsia="zh-CN"/>
              </w:rPr>
              <w:t>2</w:t>
            </w:r>
          </w:p>
        </w:tc>
        <w:tc>
          <w:tcPr>
            <w:tcW w:w="2851" w:type="dxa"/>
            <w:tcBorders>
              <w:top w:val="single" w:color="auto" w:sz="4" w:space="0"/>
              <w:left w:val="nil"/>
              <w:bottom w:val="single" w:color="auto" w:sz="4" w:space="0"/>
              <w:right w:val="single" w:color="auto" w:sz="4" w:space="0"/>
            </w:tcBorders>
            <w:vAlign w:val="top"/>
          </w:tcPr>
          <w:p>
            <w:pPr>
              <w:pStyle w:val="8"/>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lang w:eastAsia="zh-CN"/>
              </w:rPr>
              <w:t>介入诊疗手术台</w:t>
            </w:r>
          </w:p>
        </w:tc>
        <w:tc>
          <w:tcPr>
            <w:tcW w:w="1821" w:type="dxa"/>
            <w:tcBorders>
              <w:top w:val="single" w:color="auto" w:sz="4" w:space="0"/>
              <w:left w:val="nil"/>
              <w:bottom w:val="single" w:color="auto" w:sz="4" w:space="0"/>
              <w:right w:val="single" w:color="auto" w:sz="4" w:space="0"/>
            </w:tcBorders>
            <w:vAlign w:val="top"/>
          </w:tcPr>
          <w:p>
            <w:pPr>
              <w:pStyle w:val="8"/>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1</w:t>
            </w:r>
          </w:p>
        </w:tc>
        <w:tc>
          <w:tcPr>
            <w:tcW w:w="1545" w:type="dxa"/>
            <w:tcBorders>
              <w:top w:val="single" w:color="auto" w:sz="4" w:space="0"/>
              <w:left w:val="nil"/>
              <w:bottom w:val="single" w:color="auto" w:sz="4" w:space="0"/>
              <w:right w:val="single" w:color="auto" w:sz="4" w:space="0"/>
            </w:tcBorders>
            <w:vAlign w:val="top"/>
          </w:tcPr>
          <w:p>
            <w:pPr>
              <w:pStyle w:val="8"/>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sz w:val="24"/>
                <w:szCs w:val="24"/>
                <w:lang w:val="en-US" w:eastAsia="zh-CN"/>
              </w:rPr>
              <w:t>21</w:t>
            </w:r>
          </w:p>
        </w:tc>
        <w:tc>
          <w:tcPr>
            <w:tcW w:w="1630" w:type="dxa"/>
            <w:tcBorders>
              <w:top w:val="single" w:color="auto" w:sz="4" w:space="0"/>
              <w:left w:val="nil"/>
              <w:bottom w:val="single" w:color="auto" w:sz="4" w:space="0"/>
              <w:right w:val="single" w:color="auto" w:sz="4" w:space="0"/>
            </w:tcBorders>
            <w:vAlign w:val="top"/>
          </w:tcPr>
          <w:p>
            <w:pPr>
              <w:pStyle w:val="8"/>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21"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w:t>
            </w:r>
          </w:p>
        </w:tc>
        <w:tc>
          <w:tcPr>
            <w:tcW w:w="1545"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36.6</w:t>
            </w:r>
            <w:r>
              <w:rPr>
                <w:rFonts w:hint="eastAsia" w:ascii="宋体" w:hAnsi="宋体" w:eastAsia="宋体" w:cs="宋体"/>
                <w:b w:val="0"/>
                <w:bCs w:val="0"/>
                <w:i w:val="0"/>
                <w:iCs w:val="0"/>
                <w:color w:val="000000"/>
                <w:kern w:val="0"/>
                <w:sz w:val="21"/>
                <w:szCs w:val="21"/>
                <w:u w:val="none"/>
                <w:lang w:val="en-US" w:eastAsia="zh-CN" w:bidi="ar"/>
              </w:rPr>
              <w:t>万元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bl>
    <w:p>
      <w:pPr>
        <w:spacing w:line="460" w:lineRule="exact"/>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三、</w:t>
      </w:r>
      <w:r>
        <w:rPr>
          <w:rFonts w:hint="eastAsia" w:ascii="宋体" w:hAnsi="宋体" w:eastAsia="宋体" w:cs="宋体"/>
          <w:b w:val="0"/>
          <w:bCs w:val="0"/>
          <w:kern w:val="2"/>
          <w:sz w:val="21"/>
          <w:szCs w:val="21"/>
          <w:lang w:val="en-US" w:eastAsia="zh-CN" w:bidi="ar-SA"/>
        </w:rPr>
        <w:t>供应商资格要求：</w:t>
      </w:r>
    </w:p>
    <w:p>
      <w:pPr>
        <w:numPr>
          <w:ilvl w:val="0"/>
          <w:numId w:val="1"/>
        </w:numPr>
        <w:spacing w:line="460" w:lineRule="exact"/>
        <w:ind w:left="105" w:leftChars="0" w:firstLine="0" w:firstLineChars="0"/>
        <w:rPr>
          <w:rFonts w:hint="eastAsia" w:ascii="宋体" w:hAnsi="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提供响应技术参数条款的注册检验报告或相关资料（完整版），并对响应技术参数部分做出明显标注；</w:t>
      </w:r>
    </w:p>
    <w:p>
      <w:pPr>
        <w:numPr>
          <w:ilvl w:val="0"/>
          <w:numId w:val="1"/>
        </w:numPr>
        <w:spacing w:line="460" w:lineRule="exact"/>
        <w:ind w:left="105" w:leftChars="0" w:firstLine="0" w:firstLineChars="0"/>
        <w:rPr>
          <w:rFonts w:hint="eastAsia" w:ascii="宋体" w:hAnsi="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需提供响应技术参数条款的技术白皮书和彩页等相关文件，并对响应技术参数部分做出明显标注；</w:t>
      </w:r>
    </w:p>
    <w:p>
      <w:pPr>
        <w:numPr>
          <w:ilvl w:val="0"/>
          <w:numId w:val="0"/>
        </w:numPr>
        <w:spacing w:line="460" w:lineRule="exact"/>
        <w:ind w:left="105" w:leftChars="0"/>
        <w:rPr>
          <w:rFonts w:hint="eastAsia" w:ascii="宋体" w:hAnsi="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3、注册证中有附件的提供完整版的附件</w:t>
      </w:r>
    </w:p>
    <w:p>
      <w:pPr>
        <w:numPr>
          <w:ilvl w:val="0"/>
          <w:numId w:val="0"/>
        </w:numPr>
        <w:spacing w:line="460" w:lineRule="exact"/>
        <w:rPr>
          <w:rFonts w:hint="eastAsia" w:ascii="宋体" w:hAnsi="宋体" w:eastAsia="宋体" w:cs="宋体"/>
          <w:b w:val="0"/>
          <w:bCs w:val="0"/>
          <w:kern w:val="2"/>
          <w:sz w:val="21"/>
          <w:szCs w:val="21"/>
          <w:lang w:val="en-US" w:eastAsia="zh-CN" w:bidi="ar-SA"/>
        </w:rPr>
      </w:pPr>
      <w:r>
        <w:rPr>
          <w:rFonts w:hint="eastAsia" w:ascii="宋体" w:hAnsi="宋体" w:cs="宋体"/>
          <w:color w:val="auto"/>
          <w:kern w:val="0"/>
          <w:sz w:val="21"/>
          <w:szCs w:val="21"/>
          <w:shd w:val="clear" w:color="auto" w:fill="FFFFFF"/>
          <w:lang w:val="en-US" w:eastAsia="zh-CN" w:bidi="ar-SA"/>
        </w:rPr>
        <w:t>四</w:t>
      </w:r>
      <w:r>
        <w:rPr>
          <w:rFonts w:hint="eastAsia" w:ascii="宋体" w:hAnsi="宋体" w:eastAsia="宋体" w:cs="宋体"/>
          <w:b w:val="0"/>
          <w:bCs w:val="0"/>
          <w:kern w:val="2"/>
          <w:sz w:val="21"/>
          <w:szCs w:val="21"/>
          <w:lang w:val="en-US" w:eastAsia="zh-CN" w:bidi="ar-SA"/>
        </w:rPr>
        <w:t>、详细技术要求、参数及产品资料等：</w:t>
      </w:r>
    </w:p>
    <w:bookmarkEnd w:id="35"/>
    <w:bookmarkEnd w:id="36"/>
    <w:p>
      <w:pPr>
        <w:pStyle w:val="91"/>
        <w:spacing w:beforeAutospacing="0" w:afterAutospacing="0" w:line="360" w:lineRule="auto"/>
        <w:jc w:val="center"/>
        <w:rPr>
          <w:rFonts w:hint="eastAsia" w:ascii="黑体" w:eastAsia="黑体"/>
          <w:sz w:val="28"/>
          <w:szCs w:val="28"/>
        </w:rPr>
      </w:pPr>
      <w:r>
        <w:rPr>
          <w:rFonts w:hint="eastAsia" w:ascii="黑体" w:eastAsia="黑体"/>
          <w:sz w:val="28"/>
          <w:szCs w:val="28"/>
        </w:rPr>
        <w:t>病人监护仪招标技术参数</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b/>
          <w:bCs/>
        </w:rPr>
      </w:pPr>
      <w:r>
        <w:rPr>
          <w:rFonts w:hint="eastAsia"/>
          <w:b/>
          <w:bCs/>
        </w:rPr>
        <w:t>1、主要硬件及及结构</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1</w:t>
      </w:r>
      <w:r>
        <w:rPr>
          <w:rFonts w:hint="eastAsia"/>
        </w:rPr>
        <w:t>.1</w:t>
      </w:r>
      <w:r>
        <w:rPr>
          <w:rFonts w:hint="eastAsia"/>
        </w:rPr>
        <w:tab/>
      </w:r>
      <w:r>
        <w:rPr>
          <w:rFonts w:hint="eastAsia"/>
        </w:rPr>
        <w:t>*主机屏幕一体化设计，电容</w:t>
      </w:r>
      <w:r>
        <w:t>触摸屏</w:t>
      </w:r>
      <w:r>
        <w:rPr>
          <w:rFonts w:hint="eastAsia"/>
        </w:rPr>
        <w:t>，</w:t>
      </w:r>
      <w:r>
        <w:t>幕尺寸≥15</w:t>
      </w:r>
      <w:r>
        <w:rPr>
          <w:rFonts w:hint="eastAsia"/>
        </w:rPr>
        <w:t>英寸</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1</w:t>
      </w:r>
      <w:r>
        <w:rPr>
          <w:rFonts w:hint="eastAsia"/>
        </w:rPr>
        <w:t>.2</w:t>
      </w:r>
      <w:r>
        <w:rPr>
          <w:rFonts w:hint="eastAsia"/>
        </w:rPr>
        <w:tab/>
      </w:r>
      <w:r>
        <w:rPr>
          <w:rFonts w:hint="eastAsia"/>
        </w:rPr>
        <w:t>显示屏具有亮度调节功能，支持自动、</w:t>
      </w:r>
      <w:r>
        <w:t>手动</w:t>
      </w:r>
      <w:r>
        <w:rPr>
          <w:rFonts w:hint="eastAsia"/>
        </w:rPr>
        <w:t>调节</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1</w:t>
      </w:r>
      <w:r>
        <w:rPr>
          <w:rFonts w:hint="eastAsia"/>
        </w:rPr>
        <w:t>.</w:t>
      </w:r>
      <w:r>
        <w:rPr>
          <w:rFonts w:hint="eastAsia"/>
          <w:lang w:val="en-US" w:eastAsia="zh-CN"/>
        </w:rPr>
        <w:t>3</w:t>
      </w:r>
      <w:r>
        <w:rPr>
          <w:rFonts w:hint="eastAsia"/>
        </w:rPr>
        <w:tab/>
      </w:r>
      <w:r>
        <w:rPr>
          <w:rFonts w:hint="eastAsia"/>
        </w:rPr>
        <w:t>具备多点触摸和手势操作功能</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1</w:t>
      </w:r>
      <w:r>
        <w:rPr>
          <w:rFonts w:hint="eastAsia"/>
        </w:rPr>
        <w:t>.</w:t>
      </w:r>
      <w:r>
        <w:rPr>
          <w:rFonts w:hint="eastAsia"/>
          <w:lang w:val="en-US" w:eastAsia="zh-CN"/>
        </w:rPr>
        <w:t>4</w:t>
      </w:r>
      <w:r>
        <w:rPr>
          <w:rFonts w:hint="eastAsia"/>
        </w:rPr>
        <w:tab/>
      </w:r>
      <w:r>
        <w:rPr>
          <w:rFonts w:hint="eastAsia"/>
        </w:rPr>
        <w:t>*支持三级声光报警状态显示，</w:t>
      </w:r>
      <w:r>
        <w:t>具备报警</w:t>
      </w:r>
      <w:r>
        <w:rPr>
          <w:rFonts w:hint="eastAsia"/>
        </w:rPr>
        <w:t>升级</w:t>
      </w:r>
      <w:r>
        <w:t>功能</w:t>
      </w:r>
      <w:r>
        <w:rPr>
          <w:rFonts w:hint="eastAsia"/>
        </w:rPr>
        <w:t>，当某报警持续触发一段时间时，能够提高报警音量。报警升级功能可以用户自定义</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b/>
          <w:bCs/>
        </w:rPr>
      </w:pPr>
      <w:r>
        <w:rPr>
          <w:rFonts w:hint="eastAsia"/>
          <w:b/>
          <w:bCs/>
          <w:lang w:val="en-US" w:eastAsia="zh-CN"/>
        </w:rPr>
        <w:t>2</w:t>
      </w:r>
      <w:r>
        <w:rPr>
          <w:rFonts w:hint="eastAsia"/>
          <w:b/>
          <w:bCs/>
        </w:rPr>
        <w:t>、用户界面及应用</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2</w:t>
      </w:r>
      <w:r>
        <w:rPr>
          <w:rFonts w:hint="eastAsia"/>
        </w:rPr>
        <w:t>.1</w:t>
      </w:r>
      <w:r>
        <w:rPr>
          <w:rFonts w:hint="eastAsia"/>
        </w:rPr>
        <w:tab/>
      </w:r>
      <w:r>
        <w:rPr>
          <w:rFonts w:hint="eastAsia"/>
        </w:rPr>
        <w:t>支持</w:t>
      </w:r>
      <w:r>
        <w:t>≥</w:t>
      </w:r>
      <w:r>
        <w:rPr>
          <w:rFonts w:hint="eastAsia"/>
        </w:rPr>
        <w:t>6道波形显示</w:t>
      </w:r>
      <w:r>
        <w:rPr>
          <w:rFonts w:hint="eastAsia"/>
          <w:lang w:eastAsia="zh-CN"/>
        </w:rPr>
        <w:t>、</w:t>
      </w:r>
      <w:r>
        <w:rPr>
          <w:rFonts w:hint="eastAsia"/>
        </w:rPr>
        <w:t>全中文操作界面，大字体界面支持≥5个参数的设置和显示</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2</w:t>
      </w:r>
      <w:r>
        <w:rPr>
          <w:rFonts w:hint="eastAsia"/>
        </w:rPr>
        <w:t>.2</w:t>
      </w:r>
      <w:r>
        <w:rPr>
          <w:rFonts w:hint="eastAsia"/>
        </w:rPr>
        <w:tab/>
      </w:r>
      <w:r>
        <w:rPr>
          <w:rFonts w:hint="eastAsia"/>
        </w:rPr>
        <w:t>*用户能够根据自己的使用需要定义快捷键，界面至少能够提供12个快捷键的同时显示</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2</w:t>
      </w:r>
      <w:r>
        <w:rPr>
          <w:rFonts w:hint="eastAsia"/>
        </w:rPr>
        <w:t>.</w:t>
      </w:r>
      <w:r>
        <w:rPr>
          <w:rFonts w:hint="eastAsia"/>
          <w:lang w:val="en-US" w:eastAsia="zh-CN"/>
        </w:rPr>
        <w:t>3</w:t>
      </w:r>
      <w:r>
        <w:rPr>
          <w:rFonts w:hint="eastAsia"/>
        </w:rPr>
        <w:tab/>
      </w:r>
      <w:r>
        <w:rPr>
          <w:rFonts w:hint="eastAsia"/>
        </w:rPr>
        <w:t>*具有图形化报警指示功能，可快速判断报警原因及报警位置</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 xml:space="preserve">2.4  </w:t>
      </w:r>
      <w:r>
        <w:rPr>
          <w:rFonts w:hint="eastAsia"/>
        </w:rPr>
        <w:t>*具有高级参数指导功能，能够指导用户掌握高级参数的使用方法</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eastAsiaTheme="minorEastAsia"/>
          <w:b/>
          <w:bCs/>
          <w:lang w:eastAsia="zh-CN"/>
        </w:rPr>
      </w:pPr>
      <w:r>
        <w:rPr>
          <w:rFonts w:hint="eastAsia"/>
          <w:b/>
          <w:bCs/>
          <w:lang w:val="en-US" w:eastAsia="zh-CN"/>
        </w:rPr>
        <w:t>3</w:t>
      </w:r>
      <w:r>
        <w:rPr>
          <w:rFonts w:hint="eastAsia"/>
          <w:b/>
          <w:bCs/>
        </w:rPr>
        <w:t>、心电</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lang w:eastAsia="zh-CN"/>
        </w:rPr>
      </w:pPr>
      <w:r>
        <w:rPr>
          <w:rFonts w:hint="eastAsia"/>
          <w:lang w:val="en-US" w:eastAsia="zh-CN"/>
        </w:rPr>
        <w:t>3</w:t>
      </w:r>
      <w:r>
        <w:rPr>
          <w:rFonts w:hint="eastAsia"/>
        </w:rPr>
        <w:t>.1</w:t>
      </w:r>
      <w:r>
        <w:rPr>
          <w:rFonts w:hint="eastAsia"/>
        </w:rPr>
        <w:tab/>
      </w:r>
      <w:r>
        <w:rPr>
          <w:rFonts w:hint="eastAsia"/>
        </w:rPr>
        <w:t>支持3/5/6/12导心电监护</w:t>
      </w:r>
      <w:r>
        <w:rPr>
          <w:rFonts w:hint="eastAsia"/>
          <w:lang w:eastAsia="zh-CN"/>
        </w:rPr>
        <w:t>，配备心电导联线</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3</w:t>
      </w:r>
      <w:r>
        <w:rPr>
          <w:rFonts w:hint="eastAsia"/>
        </w:rPr>
        <w:t>.2</w:t>
      </w:r>
      <w:r>
        <w:rPr>
          <w:rFonts w:hint="eastAsia"/>
        </w:rPr>
        <w:tab/>
      </w:r>
      <w:r>
        <w:rPr>
          <w:rFonts w:hint="eastAsia"/>
        </w:rPr>
        <w:t>具有多导心电监护算法，同步分析至少2通道心电波形，抗干扰能力良好</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3</w:t>
      </w:r>
      <w:r>
        <w:rPr>
          <w:rFonts w:hint="eastAsia"/>
        </w:rPr>
        <w:t>.3</w:t>
      </w:r>
      <w:r>
        <w:rPr>
          <w:rFonts w:hint="eastAsia"/>
        </w:rPr>
        <w:tab/>
      </w:r>
      <w:r>
        <w:rPr>
          <w:rFonts w:hint="eastAsia"/>
        </w:rPr>
        <w:t>心率测量范围：15–260 bpm</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3</w:t>
      </w:r>
      <w:r>
        <w:rPr>
          <w:rFonts w:hint="eastAsia"/>
        </w:rPr>
        <w:t>.4</w:t>
      </w:r>
      <w:r>
        <w:rPr>
          <w:rFonts w:hint="eastAsia"/>
        </w:rPr>
        <w:tab/>
      </w:r>
      <w:r>
        <w:rPr>
          <w:rFonts w:hint="eastAsia"/>
        </w:rPr>
        <w:t>滤波模式提供诊断模式、监护模式、ST模式</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3</w:t>
      </w:r>
      <w:r>
        <w:rPr>
          <w:rFonts w:hint="eastAsia"/>
        </w:rPr>
        <w:t>.5</w:t>
      </w:r>
      <w:r>
        <w:rPr>
          <w:rFonts w:hint="eastAsia"/>
        </w:rPr>
        <w:tab/>
      </w:r>
      <w:r>
        <w:rPr>
          <w:rFonts w:hint="eastAsia"/>
        </w:rPr>
        <w:t>*</w:t>
      </w:r>
      <w:r>
        <w:t>≥</w:t>
      </w:r>
      <w:r>
        <w:rPr>
          <w:rFonts w:hint="eastAsia"/>
        </w:rPr>
        <w:t>22种心律失常事件的分析</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b/>
          <w:bCs/>
        </w:rPr>
      </w:pPr>
      <w:r>
        <w:rPr>
          <w:rFonts w:hint="eastAsia"/>
          <w:b/>
          <w:bCs/>
          <w:lang w:val="en-US" w:eastAsia="zh-CN"/>
        </w:rPr>
        <w:t>4</w:t>
      </w:r>
      <w:r>
        <w:rPr>
          <w:rFonts w:hint="eastAsia"/>
          <w:b/>
          <w:bCs/>
        </w:rPr>
        <w:t>、呼吸</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4</w:t>
      </w:r>
      <w:r>
        <w:rPr>
          <w:rFonts w:hint="eastAsia"/>
        </w:rPr>
        <w:t>.1</w:t>
      </w:r>
      <w:r>
        <w:rPr>
          <w:rFonts w:hint="eastAsia"/>
        </w:rPr>
        <w:tab/>
      </w:r>
      <w:r>
        <w:rPr>
          <w:rFonts w:hint="eastAsia"/>
        </w:rPr>
        <w:t>计算导联可以选择I，II，自动</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4</w:t>
      </w:r>
      <w:r>
        <w:rPr>
          <w:rFonts w:hint="eastAsia"/>
        </w:rPr>
        <w:t>.2</w:t>
      </w:r>
      <w:r>
        <w:rPr>
          <w:rFonts w:hint="eastAsia"/>
        </w:rPr>
        <w:tab/>
      </w:r>
      <w:r>
        <w:rPr>
          <w:rFonts w:hint="eastAsia"/>
        </w:rPr>
        <w:t>RR测量范围0-160 rpm</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b/>
          <w:bCs/>
        </w:rPr>
      </w:pPr>
      <w:r>
        <w:rPr>
          <w:rFonts w:hint="eastAsia"/>
          <w:b/>
          <w:bCs/>
          <w:lang w:val="en-US" w:eastAsia="zh-CN"/>
        </w:rPr>
        <w:t>5</w:t>
      </w:r>
      <w:r>
        <w:rPr>
          <w:rFonts w:hint="eastAsia"/>
          <w:b/>
          <w:bCs/>
        </w:rPr>
        <w:t>、血氧饱和度指标</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5</w:t>
      </w:r>
      <w:r>
        <w:rPr>
          <w:rFonts w:hint="eastAsia"/>
        </w:rPr>
        <w:t>.1</w:t>
      </w:r>
      <w:r>
        <w:rPr>
          <w:rFonts w:hint="eastAsia"/>
        </w:rPr>
        <w:tab/>
      </w:r>
      <w:r>
        <w:rPr>
          <w:rFonts w:hint="eastAsia"/>
        </w:rPr>
        <w:t>血氧饱和度测量范围：0 - 100%</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rPr>
      </w:pPr>
      <w:r>
        <w:rPr>
          <w:rFonts w:hint="eastAsia"/>
          <w:lang w:val="en-US" w:eastAsia="zh-CN"/>
        </w:rPr>
        <w:t>5</w:t>
      </w:r>
      <w:r>
        <w:rPr>
          <w:rFonts w:hint="eastAsia"/>
        </w:rPr>
        <w:t>.2</w:t>
      </w:r>
      <w:r>
        <w:rPr>
          <w:rFonts w:hint="eastAsia"/>
        </w:rPr>
        <w:tab/>
      </w:r>
      <w:r>
        <w:rPr>
          <w:rFonts w:hint="eastAsia"/>
        </w:rPr>
        <w:t>可显示灌注指数</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eastAsiaTheme="minorEastAsia"/>
          <w:lang w:eastAsia="zh-CN"/>
        </w:rPr>
      </w:pPr>
      <w:r>
        <w:rPr>
          <w:rFonts w:hint="eastAsia"/>
          <w:lang w:val="en-US" w:eastAsia="zh-CN"/>
        </w:rPr>
        <w:t>5</w:t>
      </w:r>
      <w:r>
        <w:rPr>
          <w:rFonts w:hint="eastAsia"/>
        </w:rPr>
        <w:t>.3</w:t>
      </w:r>
      <w:r>
        <w:rPr>
          <w:rFonts w:hint="eastAsia"/>
        </w:rPr>
        <w:tab/>
      </w:r>
      <w:r>
        <w:rPr>
          <w:rFonts w:hint="eastAsia"/>
        </w:rPr>
        <w:t>支持双血氧监测功能</w:t>
      </w:r>
      <w:r>
        <w:rPr>
          <w:rFonts w:hint="eastAsia"/>
          <w:lang w:eastAsia="zh-CN"/>
        </w:rPr>
        <w:t>，配备血氧饱和度探头</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b/>
          <w:bCs/>
        </w:rPr>
      </w:pPr>
      <w:r>
        <w:rPr>
          <w:rFonts w:hint="eastAsia"/>
          <w:b/>
          <w:bCs/>
          <w:lang w:val="en-US" w:eastAsia="zh-CN"/>
        </w:rPr>
        <w:t>6</w:t>
      </w:r>
      <w:r>
        <w:rPr>
          <w:rFonts w:hint="eastAsia"/>
          <w:b/>
          <w:bCs/>
        </w:rPr>
        <w:t>、NIBP指标</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lang w:val="en-US" w:eastAsia="zh-CN"/>
        </w:rPr>
      </w:pPr>
      <w:r>
        <w:rPr>
          <w:rFonts w:hint="eastAsia"/>
          <w:lang w:val="en-US" w:eastAsia="zh-CN"/>
        </w:rPr>
        <w:t>6.1</w:t>
      </w:r>
      <w:r>
        <w:rPr>
          <w:rFonts w:hint="eastAsia"/>
          <w:lang w:val="en-US" w:eastAsia="zh-CN"/>
        </w:rPr>
        <w:tab/>
      </w:r>
      <w:r>
        <w:rPr>
          <w:rFonts w:hint="eastAsia"/>
          <w:lang w:val="en-US" w:eastAsia="zh-CN"/>
        </w:rPr>
        <w:t>测量范围：20-260mmHg</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eastAsia"/>
          <w:lang w:val="en-US" w:eastAsia="zh-CN"/>
        </w:rPr>
      </w:pPr>
      <w:r>
        <w:rPr>
          <w:rFonts w:hint="eastAsia"/>
          <w:lang w:val="en-US" w:eastAsia="zh-CN"/>
        </w:rPr>
        <w:t>6.2</w:t>
      </w:r>
      <w:r>
        <w:rPr>
          <w:rFonts w:hint="eastAsia"/>
          <w:lang w:val="en-US" w:eastAsia="zh-CN"/>
        </w:rPr>
        <w:tab/>
      </w:r>
      <w:r>
        <w:rPr>
          <w:rFonts w:hint="eastAsia"/>
          <w:lang w:val="en-US" w:eastAsia="zh-CN"/>
        </w:rPr>
        <w:t>提供手动、自动间隔、连续、序列等测量模式，配备血压袖带</w:t>
      </w:r>
    </w:p>
    <w:p>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jc w:val="left"/>
        <w:textAlignment w:val="auto"/>
        <w:rPr>
          <w:rFonts w:hint="default"/>
          <w:b/>
          <w:bCs/>
          <w:lang w:val="en-US" w:eastAsia="zh-CN"/>
        </w:rPr>
      </w:pPr>
      <w:r>
        <w:rPr>
          <w:rFonts w:hint="eastAsia"/>
          <w:b/>
          <w:bCs/>
          <w:lang w:val="en-US" w:eastAsia="zh-CN"/>
        </w:rPr>
        <w:t>7、配备电池</w:t>
      </w:r>
    </w:p>
    <w:p>
      <w:pPr>
        <w:spacing w:before="156" w:beforeLines="50" w:line="192" w:lineRule="auto"/>
        <w:jc w:val="center"/>
        <w:rPr>
          <w:rFonts w:hint="eastAsia" w:ascii="黑体" w:eastAsia="黑体"/>
          <w:b/>
          <w:sz w:val="32"/>
          <w:szCs w:val="32"/>
        </w:rPr>
      </w:pPr>
      <w:r>
        <w:rPr>
          <w:rFonts w:hint="eastAsia" w:ascii="黑体" w:eastAsia="黑体"/>
          <w:b/>
          <w:sz w:val="32"/>
          <w:szCs w:val="32"/>
        </w:rPr>
        <w:t>介入手术台</w:t>
      </w:r>
      <w:r>
        <w:rPr>
          <w:rFonts w:hint="eastAsia" w:ascii="黑体" w:eastAsia="黑体"/>
          <w:b/>
          <w:sz w:val="32"/>
          <w:szCs w:val="32"/>
          <w:lang w:eastAsia="zh-CN"/>
        </w:rPr>
        <w:t>技术</w:t>
      </w:r>
      <w:r>
        <w:rPr>
          <w:rFonts w:hint="eastAsia" w:ascii="黑体" w:eastAsia="黑体"/>
          <w:b/>
          <w:sz w:val="32"/>
          <w:szCs w:val="32"/>
        </w:rPr>
        <w:t>参数</w:t>
      </w:r>
    </w:p>
    <w:p>
      <w:pPr>
        <w:numPr>
          <w:ilvl w:val="0"/>
          <w:numId w:val="2"/>
        </w:numPr>
        <w:spacing w:line="380" w:lineRule="exact"/>
        <w:ind w:firstLine="464" w:firstLineChars="221"/>
        <w:rPr>
          <w:rFonts w:hint="eastAsia" w:ascii="华文宋体" w:hAnsi="华文宋体" w:eastAsia="华文宋体"/>
          <w:sz w:val="21"/>
          <w:szCs w:val="21"/>
        </w:rPr>
      </w:pPr>
      <w:r>
        <w:rPr>
          <w:rFonts w:hint="eastAsia" w:ascii="华文宋体" w:hAnsi="华文宋体" w:eastAsia="华文宋体"/>
          <w:sz w:val="21"/>
          <w:szCs w:val="21"/>
        </w:rPr>
        <w:t xml:space="preserve">台面总长  </w:t>
      </w:r>
      <w:r>
        <w:rPr>
          <w:rFonts w:hint="default" w:ascii="Arial" w:hAnsi="Arial" w:eastAsia="华文宋体" w:cs="Arial"/>
          <w:sz w:val="21"/>
          <w:szCs w:val="21"/>
        </w:rPr>
        <w:t>≥</w:t>
      </w:r>
      <w:r>
        <w:rPr>
          <w:rFonts w:hint="eastAsia" w:ascii="华文宋体" w:hAnsi="华文宋体" w:eastAsia="华文宋体"/>
          <w:sz w:val="21"/>
          <w:szCs w:val="21"/>
        </w:rPr>
        <w:t xml:space="preserve">2200mm                  </w:t>
      </w:r>
    </w:p>
    <w:p>
      <w:pPr>
        <w:numPr>
          <w:ilvl w:val="0"/>
          <w:numId w:val="2"/>
        </w:numPr>
        <w:spacing w:line="380" w:lineRule="exact"/>
        <w:ind w:firstLine="464" w:firstLineChars="221"/>
        <w:rPr>
          <w:rFonts w:hint="eastAsia" w:ascii="华文宋体" w:hAnsi="华文宋体" w:eastAsia="华文宋体"/>
          <w:sz w:val="21"/>
          <w:szCs w:val="21"/>
        </w:rPr>
      </w:pPr>
      <w:r>
        <w:rPr>
          <w:rFonts w:hint="eastAsia" w:ascii="华文宋体" w:hAnsi="华文宋体" w:eastAsia="华文宋体"/>
          <w:sz w:val="21"/>
          <w:szCs w:val="21"/>
        </w:rPr>
        <w:t>台面总宽</w:t>
      </w:r>
      <w:r>
        <w:rPr>
          <w:rFonts w:hint="default" w:ascii="Arial" w:hAnsi="Arial" w:eastAsia="华文宋体" w:cs="Arial"/>
          <w:sz w:val="21"/>
          <w:szCs w:val="21"/>
        </w:rPr>
        <w:t>≥</w:t>
      </w:r>
      <w:r>
        <w:rPr>
          <w:rFonts w:hint="eastAsia" w:ascii="华文宋体" w:hAnsi="华文宋体" w:eastAsia="华文宋体"/>
          <w:sz w:val="21"/>
          <w:szCs w:val="21"/>
        </w:rPr>
        <w:t xml:space="preserve">620mm/710 mm  </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台面可透视长度（头段）</w:t>
      </w:r>
      <w:r>
        <w:rPr>
          <w:rFonts w:hint="default" w:ascii="Arial" w:hAnsi="Arial" w:eastAsia="华文宋体" w:cs="Arial"/>
          <w:sz w:val="21"/>
          <w:szCs w:val="21"/>
        </w:rPr>
        <w:t>≥</w:t>
      </w:r>
      <w:r>
        <w:rPr>
          <w:rFonts w:hint="eastAsia" w:ascii="华文宋体" w:hAnsi="华文宋体" w:eastAsia="华文宋体"/>
          <w:sz w:val="21"/>
          <w:szCs w:val="21"/>
        </w:rPr>
        <w:t xml:space="preserve">1650mm       </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台面可透视长度（尾段）</w:t>
      </w:r>
      <w:r>
        <w:rPr>
          <w:rFonts w:hint="default" w:ascii="Arial" w:hAnsi="Arial" w:eastAsia="华文宋体" w:cs="Arial"/>
          <w:sz w:val="21"/>
          <w:szCs w:val="21"/>
        </w:rPr>
        <w:t>≥</w:t>
      </w:r>
      <w:r>
        <w:rPr>
          <w:rFonts w:hint="eastAsia" w:ascii="华文宋体" w:hAnsi="华文宋体" w:eastAsia="华文宋体"/>
          <w:sz w:val="21"/>
          <w:szCs w:val="21"/>
        </w:rPr>
        <w:t>700mm</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台面透视区宽度</w:t>
      </w:r>
      <w:r>
        <w:rPr>
          <w:rFonts w:hint="default" w:ascii="Arial" w:hAnsi="Arial" w:eastAsia="华文宋体" w:cs="Arial"/>
          <w:sz w:val="21"/>
          <w:szCs w:val="21"/>
        </w:rPr>
        <w:t>≥</w:t>
      </w:r>
      <w:r>
        <w:rPr>
          <w:rFonts w:hint="eastAsia" w:ascii="华文宋体" w:hAnsi="华文宋体" w:eastAsia="华文宋体"/>
          <w:sz w:val="21"/>
          <w:szCs w:val="21"/>
        </w:rPr>
        <w:t xml:space="preserve">620mm              </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台面最大头部外伸</w:t>
      </w:r>
      <w:r>
        <w:rPr>
          <w:rFonts w:hint="default" w:ascii="Arial" w:hAnsi="Arial" w:eastAsia="华文宋体" w:cs="Arial"/>
          <w:sz w:val="21"/>
          <w:szCs w:val="21"/>
        </w:rPr>
        <w:t>≥</w:t>
      </w:r>
      <w:r>
        <w:rPr>
          <w:rFonts w:hint="eastAsia" w:ascii="华文宋体" w:hAnsi="华文宋体" w:eastAsia="华文宋体"/>
          <w:sz w:val="21"/>
          <w:szCs w:val="21"/>
        </w:rPr>
        <w:t xml:space="preserve">1650 mm            </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纵向移动行程</w:t>
      </w:r>
      <w:r>
        <w:rPr>
          <w:rFonts w:hint="default" w:ascii="Arial" w:hAnsi="Arial" w:eastAsia="华文宋体" w:cs="Arial"/>
          <w:sz w:val="21"/>
          <w:szCs w:val="21"/>
        </w:rPr>
        <w:t>≥</w:t>
      </w:r>
      <w:r>
        <w:rPr>
          <w:rFonts w:hint="eastAsia" w:ascii="华文宋体" w:hAnsi="华文宋体" w:eastAsia="华文宋体"/>
          <w:sz w:val="21"/>
          <w:szCs w:val="21"/>
        </w:rPr>
        <w:t xml:space="preserve">840 mm                 </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横向移动行程</w:t>
      </w:r>
      <w:r>
        <w:rPr>
          <w:rFonts w:hint="default" w:ascii="Arial" w:hAnsi="Arial" w:eastAsia="华文宋体" w:cs="Arial"/>
          <w:sz w:val="21"/>
          <w:szCs w:val="21"/>
        </w:rPr>
        <w:t>≥</w:t>
      </w:r>
      <w:r>
        <w:rPr>
          <w:rFonts w:hint="eastAsia" w:ascii="华文宋体" w:hAnsi="华文宋体" w:eastAsia="华文宋体"/>
          <w:sz w:val="21"/>
          <w:szCs w:val="21"/>
        </w:rPr>
        <w:t>280 mm</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 xml:space="preserve">距地高度700 ～1060mm              </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升降行程</w:t>
      </w:r>
      <w:r>
        <w:rPr>
          <w:rFonts w:hint="default" w:ascii="Arial" w:hAnsi="Arial" w:eastAsia="华文宋体" w:cs="Arial"/>
          <w:sz w:val="21"/>
          <w:szCs w:val="21"/>
        </w:rPr>
        <w:t>≥</w:t>
      </w:r>
      <w:r>
        <w:rPr>
          <w:rFonts w:hint="eastAsia" w:ascii="华文宋体" w:hAnsi="华文宋体" w:eastAsia="华文宋体"/>
          <w:sz w:val="21"/>
          <w:szCs w:val="21"/>
        </w:rPr>
        <w:t>360 mm</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 xml:space="preserve">头足倾斜角度－18°~ +18°          </w:t>
      </w:r>
    </w:p>
    <w:p>
      <w:pPr>
        <w:numPr>
          <w:ilvl w:val="0"/>
          <w:numId w:val="2"/>
        </w:numPr>
        <w:spacing w:line="380" w:lineRule="exact"/>
        <w:ind w:left="0" w:leftChars="0" w:firstLine="464" w:firstLineChars="221"/>
        <w:rPr>
          <w:rFonts w:hint="eastAsia" w:ascii="华文宋体" w:hAnsi="华文宋体" w:eastAsia="华文宋体"/>
          <w:sz w:val="21"/>
          <w:szCs w:val="21"/>
        </w:rPr>
      </w:pPr>
      <w:r>
        <w:rPr>
          <w:rFonts w:hint="eastAsia" w:ascii="华文宋体" w:hAnsi="华文宋体" w:eastAsia="华文宋体"/>
          <w:sz w:val="21"/>
          <w:szCs w:val="21"/>
        </w:rPr>
        <w:t>左右侧倾角度－15°~ ＋15°</w:t>
      </w:r>
    </w:p>
    <w:p>
      <w:pPr>
        <w:spacing w:line="380" w:lineRule="exact"/>
        <w:ind w:firstLine="420" w:firstLineChars="200"/>
        <w:rPr>
          <w:rFonts w:hint="eastAsia" w:ascii="华文宋体" w:hAnsi="华文宋体" w:eastAsia="华文宋体"/>
          <w:sz w:val="21"/>
          <w:szCs w:val="21"/>
        </w:rPr>
      </w:pPr>
      <w:r>
        <w:rPr>
          <w:rFonts w:hint="eastAsia" w:ascii="华文宋体" w:hAnsi="华文宋体" w:eastAsia="华文宋体"/>
          <w:sz w:val="21"/>
          <w:szCs w:val="21"/>
        </w:rPr>
        <w:t>13.负重</w:t>
      </w:r>
      <w:r>
        <w:rPr>
          <w:rFonts w:hint="default" w:ascii="Arial" w:hAnsi="Arial" w:eastAsia="华文宋体" w:cs="Arial"/>
          <w:sz w:val="21"/>
          <w:szCs w:val="21"/>
        </w:rPr>
        <w:t>≥</w:t>
      </w:r>
      <w:r>
        <w:rPr>
          <w:rFonts w:hint="eastAsia" w:ascii="华文宋体" w:hAnsi="华文宋体" w:eastAsia="华文宋体"/>
          <w:sz w:val="21"/>
          <w:szCs w:val="21"/>
        </w:rPr>
        <w:t>200KG</w:t>
      </w:r>
    </w:p>
    <w:p>
      <w:pPr>
        <w:spacing w:before="156" w:beforeLines="50" w:line="380" w:lineRule="exact"/>
        <w:rPr>
          <w:rFonts w:ascii="黑体" w:eastAsia="黑体"/>
          <w:sz w:val="21"/>
          <w:szCs w:val="21"/>
        </w:rPr>
      </w:pPr>
      <w:r>
        <w:rPr>
          <w:rFonts w:ascii="黑体" w:eastAsia="黑体"/>
          <w:sz w:val="21"/>
          <w:szCs w:val="21"/>
        </w:rPr>
        <w:t>二</w:t>
      </w:r>
      <w:r>
        <w:rPr>
          <w:rFonts w:hint="eastAsia" w:ascii="黑体" w:eastAsia="黑体"/>
          <w:sz w:val="21"/>
          <w:szCs w:val="21"/>
        </w:rPr>
        <w:t>．标准</w:t>
      </w:r>
      <w:r>
        <w:rPr>
          <w:rFonts w:ascii="黑体" w:eastAsia="黑体"/>
          <w:sz w:val="21"/>
          <w:szCs w:val="21"/>
        </w:rPr>
        <w:t>配置清单</w:t>
      </w:r>
      <w:r>
        <w:rPr>
          <w:rFonts w:hint="eastAsia" w:ascii="黑体" w:eastAsia="黑体"/>
          <w:sz w:val="21"/>
          <w:szCs w:val="21"/>
          <w:lang w:eastAsia="zh-CN"/>
        </w:rPr>
        <w:t>（包含但不限于）</w:t>
      </w:r>
      <w:r>
        <w:rPr>
          <w:rFonts w:hint="eastAsia" w:ascii="黑体" w:eastAsia="黑体"/>
          <w:sz w:val="21"/>
          <w:szCs w:val="21"/>
        </w:rPr>
        <w:t>：</w:t>
      </w:r>
    </w:p>
    <w:p>
      <w:pPr>
        <w:spacing w:line="380" w:lineRule="exact"/>
        <w:ind w:left="120" w:hanging="105" w:hangingChars="50"/>
        <w:rPr>
          <w:rFonts w:hint="eastAsia" w:ascii="华文宋体" w:hAnsi="华文宋体" w:eastAsia="华文宋体"/>
          <w:sz w:val="21"/>
          <w:szCs w:val="21"/>
        </w:rPr>
      </w:pPr>
      <w:r>
        <w:rPr>
          <w:rFonts w:ascii="黑体" w:eastAsia="黑体"/>
          <w:sz w:val="21"/>
          <w:szCs w:val="21"/>
        </w:rPr>
        <w:tab/>
      </w:r>
      <w:r>
        <w:rPr>
          <w:rFonts w:hint="eastAsia" w:ascii="华文宋体" w:hAnsi="华文宋体" w:eastAsia="华文宋体"/>
          <w:sz w:val="21"/>
          <w:szCs w:val="21"/>
        </w:rPr>
        <w:t xml:space="preserve">1.主机1台  2.碳素纤维整体床面板 1块  3.床垫 1张  4.床边摇杆控制器1套   </w:t>
      </w:r>
    </w:p>
    <w:p>
      <w:pPr>
        <w:spacing w:line="380" w:lineRule="exact"/>
        <w:ind w:left="120" w:leftChars="57"/>
        <w:rPr>
          <w:rFonts w:hint="eastAsia" w:ascii="华文宋体" w:hAnsi="华文宋体" w:eastAsia="华文宋体"/>
          <w:sz w:val="21"/>
          <w:szCs w:val="21"/>
        </w:rPr>
      </w:pPr>
      <w:r>
        <w:rPr>
          <w:rFonts w:hint="eastAsia" w:ascii="华文宋体" w:hAnsi="华文宋体" w:eastAsia="华文宋体"/>
          <w:sz w:val="21"/>
          <w:szCs w:val="21"/>
        </w:rPr>
        <w:t xml:space="preserve">5.输液支架1套    6.手托1对    7.手固定带2套        8.麻醉架1套     </w:t>
      </w:r>
    </w:p>
    <w:p>
      <w:pPr>
        <w:spacing w:line="380" w:lineRule="exact"/>
        <w:ind w:firstLine="105" w:firstLineChars="50"/>
        <w:rPr>
          <w:rFonts w:ascii="华文宋体" w:hAnsi="华文宋体" w:eastAsia="华文宋体"/>
          <w:sz w:val="21"/>
          <w:szCs w:val="21"/>
        </w:rPr>
      </w:pPr>
      <w:r>
        <w:rPr>
          <w:rFonts w:hint="eastAsia" w:ascii="华文宋体" w:hAnsi="华文宋体" w:eastAsia="华文宋体"/>
          <w:sz w:val="21"/>
          <w:szCs w:val="21"/>
        </w:rPr>
        <w:t>9.身体绑带1套   10.肩侧垫1对      11.活动边轨2套   12.锁紧座2套</w:t>
      </w:r>
    </w:p>
    <w:p>
      <w:pPr>
        <w:spacing w:line="380" w:lineRule="exact"/>
        <w:ind w:firstLine="105" w:firstLineChars="50"/>
        <w:rPr>
          <w:rFonts w:ascii="华文宋体" w:hAnsi="华文宋体" w:eastAsia="华文宋体"/>
          <w:sz w:val="21"/>
          <w:szCs w:val="21"/>
        </w:rPr>
      </w:pPr>
      <w:r>
        <w:rPr>
          <w:rFonts w:hint="eastAsia" w:ascii="华文宋体" w:hAnsi="华文宋体" w:eastAsia="华文宋体"/>
          <w:sz w:val="21"/>
          <w:szCs w:val="21"/>
        </w:rPr>
        <w:t>13.夹紧座2套    14.电源线1套</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五、</w:t>
      </w:r>
      <w:r>
        <w:rPr>
          <w:rFonts w:hint="eastAsia"/>
          <w:b w:val="0"/>
          <w:bCs w:val="0"/>
          <w:color w:val="auto"/>
          <w:sz w:val="21"/>
          <w:szCs w:val="21"/>
          <w:highlight w:val="none"/>
        </w:rPr>
        <w:t>服务条件及交货日期（或工期）：</w:t>
      </w:r>
    </w:p>
    <w:p>
      <w:pPr>
        <w:pageBreakBefore w:val="0"/>
        <w:kinsoku/>
        <w:wordWrap/>
        <w:overflowPunct/>
        <w:topLinePunct w:val="0"/>
        <w:bidi w:val="0"/>
        <w:snapToGrid w:val="0"/>
        <w:spacing w:beforeAutospacing="0" w:afterAutospacing="0" w:line="500" w:lineRule="exact"/>
        <w:jc w:val="both"/>
        <w:textAlignment w:val="auto"/>
        <w:rPr>
          <w:rFonts w:hint="eastAsia"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1、从产品最终验收合格之日起，整机保修≥两年，出具相关服务承诺书。</w:t>
      </w:r>
    </w:p>
    <w:p>
      <w:pPr>
        <w:pageBreakBefore w:val="0"/>
        <w:kinsoku/>
        <w:wordWrap/>
        <w:overflowPunct/>
        <w:topLinePunct w:val="0"/>
        <w:bidi w:val="0"/>
        <w:snapToGrid w:val="0"/>
        <w:spacing w:beforeAutospacing="0" w:afterAutospacing="0" w:line="500" w:lineRule="exact"/>
        <w:jc w:val="both"/>
        <w:textAlignment w:val="auto"/>
        <w:rPr>
          <w:rFonts w:hint="eastAsia"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2、费用：在保修期内，由于非人为因素货物故障所产生的费用由供应商负责。</w:t>
      </w:r>
    </w:p>
    <w:p>
      <w:pPr>
        <w:pageBreakBefore w:val="0"/>
        <w:kinsoku/>
        <w:wordWrap/>
        <w:overflowPunct/>
        <w:topLinePunct w:val="0"/>
        <w:bidi w:val="0"/>
        <w:snapToGrid w:val="0"/>
        <w:spacing w:beforeAutospacing="0" w:afterAutospacing="0" w:line="500" w:lineRule="exact"/>
        <w:jc w:val="both"/>
        <w:textAlignment w:val="auto"/>
        <w:rPr>
          <w:rFonts w:hint="eastAsia"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3、响应：供应商应保证在12小时内对用户提出的问题或故障予以响应及处理。</w:t>
      </w:r>
    </w:p>
    <w:p>
      <w:pPr>
        <w:pageBreakBefore w:val="0"/>
        <w:kinsoku/>
        <w:wordWrap/>
        <w:overflowPunct/>
        <w:topLinePunct w:val="0"/>
        <w:bidi w:val="0"/>
        <w:snapToGrid w:val="0"/>
        <w:spacing w:beforeAutospacing="0" w:afterAutospacing="0" w:line="500" w:lineRule="exact"/>
        <w:jc w:val="left"/>
        <w:textAlignment w:val="auto"/>
        <w:rPr>
          <w:rFonts w:hint="eastAsia"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4、供应商应免费提供维护手册、维修手册、软件备份、故障代码表、备件清单、零部件、维修密码等维护维修必需的材料和信息。</w:t>
      </w:r>
    </w:p>
    <w:p>
      <w:pPr>
        <w:pageBreakBefore w:val="0"/>
        <w:kinsoku/>
        <w:wordWrap/>
        <w:overflowPunct/>
        <w:topLinePunct w:val="0"/>
        <w:bidi w:val="0"/>
        <w:snapToGrid w:val="0"/>
        <w:spacing w:beforeAutospacing="0" w:afterAutospacing="0" w:line="500" w:lineRule="exact"/>
        <w:jc w:val="both"/>
        <w:textAlignment w:val="auto"/>
        <w:rPr>
          <w:rFonts w:hint="eastAsia"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 xml:space="preserve">5、培训：免费提供操作培训和维修培训。 </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4"/>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bCs/>
                <w:color w:val="auto"/>
                <w:szCs w:val="21"/>
                <w:highlight w:val="none"/>
                <w:shd w:val="clear" w:color="auto" w:fill="FFFFFF"/>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default" w:ascii="宋体" w:hAnsi="宋体" w:eastAsia="宋体" w:cs="宋体"/>
                <w:lang w:val="en-US" w:eastAsia="zh-CN"/>
              </w:rPr>
              <w:t>从产品最终验收合格之日起，整机保修≥两年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 w:val="0"/>
                <w:bCs w:val="0"/>
                <w:sz w:val="21"/>
                <w:szCs w:val="21"/>
                <w:lang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4"/>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3"/>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4"/>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ascii="宋体" w:hAnsi="宋体" w:eastAsia="宋体" w:cs="宋体"/>
                <w:color w:val="auto"/>
                <w:kern w:val="0"/>
                <w:sz w:val="21"/>
                <w:szCs w:val="21"/>
                <w:shd w:val="clear" w:color="auto" w:fill="FFFFFF"/>
                <w:lang w:val="en-US" w:eastAsia="zh-CN" w:bidi="ar-SA"/>
              </w:rPr>
              <w:t>驻马店市中心医院监护仪、介入诊疗手术台医疗设备采购项目</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36.6万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36.6万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4.2 </w:t>
      </w:r>
      <w:r>
        <w:rPr>
          <w:rFonts w:hint="eastAsia" w:ascii="宋体" w:hAnsi="宋体" w:eastAsia="宋体" w:cs="宋体"/>
          <w:color w:val="auto"/>
          <w:kern w:val="2"/>
          <w:sz w:val="21"/>
          <w:szCs w:val="24"/>
          <w:lang w:val="en-US" w:eastAsia="zh-CN" w:bidi="ar-SA"/>
        </w:rPr>
        <w:t>供应商应提供</w:t>
      </w:r>
      <w:r>
        <w:rPr>
          <w:rFonts w:hint="eastAsia" w:ascii="宋体" w:hAnsi="宋体" w:cs="宋体"/>
          <w:color w:val="auto"/>
          <w:kern w:val="2"/>
          <w:sz w:val="21"/>
          <w:szCs w:val="24"/>
          <w:lang w:val="en-US" w:eastAsia="zh-CN" w:bidi="ar-SA"/>
        </w:rPr>
        <w:t>2021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2"/>
          <w:sz w:val="21"/>
          <w:szCs w:val="24"/>
          <w:lang w:val="en-US" w:eastAsia="zh-CN" w:bidi="ar-SA"/>
        </w:rPr>
        <w:t>4.3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7"/>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4"/>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5"/>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5"/>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947"/>
      <w:bookmarkStart w:id="47" w:name="_Toc1482"/>
      <w:bookmarkStart w:id="48" w:name="_Toc326786897"/>
      <w:bookmarkStart w:id="49" w:name="_Toc256519703"/>
    </w:p>
    <w:p>
      <w:pPr>
        <w:jc w:val="cente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3"/>
      </w:pPr>
    </w:p>
    <w:p>
      <w:pPr>
        <w:jc w:val="center"/>
        <w:rPr>
          <w:rFonts w:hint="eastAsia" w:ascii="黑体" w:hAnsi="宋体" w:eastAsia="黑体" w:cs="宋体"/>
          <w:b/>
          <w:bCs/>
          <w:color w:val="auto"/>
          <w:kern w:val="0"/>
          <w:sz w:val="32"/>
          <w:szCs w:val="32"/>
          <w:highlight w:val="none"/>
        </w:rPr>
      </w:pPr>
      <w:bookmarkStart w:id="51" w:name="_Toc2638"/>
      <w:r>
        <w:rPr>
          <w:rFonts w:hint="eastAsia" w:ascii="黑体" w:hAnsi="宋体" w:eastAsia="黑体" w:cs="宋体"/>
          <w:b/>
          <w:bCs/>
          <w:color w:val="auto"/>
          <w:kern w:val="0"/>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8"/>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2"/>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4"/>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5"/>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9960"/>
      <w:bookmarkStart w:id="79" w:name="_Toc2042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3"/>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4"/>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4"/>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4"/>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1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lang w:val="en-US" w:eastAsia="zh-CN"/>
      </w:rPr>
      <w:t>驻马店市中心医院监护仪、介入诊疗手术台医疗设备采购项目采购文件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lang w:val="en-US" w:eastAsia="zh-CN"/>
      </w:rPr>
      <w:t>驻马店市中心医院监护仪、介入诊疗手术台医疗设备采购项目采购文件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C5F8A33E"/>
    <w:multiLevelType w:val="singleLevel"/>
    <w:tmpl w:val="C5F8A33E"/>
    <w:lvl w:ilvl="0" w:tentative="0">
      <w:start w:val="1"/>
      <w:numFmt w:val="decimal"/>
      <w:lvlText w:val="%1."/>
      <w:lvlJc w:val="left"/>
      <w:pPr>
        <w:tabs>
          <w:tab w:val="left" w:pos="312"/>
        </w:tabs>
      </w:p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08C6B2CF"/>
    <w:multiLevelType w:val="singleLevel"/>
    <w:tmpl w:val="08C6B2CF"/>
    <w:lvl w:ilvl="0" w:tentative="0">
      <w:start w:val="1"/>
      <w:numFmt w:val="decimal"/>
      <w:suff w:val="nothing"/>
      <w:lvlText w:val="%1、"/>
      <w:lvlJc w:val="left"/>
      <w:pPr>
        <w:ind w:left="105" w:leftChars="0" w:firstLine="0" w:firstLineChars="0"/>
      </w:pPr>
    </w:lvl>
  </w:abstractNum>
  <w:abstractNum w:abstractNumId="4">
    <w:nsid w:val="59B6410A"/>
    <w:multiLevelType w:val="singleLevel"/>
    <w:tmpl w:val="59B6410A"/>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1A5D66"/>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CFA5B77"/>
    <w:rsid w:val="0D0646E7"/>
    <w:rsid w:val="0D0C38CA"/>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942A44"/>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185C1F"/>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114AB5"/>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EE662F"/>
    <w:rsid w:val="551D586C"/>
    <w:rsid w:val="55200298"/>
    <w:rsid w:val="55335E1B"/>
    <w:rsid w:val="554B7EF0"/>
    <w:rsid w:val="556F1F83"/>
    <w:rsid w:val="556F3D99"/>
    <w:rsid w:val="55860894"/>
    <w:rsid w:val="558F587D"/>
    <w:rsid w:val="55B02DF1"/>
    <w:rsid w:val="55DC290C"/>
    <w:rsid w:val="55F01FA1"/>
    <w:rsid w:val="5636178E"/>
    <w:rsid w:val="5666669C"/>
    <w:rsid w:val="56990B7C"/>
    <w:rsid w:val="569E1126"/>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5171C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56387B"/>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3"/>
    <w:qFormat/>
    <w:uiPriority w:val="0"/>
  </w:style>
  <w:style w:type="paragraph" w:customStyle="1" w:styleId="5">
    <w:name w:val="Default"/>
    <w:next w:val="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10"/>
    <w:qFormat/>
    <w:uiPriority w:val="0"/>
    <w:pPr>
      <w:ind w:firstLine="420" w:firstLineChars="200"/>
    </w:pPr>
  </w:style>
  <w:style w:type="paragraph" w:styleId="8">
    <w:name w:val="Body Text Indent"/>
    <w:basedOn w:val="1"/>
    <w:next w:val="9"/>
    <w:qFormat/>
    <w:uiPriority w:val="0"/>
    <w:pPr>
      <w:widowControl/>
      <w:spacing w:beforeAutospacing="1" w:afterAutospacing="1"/>
      <w:jc w:val="left"/>
    </w:pPr>
    <w:rPr>
      <w:rFonts w:ascii="宋体" w:hAnsi="宋体" w:cs="宋体"/>
      <w:kern w:val="0"/>
      <w:sz w:val="24"/>
    </w:rPr>
  </w:style>
  <w:style w:type="paragraph" w:styleId="9">
    <w:name w:val="envelope return"/>
    <w:basedOn w:val="1"/>
    <w:unhideWhenUsed/>
    <w:qFormat/>
    <w:uiPriority w:val="99"/>
    <w:pPr>
      <w:snapToGrid w:val="0"/>
    </w:pPr>
    <w:rPr>
      <w:rFonts w:ascii="Arial" w:hAnsi="Arial"/>
    </w:r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Normal Indent"/>
    <w:basedOn w:val="1"/>
    <w:qFormat/>
    <w:uiPriority w:val="0"/>
    <w:pPr>
      <w:widowControl/>
      <w:spacing w:beforeAutospacing="1" w:afterAutospacing="1"/>
      <w:jc w:val="left"/>
    </w:pPr>
    <w:rPr>
      <w:rFonts w:ascii="宋体" w:hAnsi="宋体" w:cs="宋体"/>
      <w:kern w:val="0"/>
      <w:sz w:val="24"/>
    </w:rPr>
  </w:style>
  <w:style w:type="paragraph" w:styleId="15">
    <w:name w:val="Document Map"/>
    <w:basedOn w:val="1"/>
    <w:link w:val="75"/>
    <w:qFormat/>
    <w:uiPriority w:val="0"/>
    <w:rPr>
      <w:rFonts w:ascii="宋体" w:hAnsi="Calibri"/>
      <w:sz w:val="18"/>
      <w:szCs w:val="18"/>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4"/>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4"/>
    <w:next w:val="7"/>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4"/>
    <w:qFormat/>
    <w:uiPriority w:val="0"/>
  </w:style>
  <w:style w:type="character" w:customStyle="1" w:styleId="74">
    <w:name w:val="apple-converted-space"/>
    <w:basedOn w:val="36"/>
    <w:qFormat/>
    <w:uiPriority w:val="0"/>
  </w:style>
  <w:style w:type="character" w:customStyle="1" w:styleId="75">
    <w:name w:val="文档结构图 Char"/>
    <w:link w:val="15"/>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4"/>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 w:type="character" w:customStyle="1" w:styleId="89">
    <w:name w:val="font41"/>
    <w:basedOn w:val="36"/>
    <w:qFormat/>
    <w:uiPriority w:val="0"/>
    <w:rPr>
      <w:rFonts w:hint="eastAsia" w:ascii="宋体" w:hAnsi="宋体" w:eastAsia="宋体" w:cs="宋体"/>
      <w:color w:val="000000"/>
      <w:sz w:val="21"/>
      <w:szCs w:val="21"/>
      <w:u w:val="none"/>
    </w:rPr>
  </w:style>
  <w:style w:type="character" w:customStyle="1" w:styleId="90">
    <w:name w:val="font51"/>
    <w:basedOn w:val="36"/>
    <w:qFormat/>
    <w:uiPriority w:val="0"/>
    <w:rPr>
      <w:rFonts w:hint="eastAsia" w:ascii="宋体" w:hAnsi="宋体" w:eastAsia="宋体" w:cs="宋体"/>
      <w:b/>
      <w:color w:val="000000"/>
      <w:sz w:val="21"/>
      <w:szCs w:val="21"/>
      <w:u w:val="none"/>
    </w:rPr>
  </w:style>
  <w:style w:type="paragraph" w:customStyle="1" w:styleId="91">
    <w:name w:val="标题 11"/>
    <w:basedOn w:val="1"/>
    <w:qFormat/>
    <w:uiPriority w:val="0"/>
    <w:pPr>
      <w:keepNext/>
      <w:keepLines/>
      <w:spacing w:before="340" w:beforeAutospacing="0" w:after="330" w:afterAutospacing="0" w:line="576" w:lineRule="auto"/>
      <w:outlineLvl w:val="0"/>
    </w:pPr>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15610</Words>
  <Characters>16452</Characters>
  <Lines>50</Lines>
  <Paragraphs>68</Paragraphs>
  <TotalTime>2</TotalTime>
  <ScaleCrop>false</ScaleCrop>
  <LinksUpToDate>false</LinksUpToDate>
  <CharactersWithSpaces>17626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2023-01-04T01:20:00Z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AB4C7E6F2F8B4833949A314DE68685B3</vt:lpwstr>
  </property>
  <property fmtid="{D5CDD505-2E9C-101B-9397-08002B2CF9AE}" pid="4" name="commondata">
    <vt:lpwstr>eyJoZGlkIjoiYzIwMjRmYTY4OTJhZjc1NTA1MGQwNDc0NzZhNTkwMmUifQ==</vt:lpwstr>
  </property>
</Properties>
</file>