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ind w:left="1" w:leftChars="-199" w:right="-149" w:rightChars="-71" w:hanging="419" w:hangingChars="87"/>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药物临床试验研究病房配备UPS电源采购项目</w:t>
      </w: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10</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ind w:left="1355" w:leftChars="0" w:hanging="1355" w:hangingChars="484"/>
        <w:jc w:val="center"/>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lang w:eastAsia="zh-CN"/>
        </w:rPr>
        <w:t>药物临床试验研究病房配备UPS电源</w:t>
      </w:r>
      <w:r>
        <w:rPr>
          <w:rFonts w:hint="eastAsia" w:ascii="黑体" w:hAnsi="黑体" w:eastAsia="黑体" w:cs="宋体"/>
          <w:bCs/>
          <w:color w:val="auto"/>
          <w:kern w:val="0"/>
          <w:sz w:val="28"/>
          <w:szCs w:val="28"/>
          <w:lang w:val="en-US" w:eastAsia="zh-CN"/>
        </w:rPr>
        <w:t>采购项目竞争性磋商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 xml:space="preserve"> 药物临床试验研究病房配备UPS电源采购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left="2100" w:leftChars="200" w:hanging="1680" w:hangingChars="800"/>
        <w:jc w:val="left"/>
        <w:rPr>
          <w:rFonts w:hint="eastAsia" w:ascii="宋体" w:hAnsi="宋体" w:eastAsia="宋体" w:cs="宋体"/>
          <w:color w:val="auto"/>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项目名称：药物临床试验研究病房配备UPS电源</w:t>
      </w:r>
      <w:r>
        <w:rPr>
          <w:rFonts w:hint="eastAsia" w:ascii="宋体" w:hAnsi="宋体" w:eastAsia="宋体" w:cs="宋体"/>
          <w:color w:val="auto"/>
          <w:lang w:val="en-US" w:eastAsia="zh-CN"/>
        </w:rPr>
        <w:t>采购</w:t>
      </w:r>
      <w:r>
        <w:rPr>
          <w:rFonts w:hint="eastAsia" w:ascii="宋体" w:hAnsi="宋体" w:eastAsia="宋体" w:cs="宋体"/>
          <w:color w:val="auto"/>
        </w:rPr>
        <w:t>项目</w:t>
      </w:r>
      <w:r>
        <w:rPr>
          <w:rFonts w:hint="eastAsia" w:ascii="宋体" w:hAnsi="宋体" w:eastAsia="宋体" w:cs="宋体"/>
          <w:color w:val="auto"/>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470000</w:t>
      </w:r>
      <w:r>
        <w:rPr>
          <w:rFonts w:hint="eastAsia" w:ascii="宋体" w:hAnsi="宋体" w:eastAsia="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eastAsia="宋体"/>
          <w:color w:val="auto"/>
          <w:highlight w:val="none"/>
        </w:rPr>
      </w:pPr>
      <w:bookmarkStart w:id="4" w:name="_Toc24040"/>
      <w:bookmarkStart w:id="5" w:name="_Toc19521"/>
      <w:bookmarkStart w:id="6" w:name="_Toc26079"/>
      <w:bookmarkStart w:id="7" w:name="_Toc21071"/>
      <w:bookmarkStart w:id="8" w:name="_Toc27913"/>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lang w:val="en-US" w:eastAsia="zh-CN"/>
        </w:rPr>
        <w:t>交货</w:t>
      </w:r>
      <w:r>
        <w:rPr>
          <w:rFonts w:hint="eastAsia" w:ascii="宋体" w:hAnsi="宋体" w:eastAsia="宋体" w:cs="宋体"/>
          <w:bCs/>
          <w:color w:val="auto"/>
          <w:szCs w:val="21"/>
          <w:highlight w:val="none"/>
          <w:shd w:val="clear" w:color="auto" w:fill="FFFFFF"/>
          <w:lang w:val="en-US" w:eastAsia="zh-CN"/>
        </w:rPr>
        <w:t>时间</w:t>
      </w:r>
      <w:r>
        <w:rPr>
          <w:rFonts w:hint="eastAsia" w:ascii="宋体" w:hAnsi="宋体" w:eastAsia="宋体" w:cs="宋体"/>
          <w:bCs/>
          <w:color w:val="auto"/>
          <w:szCs w:val="21"/>
          <w:highlight w:val="none"/>
          <w:shd w:val="clear" w:color="auto" w:fill="FFFFFF"/>
        </w:rPr>
        <w:t>：合同签订后25日内</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shd w:val="clear" w:color="auto" w:fill="FFFFFF"/>
        </w:rPr>
        <w:t>6、</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18607"/>
      <w:bookmarkStart w:id="11" w:name="_Toc27704"/>
      <w:bookmarkStart w:id="12"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2021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3、供应商须具有良好的商业信誉和完善的售后服务体系，并具有承担本项目的供货及服务能力</w:t>
      </w:r>
      <w:r>
        <w:rPr>
          <w:rFonts w:hint="eastAsia" w:ascii="宋体" w:hAnsi="宋体" w:cs="宋体"/>
          <w:color w:val="auto"/>
          <w:kern w:val="2"/>
          <w:sz w:val="21"/>
          <w:szCs w:val="24"/>
          <w:lang w:val="en-US" w:eastAsia="zh-CN" w:bidi="ar-SA"/>
        </w:rPr>
        <w:t>，</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highlight w:val="yellow"/>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r>
        <w:rPr>
          <w:rFonts w:hint="eastAsia" w:ascii="宋体" w:hAnsi="宋体" w:eastAsia="宋体" w:cs="宋体"/>
          <w:color w:val="auto"/>
          <w:kern w:val="2"/>
          <w:sz w:val="21"/>
          <w:szCs w:val="24"/>
          <w:highlight w:val="none"/>
          <w:lang w:val="en-US" w:eastAsia="zh-CN" w:bidi="ar-SA"/>
        </w:rPr>
        <w:t>；</w:t>
      </w:r>
    </w:p>
    <w:p>
      <w:pPr>
        <w:widowControl w:val="0"/>
        <w:autoSpaceDE w:val="0"/>
        <w:autoSpaceDN w:val="0"/>
        <w:adjustRightInd w:val="0"/>
        <w:snapToGrid w:val="0"/>
        <w:spacing w:line="360" w:lineRule="auto"/>
        <w:ind w:firstLine="420" w:firstLineChars="200"/>
        <w:rPr>
          <w:rFonts w:hint="eastAsia"/>
          <w:color w:val="auto"/>
          <w:highlight w:val="yellow"/>
          <w:lang w:val="en-US" w:eastAsia="zh-CN"/>
        </w:rPr>
      </w:pPr>
      <w:r>
        <w:rPr>
          <w:rFonts w:hint="eastAsia" w:ascii="宋体" w:hAnsi="宋体" w:cs="宋体"/>
          <w:color w:val="auto"/>
          <w:kern w:val="2"/>
          <w:sz w:val="21"/>
          <w:szCs w:val="24"/>
          <w:highlight w:val="none"/>
          <w:lang w:val="en-US" w:eastAsia="zh-CN" w:bidi="ar-SA"/>
        </w:rPr>
        <w:t>5</w:t>
      </w:r>
      <w:r>
        <w:rPr>
          <w:rFonts w:hint="eastAsia"/>
          <w:color w:val="auto"/>
          <w:highlight w:val="none"/>
          <w:lang w:val="en-US" w:eastAsia="zh-CN"/>
        </w:rPr>
        <w:t>、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val="0"/>
        <w:autoSpaceDE w:val="0"/>
        <w:autoSpaceDN w:val="0"/>
        <w:adjustRightInd w:val="0"/>
        <w:snapToGrid w:val="0"/>
        <w:spacing w:line="360" w:lineRule="auto"/>
        <w:ind w:firstLine="420" w:firstLineChars="200"/>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bookmarkStart w:id="13" w:name="_Toc30971"/>
      <w:bookmarkStart w:id="14" w:name="_Toc23395"/>
      <w:bookmarkStart w:id="15" w:name="_Toc9562"/>
      <w:bookmarkStart w:id="16" w:name="_Toc30643"/>
      <w:bookmarkStart w:id="17" w:name="_Toc7823"/>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11</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13</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2393834249</w:t>
      </w:r>
      <w:r>
        <w:rPr>
          <w:rFonts w:hint="eastAsia" w:ascii="宋体" w:hAnsi="宋体" w:eastAsia="宋体" w:cs="宋体"/>
          <w:color w:val="auto"/>
          <w:kern w:val="0"/>
          <w:sz w:val="21"/>
          <w:szCs w:val="21"/>
          <w:highlight w:val="none"/>
          <w:shd w:val="clear" w:color="auto" w:fill="FFFFFF"/>
          <w:lang w:val="en-US" w:eastAsia="zh-CN" w:bidi="ar-SA"/>
        </w:rPr>
        <w:t>@qq.com</w:t>
      </w:r>
      <w:r>
        <w:rPr>
          <w:rFonts w:hint="eastAsia" w:ascii="宋体" w:hAnsi="宋体" w:eastAsia="宋体" w:cs="宋体"/>
          <w:color w:val="auto"/>
          <w:kern w:val="0"/>
          <w:sz w:val="21"/>
          <w:szCs w:val="21"/>
          <w:shd w:val="clear" w:color="auto" w:fill="FFFFFF"/>
          <w:lang w:val="en-US" w:eastAsia="zh-CN" w:bidi="ar-SA"/>
        </w:rPr>
        <w:t>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0738"/>
      <w:bookmarkStart w:id="19" w:name="_Toc15111"/>
      <w:bookmarkStart w:id="20" w:name="_Toc27480"/>
      <w:bookmarkStart w:id="21" w:name="_Toc15135"/>
      <w:bookmarkStart w:id="22" w:name="_Toc25869"/>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w:t>
      </w:r>
      <w:r>
        <w:rPr>
          <w:rFonts w:hint="eastAsia" w:ascii="宋体" w:hAnsi="宋体" w:eastAsia="宋体" w:cs="宋体"/>
          <w:color w:val="auto"/>
          <w:kern w:val="0"/>
          <w:sz w:val="21"/>
          <w:szCs w:val="21"/>
          <w:shd w:val="clear" w:color="auto" w:fill="FFFFFF"/>
          <w:lang w:val="en-US" w:eastAsia="zh-CN" w:bidi="ar-SA"/>
        </w:rPr>
        <w:t>采购</w:t>
      </w:r>
      <w:r>
        <w:rPr>
          <w:rFonts w:hint="eastAsia" w:ascii="宋体" w:hAnsi="宋体" w:eastAsia="宋体" w:cs="宋体"/>
          <w:color w:val="auto"/>
          <w:sz w:val="21"/>
          <w:szCs w:val="21"/>
          <w:shd w:val="clear" w:color="auto" w:fill="auto"/>
          <w:lang w:val="en-US" w:eastAsia="zh-CN"/>
        </w:rPr>
        <w:t>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w:t>
      </w:r>
      <w:r>
        <w:rPr>
          <w:rFonts w:hint="eastAsia" w:ascii="宋体" w:hAnsi="宋体" w:eastAsia="宋体" w:cs="宋体"/>
          <w:color w:val="auto"/>
          <w:kern w:val="0"/>
          <w:sz w:val="21"/>
          <w:szCs w:val="21"/>
          <w:shd w:val="clear" w:color="auto" w:fill="FFFFFF"/>
          <w:lang w:val="en-US" w:eastAsia="zh-CN" w:bidi="ar-SA"/>
        </w:rPr>
        <w:t>采购</w:t>
      </w:r>
      <w:r>
        <w:rPr>
          <w:rFonts w:hint="eastAsia" w:ascii="宋体" w:hAnsi="宋体" w:eastAsia="宋体" w:cs="宋体"/>
          <w:color w:val="auto"/>
          <w:sz w:val="21"/>
          <w:szCs w:val="21"/>
          <w:shd w:val="clear" w:color="auto" w:fill="auto"/>
          <w:lang w:val="en-US" w:eastAsia="zh-CN"/>
        </w:rPr>
        <w:t>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w:t>
      </w:r>
      <w:r>
        <w:rPr>
          <w:rFonts w:hint="eastAsia" w:ascii="宋体" w:hAnsi="宋体" w:eastAsia="宋体" w:cs="宋体"/>
          <w:color w:val="auto"/>
          <w:kern w:val="0"/>
          <w:sz w:val="21"/>
          <w:szCs w:val="21"/>
          <w:shd w:val="clear" w:color="auto" w:fill="FFFFFF"/>
          <w:lang w:val="en-US" w:eastAsia="zh-CN" w:bidi="ar-SA"/>
        </w:rPr>
        <w:t>采购</w:t>
      </w:r>
      <w:r>
        <w:rPr>
          <w:rFonts w:hint="eastAsia" w:ascii="宋体" w:hAnsi="宋体" w:eastAsia="宋体" w:cs="宋体"/>
          <w:color w:val="auto"/>
          <w:sz w:val="21"/>
          <w:szCs w:val="21"/>
          <w:shd w:val="clear" w:color="auto" w:fill="auto"/>
          <w:lang w:val="en-US" w:eastAsia="zh-CN"/>
        </w:rPr>
        <w:t>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w:t>
      </w:r>
      <w:r>
        <w:rPr>
          <w:rFonts w:hint="eastAsia" w:ascii="宋体" w:hAnsi="宋体" w:eastAsia="宋体" w:cs="宋体"/>
          <w:color w:val="auto"/>
          <w:kern w:val="0"/>
          <w:sz w:val="21"/>
          <w:szCs w:val="21"/>
          <w:shd w:val="clear" w:color="auto" w:fill="FFFFFF"/>
          <w:lang w:val="en-US" w:eastAsia="zh-CN" w:bidi="ar-SA"/>
        </w:rPr>
        <w:t>采购</w:t>
      </w:r>
      <w:r>
        <w:rPr>
          <w:rFonts w:hint="eastAsia" w:ascii="宋体" w:hAnsi="宋体" w:eastAsia="宋体" w:cs="宋体"/>
          <w:color w:val="auto"/>
          <w:sz w:val="21"/>
          <w:szCs w:val="21"/>
          <w:shd w:val="clear" w:color="auto" w:fill="auto"/>
          <w:lang w:val="en-US" w:eastAsia="zh-CN"/>
        </w:rPr>
        <w:t>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6523"/>
      <w:bookmarkStart w:id="24" w:name="_Toc20287"/>
      <w:bookmarkStart w:id="25" w:name="_Toc29784"/>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六、发布公告的媒介及采购公告期限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本次采购公告在《驻马店市中心医院》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cs="宋体"/>
          <w:color w:val="auto"/>
          <w:sz w:val="21"/>
          <w:szCs w:val="21"/>
          <w:highlight w:val="none"/>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3604"/>
      <w:bookmarkStart w:id="31" w:name="_Toc31928"/>
      <w:bookmarkStart w:id="32" w:name="_Toc16291"/>
      <w:bookmarkStart w:id="33" w:name="_Toc24274"/>
      <w:r>
        <w:rPr>
          <w:rFonts w:hint="eastAsia" w:ascii="宋体" w:hAnsi="宋体" w:eastAsia="宋体" w:cs="宋体"/>
          <w:b/>
          <w:bCs/>
          <w:color w:val="auto"/>
          <w:kern w:val="2"/>
          <w:sz w:val="21"/>
          <w:szCs w:val="21"/>
          <w:shd w:val="clear" w:color="auto" w:fill="FFFFFF"/>
          <w:lang w:val="en-US" w:eastAsia="zh-CN" w:bidi="ar-SA"/>
        </w:rPr>
        <w:t>七、</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李</w:t>
      </w:r>
      <w:r>
        <w:rPr>
          <w:rFonts w:hint="eastAsia" w:ascii="宋体" w:hAnsi="宋体" w:eastAsia="宋体" w:cs="宋体"/>
          <w:color w:val="auto"/>
          <w:kern w:val="0"/>
          <w:sz w:val="21"/>
          <w:szCs w:val="21"/>
          <w:highlight w:val="none"/>
          <w:shd w:val="clear" w:color="auto" w:fill="FFFFFF"/>
          <w:lang w:val="en-US" w:eastAsia="zh-CN" w:bidi="ar-SA"/>
        </w:rPr>
        <w:t>女士</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18236479755</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杨先</w:t>
      </w:r>
      <w:bookmarkStart w:id="105" w:name="_GoBack"/>
      <w:bookmarkEnd w:id="105"/>
      <w:r>
        <w:rPr>
          <w:rFonts w:hint="eastAsia" w:ascii="宋体" w:hAnsi="宋体" w:cs="宋体"/>
          <w:color w:val="auto"/>
          <w:kern w:val="0"/>
          <w:sz w:val="21"/>
          <w:szCs w:val="21"/>
          <w:highlight w:val="none"/>
          <w:shd w:val="clear" w:color="auto" w:fill="FFFFFF"/>
          <w:lang w:val="en-US" w:eastAsia="zh-CN" w:bidi="ar-SA"/>
        </w:rPr>
        <w:t>生</w:t>
      </w:r>
    </w:p>
    <w:p>
      <w:pPr>
        <w:widowControl/>
        <w:snapToGrid w:val="0"/>
        <w:spacing w:before="0" w:beforeAutospacing="0" w:after="0" w:afterAutospacing="0" w:line="360" w:lineRule="auto"/>
        <w:ind w:firstLine="420" w:firstLineChars="200"/>
        <w:jc w:val="left"/>
        <w:rPr>
          <w:rFonts w:hint="default"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19139503257</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32"/>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kern w:val="0"/>
          <w:sz w:val="21"/>
          <w:szCs w:val="21"/>
          <w:shd w:val="clear" w:color="auto" w:fill="FFFFFF"/>
          <w:lang w:val="en-US" w:eastAsia="zh-CN" w:bidi="ar-SA"/>
        </w:rPr>
        <w:t>2022年</w:t>
      </w:r>
      <w:r>
        <w:rPr>
          <w:rFonts w:hint="eastAsia" w:ascii="宋体" w:hAnsi="宋体" w:cs="宋体"/>
          <w:kern w:val="0"/>
          <w:sz w:val="21"/>
          <w:szCs w:val="21"/>
          <w:shd w:val="clear" w:color="auto" w:fill="FFFFFF"/>
          <w:lang w:val="en-US" w:eastAsia="zh-CN" w:bidi="ar-SA"/>
        </w:rPr>
        <w:t>10</w:t>
      </w:r>
      <w:r>
        <w:rPr>
          <w:rFonts w:hint="eastAsia" w:ascii="宋体" w:hAnsi="宋体" w:eastAsia="宋体" w:cs="宋体"/>
          <w:kern w:val="0"/>
          <w:sz w:val="21"/>
          <w:szCs w:val="21"/>
          <w:shd w:val="clear" w:color="auto" w:fill="FFFFFF"/>
          <w:lang w:val="en-US" w:eastAsia="zh-CN" w:bidi="ar-SA"/>
        </w:rPr>
        <w:t>月</w:t>
      </w:r>
      <w:r>
        <w:rPr>
          <w:rFonts w:hint="eastAsia" w:ascii="宋体" w:hAnsi="宋体" w:cs="宋体"/>
          <w:kern w:val="0"/>
          <w:sz w:val="21"/>
          <w:szCs w:val="21"/>
          <w:highlight w:val="yellow"/>
          <w:shd w:val="clear" w:color="auto" w:fill="FFFFFF"/>
          <w:lang w:val="en-US" w:eastAsia="zh-CN" w:bidi="ar-SA"/>
        </w:rPr>
        <w:t>10</w:t>
      </w:r>
      <w:r>
        <w:rPr>
          <w:rFonts w:hint="eastAsia" w:ascii="宋体" w:hAnsi="宋体" w:eastAsia="宋体" w:cs="宋体"/>
          <w:kern w:val="0"/>
          <w:sz w:val="21"/>
          <w:szCs w:val="21"/>
          <w:highlight w:val="yellow"/>
          <w:shd w:val="clear" w:color="auto" w:fill="FFFFFF"/>
          <w:lang w:val="en-US" w:eastAsia="zh-CN" w:bidi="ar-SA"/>
        </w:rPr>
        <w:t>日</w:t>
      </w: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3793"/>
      <w:bookmarkStart w:id="36" w:name="_Toc29890"/>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widowControl/>
        <w:adjustRightInd w:val="0"/>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项目名称：</w:t>
      </w:r>
      <w:r>
        <w:rPr>
          <w:rFonts w:hint="eastAsia" w:ascii="宋体" w:hAnsi="宋体" w:cs="宋体"/>
          <w:color w:val="auto"/>
          <w:szCs w:val="21"/>
          <w:highlight w:val="none"/>
          <w:lang w:val="en-US" w:eastAsia="zh-CN"/>
        </w:rPr>
        <w:t>驻药物临床试验研究病房配备UPS电源采购项目</w:t>
      </w:r>
    </w:p>
    <w:p>
      <w:pPr>
        <w:numPr>
          <w:ilvl w:val="0"/>
          <w:numId w:val="1"/>
        </w:numPr>
        <w:adjustRightInd w:val="0"/>
        <w:snapToGrid w:val="0"/>
        <w:spacing w:line="360" w:lineRule="auto"/>
        <w:jc w:val="left"/>
        <w:rPr>
          <w:rFonts w:hint="eastAsia" w:ascii="宋体" w:hAnsi="宋体" w:cs="宋体"/>
          <w:color w:val="auto"/>
          <w:szCs w:val="21"/>
          <w:highlight w:val="none"/>
          <w:lang w:val="en-US" w:eastAsia="zh-CN"/>
        </w:rPr>
      </w:pPr>
      <w:bookmarkStart w:id="40" w:name="_Toc13519"/>
      <w:r>
        <w:rPr>
          <w:rFonts w:hint="eastAsia" w:ascii="宋体" w:hAnsi="宋体" w:cs="宋体"/>
          <w:b/>
          <w:bCs/>
          <w:color w:val="auto"/>
          <w:szCs w:val="21"/>
          <w:highlight w:val="none"/>
        </w:rPr>
        <w:t>项目用途说明：</w:t>
      </w:r>
      <w:r>
        <w:rPr>
          <w:rFonts w:hint="eastAsia" w:ascii="宋体" w:hAnsi="宋体" w:cs="宋体"/>
          <w:color w:val="auto"/>
          <w:szCs w:val="21"/>
          <w:highlight w:val="none"/>
          <w:lang w:val="en-US" w:eastAsia="zh-CN"/>
        </w:rPr>
        <w:t xml:space="preserve"> 为保障药物临床试验研究病房的标本储存规范，各种用电设备能够得到持续供电、保证不停电，从而保障各项工作顺利进行，根据科室使用需求需配备UPS电源。</w:t>
      </w:r>
    </w:p>
    <w:p>
      <w:pPr>
        <w:pStyle w:val="2"/>
        <w:ind w:left="0" w:leftChars="0" w:firstLine="0" w:firstLineChars="0"/>
        <w:rPr>
          <w:rFonts w:hint="default"/>
          <w:b/>
          <w:bCs/>
          <w:sz w:val="21"/>
          <w:szCs w:val="21"/>
          <w:lang w:val="en-US" w:eastAsia="zh-CN"/>
        </w:rPr>
      </w:pPr>
      <w:r>
        <w:rPr>
          <w:rFonts w:hint="eastAsia"/>
          <w:b/>
          <w:bCs/>
          <w:sz w:val="21"/>
          <w:szCs w:val="21"/>
          <w:lang w:val="en-US" w:eastAsia="zh-CN"/>
        </w:rPr>
        <w:t>三、采购需求及产品技术参数要求</w:t>
      </w:r>
    </w:p>
    <w:bookmarkEnd w:id="40"/>
    <w:p>
      <w:pPr>
        <w:pStyle w:val="3"/>
        <w:ind w:left="1012" w:leftChars="267" w:hanging="451" w:hangingChars="187"/>
        <w:jc w:val="center"/>
        <w:rPr>
          <w:rFonts w:hint="eastAsia" w:ascii="宋体" w:hAnsi="宋体" w:cs="Times New Roman"/>
          <w:b/>
          <w:bCs/>
          <w:sz w:val="24"/>
          <w:szCs w:val="24"/>
          <w:u w:val="none"/>
          <w:lang w:val="en-US" w:eastAsia="zh-CN"/>
        </w:rPr>
      </w:pPr>
      <w:r>
        <w:rPr>
          <w:rFonts w:hint="eastAsia" w:ascii="宋体" w:hAnsi="宋体" w:cs="Times New Roman"/>
          <w:b/>
          <w:bCs/>
          <w:sz w:val="24"/>
          <w:szCs w:val="24"/>
          <w:u w:val="none"/>
          <w:lang w:val="en-US" w:eastAsia="zh-CN"/>
        </w:rPr>
        <w:t>药物临床试验研究病房配备UPS电源采购清单</w:t>
      </w:r>
    </w:p>
    <w:tbl>
      <w:tblPr>
        <w:tblStyle w:val="33"/>
        <w:tblW w:w="88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2"/>
        <w:gridCol w:w="2005"/>
        <w:gridCol w:w="1890"/>
        <w:gridCol w:w="1320"/>
        <w:gridCol w:w="1095"/>
        <w:gridCol w:w="17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single" w:color="000000" w:sz="8" w:space="0"/>
              <w:left w:val="single" w:color="000000" w:sz="8" w:space="0"/>
              <w:bottom w:val="single" w:color="000000" w:sz="8" w:space="0"/>
              <w:right w:val="single" w:color="000000" w:sz="8" w:space="0"/>
            </w:tcBorders>
            <w:shd w:val="clear" w:color="auto" w:fill="FFFFFF" w:themeFill="background1"/>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005" w:type="dxa"/>
            <w:tcBorders>
              <w:top w:val="single" w:color="000000" w:sz="8" w:space="0"/>
              <w:left w:val="nil"/>
              <w:bottom w:val="single" w:color="000000" w:sz="8" w:space="0"/>
              <w:right w:val="single" w:color="000000" w:sz="8" w:space="0"/>
            </w:tcBorders>
            <w:shd w:val="clear" w:color="auto" w:fill="FFFFFF" w:themeFill="background1"/>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1890" w:type="dxa"/>
            <w:tcBorders>
              <w:top w:val="single" w:color="000000" w:sz="8" w:space="0"/>
              <w:left w:val="nil"/>
              <w:bottom w:val="single" w:color="000000" w:sz="8" w:space="0"/>
              <w:right w:val="single" w:color="000000" w:sz="8" w:space="0"/>
            </w:tcBorders>
            <w:shd w:val="clear" w:color="auto" w:fill="FFFFFF" w:themeFill="background1"/>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p>
        </w:tc>
        <w:tc>
          <w:tcPr>
            <w:tcW w:w="1320" w:type="dxa"/>
            <w:tcBorders>
              <w:top w:val="single" w:color="000000" w:sz="8" w:space="0"/>
              <w:left w:val="nil"/>
              <w:bottom w:val="single" w:color="000000" w:sz="8" w:space="0"/>
              <w:right w:val="single" w:color="000000" w:sz="8" w:space="0"/>
            </w:tcBorders>
            <w:shd w:val="clear" w:color="auto" w:fill="FFFFFF" w:themeFill="background1"/>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095" w:type="dxa"/>
            <w:tcBorders>
              <w:top w:val="single" w:color="000000" w:sz="8" w:space="0"/>
              <w:left w:val="nil"/>
              <w:bottom w:val="single" w:color="000000" w:sz="8" w:space="0"/>
              <w:right w:val="single" w:color="000000" w:sz="8" w:space="0"/>
            </w:tcBorders>
            <w:shd w:val="clear" w:color="auto" w:fill="FFFFFF" w:themeFill="background1"/>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715" w:type="dxa"/>
            <w:tcBorders>
              <w:top w:val="single" w:color="000000" w:sz="8" w:space="0"/>
              <w:left w:val="nil"/>
              <w:bottom w:val="single" w:color="000000" w:sz="8" w:space="0"/>
              <w:right w:val="single" w:color="000000" w:sz="8" w:space="0"/>
            </w:tcBorders>
            <w:shd w:val="clear" w:color="auto" w:fill="FFFFFF" w:themeFill="background1"/>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UPS主机</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60KVA(48KW)</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71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12V200AH</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64</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715"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UPS及蓄电池监管系统</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医疗专用</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15"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电池架</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15"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电池连接线</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软铜线70mm²</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1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直流馈电柜</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1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输入输出配电柜</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15"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电气安全监控系统</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医疗专用</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1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输入输出线缆</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50mm²4+1</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71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辅材</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国标</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71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11</w:t>
            </w:r>
          </w:p>
        </w:tc>
        <w:tc>
          <w:tcPr>
            <w:tcW w:w="200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安装调试</w:t>
            </w:r>
          </w:p>
        </w:tc>
        <w:tc>
          <w:tcPr>
            <w:tcW w:w="189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20"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95"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1715"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bl>
    <w:p>
      <w:pPr>
        <w:rPr>
          <w:rFonts w:hint="default"/>
          <w:lang w:val="en-US" w:eastAsia="zh-CN"/>
        </w:rPr>
      </w:pPr>
      <w:r>
        <w:rPr>
          <w:rFonts w:hint="default"/>
          <w:lang w:val="en-US" w:eastAsia="zh-CN"/>
        </w:rPr>
        <w:br w:type="page"/>
      </w:r>
    </w:p>
    <w:p>
      <w:pPr>
        <w:rPr>
          <w:rFonts w:hint="default"/>
          <w:lang w:val="en-US" w:eastAsia="zh-CN"/>
        </w:rPr>
      </w:pPr>
    </w:p>
    <w:p>
      <w:pPr>
        <w:jc w:val="center"/>
        <w:rPr>
          <w:rFonts w:hint="eastAsia"/>
          <w:b/>
          <w:bCs/>
          <w:sz w:val="24"/>
          <w:szCs w:val="24"/>
          <w:lang w:val="en-US" w:eastAsia="zh-CN"/>
        </w:rPr>
      </w:pPr>
      <w:r>
        <w:rPr>
          <w:rFonts w:hint="eastAsia"/>
          <w:b/>
          <w:bCs/>
          <w:sz w:val="24"/>
          <w:szCs w:val="24"/>
          <w:lang w:val="en-US" w:eastAsia="zh-CN"/>
        </w:rPr>
        <w:t>产品技术参数</w:t>
      </w:r>
    </w:p>
    <w:tbl>
      <w:tblPr>
        <w:tblStyle w:val="33"/>
        <w:tblW w:w="9846" w:type="dxa"/>
        <w:jc w:val="center"/>
        <w:tblLayout w:type="fixed"/>
        <w:tblCellMar>
          <w:top w:w="0" w:type="dxa"/>
          <w:left w:w="0" w:type="dxa"/>
          <w:bottom w:w="0" w:type="dxa"/>
          <w:right w:w="0" w:type="dxa"/>
        </w:tblCellMar>
      </w:tblPr>
      <w:tblGrid>
        <w:gridCol w:w="551"/>
        <w:gridCol w:w="1155"/>
        <w:gridCol w:w="8140"/>
      </w:tblGrid>
      <w:tr>
        <w:tblPrEx>
          <w:tblCellMar>
            <w:top w:w="0" w:type="dxa"/>
            <w:left w:w="0" w:type="dxa"/>
            <w:bottom w:w="0" w:type="dxa"/>
            <w:right w:w="0" w:type="dxa"/>
          </w:tblCellMar>
        </w:tblPrEx>
        <w:trPr>
          <w:trHeight w:val="634" w:hRule="atLeast"/>
          <w:jc w:val="center"/>
        </w:trPr>
        <w:tc>
          <w:tcPr>
            <w:tcW w:w="551" w:type="dxa"/>
            <w:tcBorders>
              <w:top w:val="single" w:color="000000" w:sz="8" w:space="0"/>
              <w:left w:val="single" w:color="000000" w:sz="8" w:space="0"/>
              <w:bottom w:val="single" w:color="000000" w:sz="8" w:space="0"/>
              <w:right w:val="single" w:color="000000" w:sz="8" w:space="0"/>
            </w:tcBorders>
            <w:shd w:val="clear" w:color="auto" w:fill="FFFFFF" w:themeFill="background1"/>
            <w:noWrap w:val="0"/>
            <w:tcMar>
              <w:top w:w="15" w:type="dxa"/>
              <w:left w:w="15" w:type="dxa"/>
              <w:right w:w="15" w:type="dxa"/>
            </w:tcMar>
            <w:vAlign w:val="center"/>
          </w:tcPr>
          <w:p>
            <w:pPr>
              <w:widowControl/>
              <w:jc w:val="center"/>
              <w:textAlignment w:val="center"/>
              <w:rPr>
                <w:rFonts w:ascii="宋体" w:hAnsi="宋体" w:cs="宋体"/>
                <w:b/>
                <w:color w:val="000000"/>
                <w:szCs w:val="21"/>
              </w:rPr>
            </w:pPr>
            <w:r>
              <w:rPr>
                <w:rFonts w:hint="eastAsia" w:ascii="宋体" w:hAnsi="宋体" w:cs="宋体"/>
                <w:b/>
                <w:color w:val="000000"/>
                <w:kern w:val="0"/>
                <w:szCs w:val="21"/>
              </w:rPr>
              <w:t>序号</w:t>
            </w:r>
          </w:p>
        </w:tc>
        <w:tc>
          <w:tcPr>
            <w:tcW w:w="1155" w:type="dxa"/>
            <w:tcBorders>
              <w:top w:val="single" w:color="000000" w:sz="8" w:space="0"/>
              <w:left w:val="nil"/>
              <w:bottom w:val="single" w:color="000000" w:sz="8" w:space="0"/>
              <w:right w:val="single" w:color="000000" w:sz="8" w:space="0"/>
            </w:tcBorders>
            <w:shd w:val="clear" w:color="auto" w:fill="FFFFFF" w:themeFill="background1"/>
            <w:noWrap w:val="0"/>
            <w:tcMar>
              <w:top w:w="15" w:type="dxa"/>
              <w:left w:w="15" w:type="dxa"/>
              <w:right w:w="15" w:type="dxa"/>
            </w:tcMar>
            <w:vAlign w:val="center"/>
          </w:tcPr>
          <w:p>
            <w:pPr>
              <w:widowControl/>
              <w:jc w:val="center"/>
              <w:textAlignment w:val="center"/>
              <w:rPr>
                <w:rFonts w:hint="eastAsia" w:ascii="宋体" w:hAnsi="宋体" w:cs="宋体"/>
                <w:b/>
                <w:color w:val="000000"/>
                <w:kern w:val="0"/>
                <w:szCs w:val="21"/>
                <w:lang w:val="en-US" w:eastAsia="zh-CN"/>
              </w:rPr>
            </w:pPr>
            <w:r>
              <w:rPr>
                <w:rFonts w:hint="eastAsia" w:ascii="宋体" w:hAnsi="宋体" w:cs="宋体"/>
                <w:b/>
                <w:color w:val="000000"/>
                <w:kern w:val="0"/>
                <w:szCs w:val="21"/>
                <w:lang w:val="en-US" w:eastAsia="zh-CN"/>
              </w:rPr>
              <w:t>产品</w:t>
            </w:r>
          </w:p>
          <w:p>
            <w:pPr>
              <w:widowControl/>
              <w:jc w:val="center"/>
              <w:textAlignment w:val="center"/>
              <w:rPr>
                <w:rFonts w:ascii="宋体" w:hAnsi="宋体" w:cs="宋体"/>
                <w:b/>
                <w:color w:val="000000"/>
                <w:szCs w:val="21"/>
              </w:rPr>
            </w:pPr>
            <w:r>
              <w:rPr>
                <w:rFonts w:hint="eastAsia" w:ascii="宋体" w:hAnsi="宋体" w:cs="宋体"/>
                <w:b/>
                <w:color w:val="000000"/>
                <w:kern w:val="0"/>
                <w:szCs w:val="21"/>
              </w:rPr>
              <w:t>名称</w:t>
            </w:r>
          </w:p>
        </w:tc>
        <w:tc>
          <w:tcPr>
            <w:tcW w:w="8140" w:type="dxa"/>
            <w:tcBorders>
              <w:top w:val="single" w:color="000000" w:sz="8" w:space="0"/>
              <w:left w:val="nil"/>
              <w:bottom w:val="single" w:color="000000" w:sz="8" w:space="0"/>
              <w:right w:val="single" w:color="000000" w:sz="8" w:space="0"/>
            </w:tcBorders>
            <w:shd w:val="clear" w:color="auto" w:fill="FFFFFF" w:themeFill="background1"/>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Cs w:val="21"/>
                <w:lang w:val="en-US" w:eastAsia="zh-CN"/>
              </w:rPr>
            </w:pPr>
            <w:r>
              <w:rPr>
                <w:rFonts w:hint="eastAsia" w:ascii="宋体" w:hAnsi="宋体" w:cs="宋体"/>
                <w:b/>
                <w:color w:val="000000"/>
                <w:kern w:val="0"/>
                <w:szCs w:val="21"/>
              </w:rPr>
              <w:t>技术参数</w:t>
            </w:r>
            <w:r>
              <w:rPr>
                <w:rFonts w:hint="eastAsia" w:ascii="宋体" w:hAnsi="宋体" w:cs="宋体"/>
                <w:b/>
                <w:color w:val="000000"/>
                <w:kern w:val="0"/>
                <w:szCs w:val="21"/>
                <w:lang w:val="en-US" w:eastAsia="zh-CN"/>
              </w:rPr>
              <w:t>要求</w:t>
            </w:r>
          </w:p>
        </w:tc>
      </w:tr>
      <w:tr>
        <w:tblPrEx>
          <w:tblCellMar>
            <w:top w:w="0" w:type="dxa"/>
            <w:left w:w="0" w:type="dxa"/>
            <w:bottom w:w="0" w:type="dxa"/>
            <w:right w:w="0" w:type="dxa"/>
          </w:tblCellMar>
        </w:tblPrEx>
        <w:trPr>
          <w:trHeight w:val="90" w:hRule="atLeast"/>
          <w:jc w:val="center"/>
        </w:trPr>
        <w:tc>
          <w:tcPr>
            <w:tcW w:w="551"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b w:val="0"/>
                <w:bCs/>
                <w:color w:val="000000"/>
                <w:kern w:val="0"/>
                <w:szCs w:val="21"/>
                <w:lang w:val="en-US" w:eastAsia="zh-CN"/>
              </w:rPr>
            </w:pPr>
            <w:r>
              <w:rPr>
                <w:rFonts w:hint="eastAsia" w:ascii="宋体" w:hAnsi="宋体" w:cs="宋体"/>
                <w:b w:val="0"/>
                <w:bCs/>
                <w:color w:val="000000"/>
                <w:kern w:val="0"/>
                <w:szCs w:val="21"/>
                <w:lang w:val="en-US" w:eastAsia="zh-CN"/>
              </w:rPr>
              <w:t>1</w:t>
            </w:r>
          </w:p>
        </w:tc>
        <w:tc>
          <w:tcPr>
            <w:tcW w:w="1155"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UPS</w:t>
            </w:r>
          </w:p>
          <w:p>
            <w:pPr>
              <w:keepNext w:val="0"/>
              <w:keepLines w:val="0"/>
              <w:pageBreakBefore w:val="0"/>
              <w:widowControl/>
              <w:kinsoku/>
              <w:wordWrap/>
              <w:overflowPunct/>
              <w:topLinePunct w:val="0"/>
              <w:autoSpaceDE/>
              <w:autoSpaceDN/>
              <w:bidi w:val="0"/>
              <w:adjustRightInd/>
              <w:snapToGrid/>
              <w:spacing w:line="288" w:lineRule="auto"/>
              <w:jc w:val="center"/>
              <w:textAlignment w:val="center"/>
              <w:rPr>
                <w:rFonts w:hint="eastAsia" w:ascii="宋体" w:hAnsi="宋体" w:eastAsia="宋体" w:cs="宋体"/>
                <w:b w:val="0"/>
                <w:bCs/>
                <w:i w:val="0"/>
                <w:iCs w:val="0"/>
                <w:color w:val="003366"/>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主机</w:t>
            </w:r>
          </w:p>
        </w:tc>
        <w:tc>
          <w:tcPr>
            <w:tcW w:w="8140"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default"/>
              </w:rPr>
            </w:pPr>
            <w:r>
              <w:rPr>
                <w:rStyle w:val="89"/>
                <w:rFonts w:hint="eastAsia" w:eastAsia="宋体"/>
                <w:lang w:val="en-US" w:eastAsia="zh-CN"/>
              </w:rPr>
              <w:t>1</w:t>
            </w:r>
            <w:r>
              <w:rPr>
                <w:rStyle w:val="89"/>
                <w:rFonts w:hint="default"/>
              </w:rPr>
              <w:t>、UPS额定容量</w:t>
            </w:r>
            <w:r>
              <w:rPr>
                <w:rStyle w:val="89"/>
                <w:rFonts w:hint="eastAsia"/>
                <w:lang w:val="en-US" w:eastAsia="zh-CN"/>
              </w:rPr>
              <w:t>60</w:t>
            </w:r>
            <w:r>
              <w:rPr>
                <w:rStyle w:val="89"/>
                <w:rFonts w:hint="default"/>
              </w:rPr>
              <w:t>KVA(</w:t>
            </w:r>
            <w:r>
              <w:rPr>
                <w:rStyle w:val="89"/>
                <w:rFonts w:hint="eastAsia"/>
                <w:lang w:val="en-US" w:eastAsia="zh-CN"/>
              </w:rPr>
              <w:t>48</w:t>
            </w:r>
            <w:r>
              <w:rPr>
                <w:rStyle w:val="89"/>
                <w:rFonts w:hint="default"/>
              </w:rPr>
              <w:t>KW) ；</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 xml:space="preserve">2、UPS符合IEC 62040-3标准的双变换电路结构；UPS相关功能组件和相应开关，必须使用断路器或负荷开关。 </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3、UPS至少包含1个整流器和1个逆变器，1个静态旁路、1个主输入开关，1个静态旁路输入开关，1个输出开关和1个维修旁路开关。</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bookmarkStart w:id="41" w:name="_Toc35502108"/>
            <w:bookmarkStart w:id="42" w:name="_Toc37833788"/>
            <w:bookmarkStart w:id="43" w:name="_Toc39045467"/>
            <w:r>
              <w:rPr>
                <w:rFonts w:hint="eastAsia"/>
                <w:lang w:val="en-US" w:eastAsia="zh-CN"/>
              </w:rPr>
              <w:t>4、设备需实现全数化控制，输出电压和电流应用复合控制策略，实现动态调节，减小输出电压失真，输出波形质量高，负载特性好。</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5、</w:t>
            </w:r>
            <w:r>
              <w:rPr>
                <w:rFonts w:hint="eastAsia"/>
                <w:sz w:val="21"/>
                <w:szCs w:val="21"/>
                <w:lang w:val="en-US" w:eastAsia="zh-CN"/>
              </w:rPr>
              <w:t>采用工业级强力高速离心风机散热，智能化调速</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6、具有输入、输出的过压和欠压保护、相序检测、电池过充过放保护、输出过载短路保护和温度过高保护等保护和报警功能，并设有EPO紧急关断按钮。</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7、具备Wi-Fi功能，使用手机或平板电脑进行操控，可调整整流和逆变等相关参数，操作与控制范围在距本机≤100m。</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8、ECO节能模式下效率≥97%。</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9、6脉冲整流若加配功率因数校正模块，输入功率因数≥0.95。</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10、</w:t>
            </w:r>
            <w:r>
              <w:rPr>
                <w:rFonts w:hint="eastAsia" w:ascii="宋体" w:hAnsi="宋体" w:cs="宋体"/>
                <w:color w:val="000000"/>
                <w:kern w:val="0"/>
                <w:szCs w:val="21"/>
              </w:rPr>
              <w:t>配备智能化电池管理功能，可对电池组进行无风险标准和深度放电检测，具有充电电压温度补偿，电池放电终止电压智能调节，电池极性反接保护和告警，电池定期自动放电激活，自动设定充电电流等功能</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11、具备GCI并网运行功能，设计与电网并联的PWM逆变器(Grid connected inverter)控制系统。</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12、人机界面采用液晶触摸屏。</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13、平均无故障工作时间≥45万小时。</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14、落地式，底部含360度方向轮（可以拆装）。</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15、操作开关：整流开关、电池开关、旁路开关、输出开关维修开关均采用断路器。</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16、输入特性</w:t>
            </w:r>
            <w:bookmarkEnd w:id="41"/>
            <w:bookmarkEnd w:id="42"/>
            <w:bookmarkEnd w:id="43"/>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（1）电压范围，不低于(-15%~+20%)；</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（2）宽频率输入范围(50Hz±10%)；</w:t>
            </w:r>
            <w:bookmarkStart w:id="44" w:name="OLE_LINK1"/>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w:t>
            </w:r>
            <w:bookmarkEnd w:id="44"/>
            <w:r>
              <w:rPr>
                <w:rFonts w:hint="eastAsia"/>
                <w:lang w:val="en-US" w:eastAsia="zh-CN"/>
              </w:rPr>
              <w:t>输入功率因数≥0.98；</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（4）输入电流谐波(THDI&lt;5%)，功率100KVA以上时，为&lt;3%</w:t>
            </w:r>
            <w:bookmarkStart w:id="45" w:name="_Toc35502109"/>
            <w:bookmarkStart w:id="46" w:name="_Toc39045468"/>
            <w:bookmarkStart w:id="47" w:name="_Toc37833789"/>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17、输出特性</w:t>
            </w:r>
            <w:bookmarkEnd w:id="45"/>
            <w:bookmarkEnd w:id="46"/>
            <w:bookmarkEnd w:id="47"/>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（1）输出功率因数≥0.8；</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（2）输出电压，输出THDU≥2%，≤5%；</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（3）具有带三相100%不平衡负载的能力；</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（4）过载能力及抗冲击能力；150%时</w:t>
            </w:r>
            <w:r>
              <w:rPr>
                <w:rFonts w:hint="default" w:ascii="Arial" w:hAnsi="Arial" w:cs="Arial"/>
                <w:lang w:val="en-US" w:eastAsia="zh-CN"/>
              </w:rPr>
              <w:t>≥</w:t>
            </w:r>
            <w:r>
              <w:rPr>
                <w:rFonts w:hint="eastAsia"/>
                <w:lang w:val="en-US" w:eastAsia="zh-CN"/>
              </w:rPr>
              <w:t>10秒钟，125%时</w:t>
            </w:r>
            <w:r>
              <w:rPr>
                <w:rFonts w:hint="default" w:ascii="Arial" w:hAnsi="Arial" w:cs="Arial"/>
                <w:lang w:val="en-US" w:eastAsia="zh-CN"/>
              </w:rPr>
              <w:t>≥</w:t>
            </w:r>
            <w:r>
              <w:rPr>
                <w:rFonts w:hint="eastAsia"/>
                <w:lang w:val="en-US" w:eastAsia="zh-CN"/>
              </w:rPr>
              <w:t>2分钟</w:t>
            </w:r>
            <w:bookmarkStart w:id="48" w:name="_Toc37833791"/>
            <w:bookmarkStart w:id="49" w:name="_Toc35502111"/>
            <w:bookmarkStart w:id="50" w:name="_Toc39045470"/>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18、监控管理</w:t>
            </w:r>
            <w:bookmarkEnd w:id="48"/>
            <w:bookmarkEnd w:id="49"/>
            <w:bookmarkEnd w:id="50"/>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（1）支持无线监控功能RS232、RS485、R244、MODEM多种后台通讯方式；</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（2）UPS标配SNMP网络管理卡；</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（3）系统具有电池放电终止预告警和自动安全关机功能；</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（4）兼容10M/100M以太网，支持SNMP、HTTP等协议，监控软件具备电源事件记录和分析功能，组网方案，可实现在Internet/Intranet上的远程监控</w:t>
            </w:r>
            <w:bookmarkStart w:id="51" w:name="_Toc39045472"/>
            <w:bookmarkStart w:id="52" w:name="_Toc35502113"/>
            <w:bookmarkStart w:id="53" w:name="_Toc37833793"/>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lang w:val="en-US" w:eastAsia="zh-CN"/>
              </w:rPr>
            </w:pPr>
            <w:r>
              <w:rPr>
                <w:rFonts w:hint="eastAsia"/>
                <w:lang w:val="en-US" w:eastAsia="zh-CN"/>
              </w:rPr>
              <w:t>19、</w:t>
            </w:r>
            <w:bookmarkEnd w:id="51"/>
            <w:bookmarkEnd w:id="52"/>
            <w:bookmarkEnd w:id="53"/>
            <w:r>
              <w:rPr>
                <w:rStyle w:val="89"/>
                <w:rFonts w:hint="default"/>
              </w:rPr>
              <w:t>面板显示为触控液晶显示屏，可显示UPS的运行参数、历史记录和整机工作状态；并具有修改显示界面、可根据</w:t>
            </w:r>
            <w:r>
              <w:rPr>
                <w:rStyle w:val="89"/>
                <w:rFonts w:hint="eastAsia" w:eastAsia="宋体"/>
                <w:lang w:val="en-US" w:eastAsia="zh-CN"/>
              </w:rPr>
              <w:t>医院</w:t>
            </w:r>
            <w:r>
              <w:rPr>
                <w:rStyle w:val="89"/>
                <w:rFonts w:hint="default"/>
              </w:rPr>
              <w:t>要求现场更改显示语言种类、能够记录</w:t>
            </w:r>
            <w:r>
              <w:rPr>
                <w:rFonts w:hint="default" w:ascii="Arial" w:hAnsi="Arial" w:cs="Arial"/>
                <w:lang w:val="en-US" w:eastAsia="zh-CN"/>
              </w:rPr>
              <w:t>≥</w:t>
            </w:r>
            <w:r>
              <w:rPr>
                <w:rStyle w:val="89"/>
                <w:rFonts w:hint="default"/>
              </w:rPr>
              <w:t>10000条的历史记录，故障信息需有：市电停电、电池低压、整流器异常、逆变器异常等。</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10" w:firstLineChars="100"/>
              <w:jc w:val="left"/>
              <w:textAlignment w:val="auto"/>
              <w:rPr>
                <w:rFonts w:hint="eastAsia" w:ascii="宋体" w:hAnsi="宋体" w:eastAsia="宋体" w:cs="宋体"/>
                <w:b w:val="0"/>
                <w:bCs w:val="0"/>
                <w:color w:val="auto"/>
                <w:kern w:val="0"/>
                <w:lang w:eastAsia="zh-CN"/>
              </w:rPr>
            </w:pPr>
            <w:r>
              <w:rPr>
                <w:rFonts w:hint="eastAsia" w:ascii="宋体" w:hAnsi="宋体" w:cs="宋体"/>
                <w:b w:val="0"/>
                <w:bCs w:val="0"/>
                <w:color w:val="auto"/>
                <w:kern w:val="0"/>
              </w:rPr>
              <w:t>投标人须提供所投主机设备制造商如下证书：</w:t>
            </w:r>
            <w:r>
              <w:rPr>
                <w:rFonts w:hint="eastAsia" w:ascii="宋体" w:hAnsi="宋体" w:cs="宋体"/>
                <w:b w:val="0"/>
                <w:bCs w:val="0"/>
                <w:color w:val="auto"/>
                <w:kern w:val="0"/>
                <w:lang w:eastAsia="zh-CN"/>
              </w:rPr>
              <w:t>（</w:t>
            </w:r>
            <w:r>
              <w:rPr>
                <w:rFonts w:hint="eastAsia" w:ascii="宋体" w:hAnsi="宋体" w:cs="宋体"/>
                <w:b w:val="0"/>
                <w:bCs w:val="0"/>
                <w:color w:val="auto"/>
                <w:kern w:val="0"/>
              </w:rPr>
              <w:t>提供复印件并加盖制造商公章</w:t>
            </w:r>
            <w:r>
              <w:rPr>
                <w:rFonts w:hint="eastAsia" w:ascii="宋体" w:hAnsi="宋体" w:cs="宋体"/>
                <w:b w:val="0"/>
                <w:bCs w:val="0"/>
                <w:color w:val="auto"/>
                <w:kern w:val="0"/>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lang w:val="en-US" w:eastAsia="zh-CN"/>
              </w:rPr>
            </w:pPr>
            <w:r>
              <w:rPr>
                <w:rFonts w:hint="eastAsia" w:ascii="宋体" w:hAnsi="宋体" w:cs="宋体"/>
                <w:b w:val="0"/>
                <w:bCs w:val="0"/>
                <w:color w:val="auto"/>
                <w:kern w:val="0"/>
              </w:rPr>
              <w:t>①节能认证证书</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②</w:t>
            </w:r>
            <w:r>
              <w:rPr>
                <w:rFonts w:ascii="宋体" w:hAnsi="宋体" w:cs="宋体"/>
                <w:b w:val="0"/>
                <w:bCs w:val="0"/>
                <w:color w:val="auto"/>
                <w:kern w:val="0"/>
              </w:rPr>
              <w:t>ROHS</w:t>
            </w:r>
            <w:r>
              <w:rPr>
                <w:rFonts w:hint="eastAsia" w:ascii="宋体" w:hAnsi="宋体" w:cs="宋体"/>
                <w:b w:val="0"/>
                <w:bCs w:val="0"/>
                <w:color w:val="auto"/>
                <w:kern w:val="0"/>
              </w:rPr>
              <w:t>环保测试报告</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③</w:t>
            </w:r>
            <w:r>
              <w:rPr>
                <w:rFonts w:hint="eastAsia" w:ascii="宋体" w:hAnsi="宋体"/>
                <w:b w:val="0"/>
                <w:bCs w:val="0"/>
                <w:color w:val="auto"/>
              </w:rPr>
              <w:t>产品检测报告</w:t>
            </w:r>
          </w:p>
        </w:tc>
      </w:tr>
      <w:tr>
        <w:tblPrEx>
          <w:tblCellMar>
            <w:top w:w="0" w:type="dxa"/>
            <w:left w:w="0" w:type="dxa"/>
            <w:bottom w:w="0" w:type="dxa"/>
            <w:right w:w="0" w:type="dxa"/>
          </w:tblCellMar>
        </w:tblPrEx>
        <w:trPr>
          <w:trHeight w:val="484" w:hRule="atLeast"/>
          <w:jc w:val="center"/>
        </w:trPr>
        <w:tc>
          <w:tcPr>
            <w:tcW w:w="55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ascii="宋体" w:hAnsi="宋体" w:cs="宋体"/>
                <w:color w:val="000000"/>
                <w:szCs w:val="21"/>
              </w:rPr>
            </w:pPr>
            <w:r>
              <w:rPr>
                <w:rFonts w:hint="eastAsia" w:ascii="宋体" w:hAnsi="宋体" w:cs="宋体"/>
                <w:color w:val="000000"/>
                <w:kern w:val="0"/>
                <w:szCs w:val="21"/>
              </w:rPr>
              <w:t>蓄电池</w:t>
            </w:r>
          </w:p>
        </w:tc>
        <w:tc>
          <w:tcPr>
            <w:tcW w:w="81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pPr>
            <w:r>
              <w:rPr>
                <w:rFonts w:hint="eastAsia"/>
                <w:lang w:val="en-US" w:eastAsia="zh-CN"/>
              </w:rPr>
              <w:t>1</w:t>
            </w:r>
            <w:r>
              <w:rPr>
                <w:rFonts w:hint="eastAsia"/>
              </w:rPr>
              <w:t>、</w:t>
            </w:r>
            <w:r>
              <w:rPr>
                <w:rFonts w:hint="default"/>
              </w:rPr>
              <w:t>设计浮充使用寿命：</w:t>
            </w:r>
            <w:r>
              <w:rPr>
                <w:rFonts w:hint="eastAsia"/>
                <w:lang w:val="en-US" w:eastAsia="zh-CN"/>
              </w:rPr>
              <w:t>≥</w:t>
            </w:r>
            <w:r>
              <w:rPr>
                <w:rFonts w:hint="default"/>
              </w:rPr>
              <w:t>12年（25℃）</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pPr>
            <w:r>
              <w:rPr>
                <w:rFonts w:hint="eastAsia"/>
                <w:lang w:val="en-US" w:eastAsia="zh-CN"/>
              </w:rPr>
              <w:t>2</w:t>
            </w:r>
            <w:r>
              <w:rPr>
                <w:rFonts w:hint="default"/>
              </w:rPr>
              <w:t>、额定电压：12V</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pPr>
            <w:r>
              <w:rPr>
                <w:rFonts w:hint="eastAsia"/>
                <w:lang w:val="en-US" w:eastAsia="zh-CN"/>
              </w:rPr>
              <w:t>3</w:t>
            </w:r>
            <w:r>
              <w:rPr>
                <w:rFonts w:hint="default"/>
              </w:rPr>
              <w:t>、额定容量 (10 小时率)：</w:t>
            </w:r>
            <w:r>
              <w:rPr>
                <w:rFonts w:hint="eastAsia"/>
                <w:lang w:val="en-US" w:eastAsia="zh-CN"/>
              </w:rPr>
              <w:t>≥20</w:t>
            </w:r>
            <w:r>
              <w:rPr>
                <w:rFonts w:hint="default"/>
              </w:rPr>
              <w:t>0A</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pPr>
            <w:r>
              <w:rPr>
                <w:rFonts w:hint="eastAsia"/>
                <w:lang w:val="en-US" w:eastAsia="zh-CN"/>
              </w:rPr>
              <w:t>4</w:t>
            </w:r>
            <w:r>
              <w:rPr>
                <w:rFonts w:hint="default"/>
              </w:rPr>
              <w:t>、</w:t>
            </w:r>
            <w:r>
              <w:rPr>
                <w:rStyle w:val="89"/>
                <w:rFonts w:hint="default"/>
              </w:rPr>
              <w:t>电池密封反应效率≥98%</w:t>
            </w:r>
            <w:r>
              <w:rPr>
                <w:rFonts w:hint="default"/>
              </w:rPr>
              <w:t>；</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eastAsia" w:eastAsia="宋体"/>
                <w:lang w:val="en-US" w:eastAsia="zh-CN"/>
              </w:rPr>
            </w:pPr>
            <w:r>
              <w:rPr>
                <w:rFonts w:hint="eastAsia"/>
                <w:lang w:val="en-US" w:eastAsia="zh-CN"/>
              </w:rPr>
              <w:t>5</w:t>
            </w:r>
            <w:r>
              <w:rPr>
                <w:rFonts w:hint="default"/>
              </w:rPr>
              <w:t>、在25℃环境下，电池自放电＜3%/月；电池循环寿命较普通电池提升15%以上，25%DOD 循环1200 次以上</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210" w:firstLineChars="100"/>
              <w:textAlignment w:val="auto"/>
              <w:rPr>
                <w:rFonts w:ascii="宋体" w:hAnsi="宋体" w:cs="宋体"/>
                <w:b w:val="0"/>
                <w:bCs w:val="0"/>
                <w:color w:val="auto"/>
                <w:kern w:val="0"/>
              </w:rPr>
            </w:pPr>
            <w:r>
              <w:rPr>
                <w:rFonts w:hint="eastAsia" w:ascii="宋体" w:hAnsi="宋体" w:cs="宋体"/>
                <w:b w:val="0"/>
                <w:bCs w:val="0"/>
                <w:color w:val="auto"/>
                <w:kern w:val="0"/>
              </w:rPr>
              <w:t>投标人须提供</w:t>
            </w:r>
            <w:r>
              <w:rPr>
                <w:rFonts w:hint="eastAsia" w:ascii="宋体" w:hAnsi="宋体" w:cs="宋体"/>
                <w:b w:val="0"/>
                <w:bCs w:val="0"/>
                <w:color w:val="auto"/>
                <w:kern w:val="0"/>
                <w:lang w:eastAsia="zh-CN"/>
              </w:rPr>
              <w:t>所投</w:t>
            </w:r>
            <w:r>
              <w:rPr>
                <w:rFonts w:hint="eastAsia" w:ascii="宋体" w:hAnsi="宋体" w:cs="宋体"/>
                <w:b w:val="0"/>
                <w:bCs w:val="0"/>
                <w:color w:val="auto"/>
                <w:kern w:val="0"/>
              </w:rPr>
              <w:t>蓄电池制造商如下证书：</w:t>
            </w:r>
            <w:r>
              <w:rPr>
                <w:rFonts w:hint="eastAsia" w:ascii="宋体" w:hAnsi="宋体" w:cs="宋体"/>
                <w:b w:val="0"/>
                <w:bCs w:val="0"/>
                <w:color w:val="auto"/>
                <w:kern w:val="0"/>
                <w:lang w:eastAsia="zh-CN"/>
              </w:rPr>
              <w:t>（</w:t>
            </w:r>
            <w:r>
              <w:rPr>
                <w:rFonts w:hint="eastAsia" w:ascii="宋体" w:hAnsi="宋体" w:cs="宋体"/>
                <w:b w:val="0"/>
                <w:bCs w:val="0"/>
                <w:color w:val="auto"/>
                <w:kern w:val="0"/>
              </w:rPr>
              <w:t>提供复印件并加盖制造商公章</w:t>
            </w:r>
            <w:r>
              <w:rPr>
                <w:rFonts w:hint="eastAsia" w:ascii="宋体" w:hAnsi="宋体" w:cs="宋体"/>
                <w:b w:val="0"/>
                <w:bCs w:val="0"/>
                <w:color w:val="auto"/>
                <w:kern w:val="0"/>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default"/>
                <w:lang w:val="en-US" w:eastAsia="zh-CN"/>
              </w:rPr>
            </w:pPr>
            <w:r>
              <w:rPr>
                <w:rFonts w:hint="eastAsia" w:ascii="宋体" w:hAnsi="宋体" w:cs="宋体"/>
                <w:b w:val="0"/>
                <w:bCs w:val="0"/>
                <w:color w:val="auto"/>
                <w:kern w:val="0"/>
              </w:rPr>
              <w:t>①泰尔认证证书</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②工业生产许可证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19" w:hRule="atLeast"/>
          <w:jc w:val="center"/>
        </w:trPr>
        <w:tc>
          <w:tcPr>
            <w:tcW w:w="551" w:type="dxa"/>
            <w:tcBorders>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w:t>
            </w:r>
          </w:p>
        </w:tc>
        <w:tc>
          <w:tcPr>
            <w:tcW w:w="1155" w:type="dxa"/>
            <w:tcBorders>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szCs w:val="21"/>
                <w:lang w:val="en-US" w:eastAsia="zh-CN"/>
              </w:rPr>
            </w:pPr>
            <w:r>
              <w:rPr>
                <w:rFonts w:hint="eastAsia" w:ascii="宋体" w:hAnsi="宋体" w:eastAsia="宋体" w:cs="宋体"/>
                <w:i w:val="0"/>
                <w:iCs w:val="0"/>
                <w:color w:val="000000"/>
                <w:kern w:val="0"/>
                <w:sz w:val="22"/>
                <w:szCs w:val="22"/>
                <w:u w:val="none"/>
                <w:lang w:val="en-US" w:eastAsia="zh-CN" w:bidi="ar"/>
              </w:rPr>
              <w:t>UPS及蓄电池监管系统</w:t>
            </w:r>
          </w:p>
        </w:tc>
        <w:tc>
          <w:tcPr>
            <w:tcW w:w="8140" w:type="dxa"/>
            <w:tcBorders>
              <w:left w:val="nil"/>
              <w:bottom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lang w:val="en-US" w:eastAsia="zh-CN"/>
              </w:rPr>
            </w:pPr>
            <w:r>
              <w:rPr>
                <w:rStyle w:val="89"/>
                <w:rFonts w:hint="eastAsia"/>
                <w:lang w:val="en-US" w:eastAsia="zh-CN"/>
              </w:rPr>
              <w:t>1、完整实时监测功能：采集单体蓄电池以及整组的相关数据，并可记录蓄电池充放电过程全时段的变化；</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lang w:val="en-US" w:eastAsia="zh-CN"/>
              </w:rPr>
            </w:pPr>
            <w:r>
              <w:rPr>
                <w:rStyle w:val="89"/>
                <w:rFonts w:hint="eastAsia"/>
                <w:lang w:val="en-US" w:eastAsia="zh-CN"/>
              </w:rPr>
              <w:t>2、在线快速更换故障部件，不影响电池检测系统其他部分的正常工作，也不影响UPS供电系统的安全运行；</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lang w:val="en-US" w:eastAsia="zh-CN"/>
              </w:rPr>
            </w:pPr>
            <w:r>
              <w:rPr>
                <w:rStyle w:val="89"/>
                <w:rFonts w:hint="eastAsia"/>
                <w:lang w:val="en-US" w:eastAsia="zh-CN"/>
              </w:rPr>
              <w:t>3、可适应任何现场环境无缝对接；</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lang w:val="en-US" w:eastAsia="zh-CN"/>
              </w:rPr>
            </w:pPr>
            <w:r>
              <w:rPr>
                <w:rStyle w:val="89"/>
                <w:rFonts w:hint="eastAsia"/>
                <w:lang w:val="en-US" w:eastAsia="zh-CN"/>
              </w:rPr>
              <w:t>4、具备历史数据记录，告警事件管理，提供电池维护、失效分析、生成报表的数据支持；</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Style w:val="89"/>
                <w:rFonts w:hint="eastAsia"/>
                <w:lang w:val="en-US" w:eastAsia="zh-CN"/>
              </w:rPr>
            </w:pPr>
            <w:r>
              <w:rPr>
                <w:rStyle w:val="89"/>
                <w:rFonts w:hint="eastAsia"/>
                <w:lang w:val="en-US" w:eastAsia="zh-CN"/>
              </w:rPr>
              <w:t>5、具备一键设地址功能；</w:t>
            </w:r>
          </w:p>
          <w:p>
            <w:pPr>
              <w:keepNext w:val="0"/>
              <w:keepLines w:val="0"/>
              <w:pageBreakBefore w:val="0"/>
              <w:widowControl/>
              <w:kinsoku/>
              <w:wordWrap/>
              <w:overflowPunct/>
              <w:topLinePunct w:val="0"/>
              <w:autoSpaceDE/>
              <w:autoSpaceDN/>
              <w:bidi w:val="0"/>
              <w:adjustRightInd/>
              <w:snapToGrid/>
              <w:spacing w:line="288" w:lineRule="auto"/>
              <w:ind w:firstLine="210" w:firstLineChars="100"/>
              <w:jc w:val="left"/>
              <w:textAlignment w:val="center"/>
              <w:rPr>
                <w:rFonts w:hint="default"/>
                <w:lang w:val="en-US" w:eastAsia="zh-CN"/>
              </w:rPr>
            </w:pPr>
            <w:r>
              <w:rPr>
                <w:rStyle w:val="89"/>
                <w:rFonts w:hint="eastAsia"/>
                <w:b w:val="0"/>
                <w:bCs w:val="0"/>
                <w:kern w:val="2"/>
                <w:lang w:val="en-US" w:eastAsia="zh-CN" w:bidi="ar-SA"/>
              </w:rPr>
              <w:t>6、须</w:t>
            </w:r>
            <w:r>
              <w:rPr>
                <w:rFonts w:hint="eastAsia"/>
                <w:b w:val="0"/>
                <w:bCs w:val="0"/>
                <w:lang w:val="en-US" w:eastAsia="zh-CN"/>
              </w:rPr>
              <w:t>与医院现有监控管理系统无缝对接，</w:t>
            </w:r>
            <w:r>
              <w:rPr>
                <w:rStyle w:val="90"/>
                <w:rFonts w:hint="eastAsia"/>
                <w:b w:val="0"/>
                <w:bCs w:val="0"/>
                <w:lang w:val="en-US" w:eastAsia="zh-CN"/>
              </w:rPr>
              <w:t>方便</w:t>
            </w:r>
            <w:r>
              <w:rPr>
                <w:rStyle w:val="90"/>
                <w:rFonts w:hint="default"/>
                <w:b w:val="0"/>
                <w:bCs w:val="0"/>
              </w:rPr>
              <w:t>监管维护</w:t>
            </w:r>
            <w:r>
              <w:rPr>
                <w:rStyle w:val="90"/>
                <w:rFonts w:hint="eastAsia" w:eastAsia="宋体"/>
                <w:b w:val="0"/>
                <w:bCs w:val="0"/>
                <w:lang w:eastAsia="zh-CN"/>
              </w:rPr>
              <w:t>，</w:t>
            </w:r>
            <w:r>
              <w:rPr>
                <w:rStyle w:val="90"/>
                <w:rFonts w:hint="default"/>
                <w:b w:val="0"/>
                <w:bCs w:val="0"/>
              </w:rPr>
              <w:t>实现统一管理</w:t>
            </w:r>
            <w:r>
              <w:rPr>
                <w:rFonts w:hint="eastAsia"/>
                <w:b w:val="0"/>
                <w:bCs w:val="0"/>
                <w:lang w:val="en-US" w:eastAsia="zh-CN"/>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1155"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电池架</w:t>
            </w:r>
          </w:p>
        </w:tc>
        <w:tc>
          <w:tcPr>
            <w:tcW w:w="8140" w:type="dxa"/>
            <w:tcBorders>
              <w:top w:val="single" w:color="auto" w:sz="4" w:space="0"/>
              <w:left w:val="nil"/>
              <w:bottom w:val="single" w:color="auto" w:sz="4" w:space="0"/>
            </w:tcBorders>
            <w:noWrap w:val="0"/>
            <w:tcMar>
              <w:top w:w="15" w:type="dxa"/>
              <w:left w:w="15" w:type="dxa"/>
              <w:right w:w="15" w:type="dxa"/>
            </w:tcMar>
            <w:vAlign w:val="center"/>
          </w:tcPr>
          <w:p>
            <w:pPr>
              <w:pStyle w:val="2"/>
              <w:keepNext w:val="0"/>
              <w:keepLines w:val="0"/>
              <w:pageBreakBefore w:val="0"/>
              <w:widowControl/>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国标</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1155"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电池连接线</w:t>
            </w:r>
          </w:p>
        </w:tc>
        <w:tc>
          <w:tcPr>
            <w:tcW w:w="8140" w:type="dxa"/>
            <w:tcBorders>
              <w:top w:val="single" w:color="auto" w:sz="4" w:space="0"/>
              <w:left w:val="nil"/>
              <w:bottom w:val="single" w:color="auto" w:sz="4" w:space="0"/>
            </w:tcBorders>
            <w:noWrap w:val="0"/>
            <w:tcMar>
              <w:top w:w="15" w:type="dxa"/>
              <w:left w:w="15" w:type="dxa"/>
              <w:right w:w="15" w:type="dxa"/>
            </w:tcMar>
            <w:vAlign w:val="center"/>
          </w:tcPr>
          <w:p>
            <w:pPr>
              <w:pStyle w:val="2"/>
              <w:keepNext w:val="0"/>
              <w:keepLines w:val="0"/>
              <w:pageBreakBefore w:val="0"/>
              <w:widowControl/>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软铜线70</w:t>
            </w:r>
            <w:r>
              <w:rPr>
                <w:rStyle w:val="89"/>
                <w:rFonts w:hint="eastAsia" w:ascii="宋体" w:hAnsi="宋体" w:eastAsia="宋体" w:cs="宋体"/>
                <w:color w:val="auto"/>
                <w:sz w:val="21"/>
                <w:szCs w:val="21"/>
                <w:lang w:val="en-US" w:eastAsia="zh-CN" w:bidi="ar"/>
              </w:rPr>
              <w:t>mm²</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1155"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直流馈电柜</w:t>
            </w:r>
          </w:p>
        </w:tc>
        <w:tc>
          <w:tcPr>
            <w:tcW w:w="8140" w:type="dxa"/>
            <w:tcBorders>
              <w:top w:val="single" w:color="auto" w:sz="4" w:space="0"/>
              <w:left w:val="nil"/>
              <w:bottom w:val="single" w:color="auto" w:sz="4" w:space="0"/>
            </w:tcBorders>
            <w:noWrap w:val="0"/>
            <w:tcMar>
              <w:top w:w="15" w:type="dxa"/>
              <w:left w:w="15" w:type="dxa"/>
              <w:right w:w="15" w:type="dxa"/>
            </w:tcMar>
            <w:vAlign w:val="center"/>
          </w:tcPr>
          <w:p>
            <w:pPr>
              <w:pStyle w:val="2"/>
              <w:keepNext w:val="0"/>
              <w:keepLines w:val="0"/>
              <w:pageBreakBefore w:val="0"/>
              <w:widowControl/>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eastAsia" w:ascii="宋体" w:hAnsi="宋体" w:cs="宋体"/>
                <w:color w:val="000000"/>
                <w:kern w:val="0"/>
                <w:szCs w:val="21"/>
                <w:lang w:val="en-US" w:eastAsia="zh-CN"/>
              </w:rPr>
            </w:pPr>
            <w:r>
              <w:rPr>
                <w:rFonts w:hint="eastAsia" w:ascii="宋体" w:hAnsi="宋体" w:eastAsia="宋体" w:cs="宋体"/>
                <w:i w:val="0"/>
                <w:color w:val="auto"/>
                <w:sz w:val="21"/>
                <w:szCs w:val="21"/>
                <w:u w:val="none"/>
                <w:lang w:val="en-US" w:eastAsia="zh-CN"/>
              </w:rPr>
              <w:t>国标</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76"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1155"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输入配电柜</w:t>
            </w:r>
          </w:p>
        </w:tc>
        <w:tc>
          <w:tcPr>
            <w:tcW w:w="8140" w:type="dxa"/>
            <w:tcBorders>
              <w:top w:val="single" w:color="auto" w:sz="4" w:space="0"/>
              <w:left w:val="nil"/>
              <w:bottom w:val="single" w:color="auto" w:sz="4" w:space="0"/>
            </w:tcBorders>
            <w:noWrap w:val="0"/>
            <w:tcMar>
              <w:top w:w="15" w:type="dxa"/>
              <w:left w:w="15" w:type="dxa"/>
              <w:right w:w="15" w:type="dxa"/>
            </w:tcMar>
            <w:vAlign w:val="center"/>
          </w:tcPr>
          <w:p>
            <w:pPr>
              <w:pStyle w:val="2"/>
              <w:keepNext w:val="0"/>
              <w:keepLines w:val="0"/>
              <w:pageBreakBefore w:val="0"/>
              <w:widowControl/>
              <w:tabs>
                <w:tab w:val="left" w:pos="945"/>
                <w:tab w:val="left" w:pos="1155"/>
              </w:tabs>
              <w:kinsoku/>
              <w:wordWrap/>
              <w:overflowPunct/>
              <w:topLinePunct w:val="0"/>
              <w:autoSpaceDE/>
              <w:autoSpaceDN/>
              <w:bidi w:val="0"/>
              <w:adjustRightInd/>
              <w:snapToGrid/>
              <w:spacing w:line="288" w:lineRule="auto"/>
              <w:ind w:left="0" w:leftChars="0" w:firstLine="0" w:firstLineChars="0"/>
              <w:rPr>
                <w:rFonts w:hint="eastAsia" w:ascii="宋体" w:hAnsi="宋体" w:cs="宋体"/>
                <w:color w:val="000000"/>
                <w:kern w:val="0"/>
                <w:szCs w:val="21"/>
                <w:lang w:val="en-US" w:eastAsia="zh-CN"/>
              </w:rPr>
            </w:pPr>
            <w:r>
              <w:rPr>
                <w:rFonts w:hint="eastAsia" w:ascii="宋体" w:hAnsi="宋体" w:eastAsia="宋体" w:cs="宋体"/>
                <w:i w:val="0"/>
                <w:color w:val="auto"/>
                <w:sz w:val="21"/>
                <w:szCs w:val="21"/>
                <w:u w:val="none"/>
                <w:lang w:val="en-US" w:eastAsia="zh-CN"/>
              </w:rPr>
              <w:t>国标</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8</w:t>
            </w:r>
          </w:p>
        </w:tc>
        <w:tc>
          <w:tcPr>
            <w:tcW w:w="1155"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电气安全监控系统</w:t>
            </w:r>
          </w:p>
        </w:tc>
        <w:tc>
          <w:tcPr>
            <w:tcW w:w="8140" w:type="dxa"/>
            <w:tcBorders>
              <w:top w:val="single" w:color="auto" w:sz="4" w:space="0"/>
              <w:left w:val="nil"/>
              <w:bottom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center"/>
              <w:rPr>
                <w:rFonts w:hint="eastAsia"/>
                <w:lang w:val="en-US" w:eastAsia="zh-CN"/>
              </w:rPr>
            </w:pPr>
            <w:r>
              <w:rPr>
                <w:rFonts w:hint="eastAsia" w:ascii="宋体" w:hAnsi="宋体" w:eastAsia="宋体" w:cs="宋体"/>
                <w:lang w:val="en-US" w:eastAsia="zh-CN"/>
              </w:rPr>
              <w:t>1.</w:t>
            </w:r>
            <w:r>
              <w:rPr>
                <w:rFonts w:hint="eastAsia"/>
                <w:lang w:val="en-US" w:eastAsia="zh-CN"/>
              </w:rPr>
              <w:t>一体化设计，多功能主机，应同时具备剩余电流（漏电）、电流、温度、短路、故障电弧、功率、电量等多种功能，并支持自动断电；</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both"/>
              <w:textAlignment w:val="center"/>
              <w:rPr>
                <w:rFonts w:hint="eastAsia"/>
                <w:lang w:val="en-US" w:eastAsia="zh-CN"/>
              </w:rPr>
            </w:pPr>
            <w:r>
              <w:rPr>
                <w:rFonts w:hint="eastAsia" w:ascii="宋体" w:hAnsi="宋体" w:eastAsia="宋体" w:cs="宋体"/>
                <w:lang w:val="en-US" w:eastAsia="zh-CN"/>
              </w:rPr>
              <w:t>2.</w:t>
            </w:r>
            <w:r>
              <w:rPr>
                <w:rFonts w:hint="eastAsia"/>
                <w:lang w:val="en-US" w:eastAsia="zh-CN"/>
              </w:rPr>
              <w:t>设备采用非入侵式智能识别技术，可实现线路内全部用电器的类型识别及运行状态监测。</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3.信息转发，支持APP、短信、电话、邮件等多种转发方式；APP和WEB可查看通知记录信息（通知人员，通知方式、监测点名称、报警类型、报警时间</w:t>
            </w:r>
            <w:r>
              <w:rPr>
                <w:rStyle w:val="89"/>
                <w:rFonts w:hint="eastAsia" w:ascii="宋体" w:hAnsi="宋体" w:eastAsia="宋体" w:cs="宋体"/>
                <w:sz w:val="21"/>
                <w:szCs w:val="21"/>
                <w:lang w:val="en-US" w:eastAsia="zh-CN" w:bidi="ar"/>
              </w:rPr>
              <w:t>），可筛选开始时间至结束时间、通知人、监测点名称、报警类型、报警时间；</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center"/>
              <w:rPr>
                <w:rFonts w:hint="default"/>
                <w:b w:val="0"/>
                <w:bCs w:val="0"/>
              </w:rPr>
            </w:pPr>
            <w:r>
              <w:rPr>
                <w:rFonts w:hint="eastAsia" w:ascii="宋体" w:hAnsi="宋体" w:eastAsia="宋体" w:cs="宋体"/>
                <w:b w:val="0"/>
                <w:bCs w:val="0"/>
                <w:i w:val="0"/>
                <w:color w:val="000000"/>
                <w:kern w:val="0"/>
                <w:sz w:val="21"/>
                <w:szCs w:val="21"/>
                <w:u w:val="none"/>
                <w:lang w:val="en-US" w:eastAsia="zh-CN" w:bidi="ar"/>
              </w:rPr>
              <w:t>4.</w:t>
            </w:r>
            <w:r>
              <w:rPr>
                <w:rStyle w:val="90"/>
                <w:rFonts w:hint="default"/>
                <w:b w:val="0"/>
                <w:bCs w:val="0"/>
              </w:rPr>
              <w:t>电气安全监控软件平台须与</w:t>
            </w:r>
            <w:r>
              <w:rPr>
                <w:rStyle w:val="90"/>
                <w:rFonts w:hint="eastAsia" w:eastAsia="宋体"/>
                <w:b w:val="0"/>
                <w:bCs w:val="0"/>
                <w:lang w:val="en-US" w:eastAsia="zh-CN"/>
              </w:rPr>
              <w:t>医</w:t>
            </w:r>
            <w:r>
              <w:rPr>
                <w:rStyle w:val="90"/>
                <w:rFonts w:hint="default"/>
                <w:b w:val="0"/>
                <w:bCs w:val="0"/>
              </w:rPr>
              <w:t>院现有的电力安全系统平台统一到一个平台上，实现统一管理，方面监管维护</w:t>
            </w:r>
            <w:r>
              <w:rPr>
                <w:rFonts w:hint="default"/>
                <w:b w:val="0"/>
                <w:bCs w:val="0"/>
              </w:rPr>
              <w:t>。</w:t>
            </w:r>
          </w:p>
          <w:p>
            <w:pPr>
              <w:pStyle w:val="2"/>
              <w:tabs>
                <w:tab w:val="left" w:pos="945"/>
                <w:tab w:val="left" w:pos="1155"/>
              </w:tabs>
              <w:spacing w:line="240" w:lineRule="auto"/>
              <w:ind w:left="0" w:leftChars="0" w:firstLine="240" w:firstLineChars="100"/>
              <w:rPr>
                <w:rFonts w:hint="eastAsia" w:ascii="宋体" w:hAnsi="宋体" w:eastAsia="宋体" w:cs="宋体"/>
                <w:b w:val="0"/>
                <w:bCs w:val="0"/>
                <w:color w:val="auto"/>
                <w:kern w:val="0"/>
                <w:sz w:val="21"/>
                <w:szCs w:val="24"/>
                <w:lang w:val="en-US" w:eastAsia="zh-CN" w:bidi="ar-SA"/>
              </w:rPr>
            </w:pPr>
            <w:r>
              <w:rPr>
                <w:rFonts w:hint="eastAsia" w:ascii="宋体" w:hAnsi="宋体" w:cs="宋体"/>
                <w:b w:val="0"/>
                <w:bCs w:val="0"/>
                <w:color w:val="auto"/>
                <w:kern w:val="0"/>
              </w:rPr>
              <w:t>投标人</w:t>
            </w:r>
            <w:r>
              <w:rPr>
                <w:rFonts w:hint="eastAsia" w:ascii="宋体" w:hAnsi="宋体" w:eastAsia="宋体" w:cs="宋体"/>
                <w:b w:val="0"/>
                <w:bCs w:val="0"/>
                <w:color w:val="auto"/>
                <w:kern w:val="0"/>
                <w:sz w:val="21"/>
                <w:szCs w:val="24"/>
                <w:lang w:val="en-US" w:eastAsia="zh-CN" w:bidi="ar-SA"/>
              </w:rPr>
              <w:t>须提供电气安全监控设备</w:t>
            </w:r>
            <w:r>
              <w:rPr>
                <w:rFonts w:hint="eastAsia" w:ascii="宋体" w:hAnsi="宋体" w:cs="宋体"/>
                <w:b w:val="0"/>
                <w:bCs w:val="0"/>
                <w:color w:val="auto"/>
                <w:kern w:val="0"/>
                <w:sz w:val="21"/>
                <w:szCs w:val="24"/>
                <w:lang w:val="en-US" w:eastAsia="zh-CN" w:bidi="ar-SA"/>
              </w:rPr>
              <w:t>制造商</w:t>
            </w:r>
            <w:r>
              <w:rPr>
                <w:rFonts w:hint="eastAsia" w:ascii="宋体" w:hAnsi="宋体" w:eastAsia="宋体" w:cs="宋体"/>
                <w:b w:val="0"/>
                <w:bCs w:val="0"/>
                <w:color w:val="auto"/>
                <w:kern w:val="0"/>
                <w:sz w:val="21"/>
                <w:szCs w:val="24"/>
                <w:lang w:val="en-US" w:eastAsia="zh-CN" w:bidi="ar-SA"/>
              </w:rPr>
              <w:t>如下证书：（提供复印件并加盖</w:t>
            </w:r>
            <w:r>
              <w:rPr>
                <w:rFonts w:hint="eastAsia" w:ascii="宋体" w:hAnsi="宋体" w:cs="宋体"/>
                <w:b w:val="0"/>
                <w:bCs w:val="0"/>
                <w:color w:val="auto"/>
                <w:kern w:val="0"/>
              </w:rPr>
              <w:t>制造商</w:t>
            </w:r>
            <w:r>
              <w:rPr>
                <w:rFonts w:hint="eastAsia" w:ascii="宋体" w:hAnsi="宋体" w:eastAsia="宋体" w:cs="宋体"/>
                <w:b w:val="0"/>
                <w:bCs w:val="0"/>
                <w:color w:val="auto"/>
                <w:kern w:val="0"/>
                <w:sz w:val="21"/>
                <w:szCs w:val="24"/>
                <w:lang w:val="en-US" w:eastAsia="zh-CN" w:bidi="ar-SA"/>
              </w:rPr>
              <w:t>公章）</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10" w:firstLineChars="100"/>
              <w:jc w:val="left"/>
              <w:textAlignment w:val="center"/>
              <w:rPr>
                <w:rFonts w:hint="eastAsia"/>
                <w:b/>
                <w:bCs/>
                <w:lang w:val="en-US" w:eastAsia="zh-CN"/>
              </w:rPr>
            </w:pPr>
            <w:r>
              <w:rPr>
                <w:rFonts w:hint="eastAsia" w:ascii="宋体" w:hAnsi="宋体" w:eastAsia="宋体" w:cs="宋体"/>
                <w:b w:val="0"/>
                <w:bCs w:val="0"/>
                <w:color w:val="auto"/>
                <w:kern w:val="0"/>
                <w:sz w:val="21"/>
                <w:szCs w:val="24"/>
                <w:lang w:val="en-US" w:eastAsia="zh-CN" w:bidi="ar-SA"/>
              </w:rPr>
              <w:t>①消防部门检测报告</w:t>
            </w:r>
            <w:r>
              <w:rPr>
                <w:rFonts w:hint="eastAsia" w:ascii="宋体" w:hAnsi="宋体" w:cs="宋体"/>
                <w:b w:val="0"/>
                <w:bCs w:val="0"/>
                <w:color w:val="auto"/>
                <w:kern w:val="0"/>
                <w:sz w:val="21"/>
                <w:szCs w:val="24"/>
                <w:lang w:val="en-US" w:eastAsia="zh-CN" w:bidi="ar-SA"/>
              </w:rPr>
              <w:t xml:space="preserve"> </w:t>
            </w:r>
            <w:r>
              <w:rPr>
                <w:rFonts w:hint="eastAsia" w:ascii="宋体" w:hAnsi="宋体" w:eastAsia="宋体" w:cs="宋体"/>
                <w:b w:val="0"/>
                <w:bCs w:val="0"/>
                <w:color w:val="auto"/>
                <w:kern w:val="0"/>
                <w:sz w:val="21"/>
                <w:szCs w:val="24"/>
                <w:lang w:val="en-US" w:eastAsia="zh-CN" w:bidi="ar-SA"/>
              </w:rPr>
              <w:t>②3C认证</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9</w:t>
            </w:r>
          </w:p>
        </w:tc>
        <w:tc>
          <w:tcPr>
            <w:tcW w:w="1155"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输入</w:t>
            </w:r>
            <w:r>
              <w:rPr>
                <w:rFonts w:hint="eastAsia" w:ascii="宋体" w:hAnsi="宋体" w:cs="宋体"/>
                <w:i w:val="0"/>
                <w:iCs w:val="0"/>
                <w:color w:val="000000"/>
                <w:kern w:val="0"/>
                <w:sz w:val="22"/>
                <w:szCs w:val="22"/>
                <w:u w:val="none"/>
                <w:lang w:val="en-US" w:eastAsia="zh-CN" w:bidi="ar"/>
              </w:rPr>
              <w:t>输出</w:t>
            </w:r>
          </w:p>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线缆</w:t>
            </w:r>
          </w:p>
        </w:tc>
        <w:tc>
          <w:tcPr>
            <w:tcW w:w="8140" w:type="dxa"/>
            <w:tcBorders>
              <w:top w:val="single" w:color="auto" w:sz="4" w:space="0"/>
              <w:left w:val="nil"/>
              <w:bottom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1"/>
                <w:szCs w:val="24"/>
                <w:lang w:val="en-US" w:eastAsia="zh-CN" w:bidi="ar-SA"/>
              </w:rPr>
            </w:pPr>
            <w:r>
              <w:rPr>
                <w:rFonts w:hint="eastAsia" w:ascii="宋体" w:hAnsi="宋体" w:cs="宋体"/>
                <w:i w:val="0"/>
                <w:color w:val="000000"/>
                <w:kern w:val="0"/>
                <w:sz w:val="21"/>
                <w:szCs w:val="21"/>
                <w:u w:val="none"/>
                <w:lang w:val="en-US" w:eastAsia="zh-CN" w:bidi="ar"/>
              </w:rPr>
              <w:t>5</w:t>
            </w:r>
            <w:r>
              <w:rPr>
                <w:rStyle w:val="89"/>
                <w:lang w:val="en-US" w:eastAsia="zh-CN" w:bidi="ar"/>
              </w:rPr>
              <w:t>0mm²（4+1）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43" w:hRule="atLeast"/>
          <w:jc w:val="center"/>
        </w:trPr>
        <w:tc>
          <w:tcPr>
            <w:tcW w:w="551" w:type="dxa"/>
            <w:tcBorders>
              <w:top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10</w:t>
            </w:r>
          </w:p>
        </w:tc>
        <w:tc>
          <w:tcPr>
            <w:tcW w:w="1155"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辅材</w:t>
            </w:r>
          </w:p>
        </w:tc>
        <w:tc>
          <w:tcPr>
            <w:tcW w:w="8140" w:type="dxa"/>
            <w:tcBorders>
              <w:top w:val="single" w:color="auto" w:sz="4" w:space="0"/>
              <w:left w:val="nil"/>
              <w:bottom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val="0"/>
                <w:bCs w:val="0"/>
                <w:color w:val="auto"/>
                <w:kern w:val="0"/>
                <w:sz w:val="21"/>
                <w:szCs w:val="24"/>
                <w:lang w:val="en-US" w:eastAsia="zh-CN" w:bidi="ar-SA"/>
              </w:rPr>
            </w:pPr>
            <w:r>
              <w:rPr>
                <w:rFonts w:hint="eastAsia" w:ascii="宋体" w:hAnsi="宋体" w:eastAsia="宋体" w:cs="宋体"/>
                <w:i w:val="0"/>
                <w:color w:val="000000"/>
                <w:kern w:val="0"/>
                <w:sz w:val="21"/>
                <w:szCs w:val="21"/>
                <w:u w:val="none"/>
                <w:lang w:val="en-US" w:eastAsia="zh-CN" w:bidi="ar"/>
              </w:rPr>
              <w:t>国标</w:t>
            </w:r>
          </w:p>
        </w:tc>
      </w:tr>
      <w:tr>
        <w:tblPrEx>
          <w:tblCellMar>
            <w:top w:w="0" w:type="dxa"/>
            <w:left w:w="0" w:type="dxa"/>
            <w:bottom w:w="0" w:type="dxa"/>
            <w:right w:w="0" w:type="dxa"/>
          </w:tblCellMar>
        </w:tblPrEx>
        <w:trPr>
          <w:trHeight w:val="439" w:hRule="atLeast"/>
          <w:jc w:val="center"/>
        </w:trPr>
        <w:tc>
          <w:tcPr>
            <w:tcW w:w="551" w:type="dxa"/>
            <w:tcBorders>
              <w:top w:val="nil"/>
              <w:left w:val="single" w:color="000000" w:sz="8" w:space="0"/>
              <w:bottom w:val="single" w:color="auto" w:sz="4" w:space="0"/>
              <w:right w:val="single" w:color="000000" w:sz="8" w:space="0"/>
            </w:tcBorders>
            <w:noWrap w:val="0"/>
            <w:tcMar>
              <w:top w:w="15" w:type="dxa"/>
              <w:left w:w="15" w:type="dxa"/>
              <w:right w:w="15" w:type="dxa"/>
            </w:tcMar>
            <w:vAlign w:val="center"/>
          </w:tcPr>
          <w:p>
            <w:pPr>
              <w:widowControl/>
              <w:spacing w:line="240" w:lineRule="auto"/>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1155"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ascii="宋体" w:hAnsi="宋体" w:cs="宋体"/>
                <w:szCs w:val="21"/>
              </w:rPr>
            </w:pPr>
            <w:r>
              <w:rPr>
                <w:rFonts w:hint="eastAsia" w:ascii="宋体" w:hAnsi="宋体" w:eastAsia="宋体" w:cs="宋体"/>
                <w:i w:val="0"/>
                <w:iCs w:val="0"/>
                <w:color w:val="000000"/>
                <w:kern w:val="0"/>
                <w:sz w:val="22"/>
                <w:szCs w:val="22"/>
                <w:u w:val="none"/>
                <w:lang w:val="en-US" w:eastAsia="zh-CN" w:bidi="ar"/>
              </w:rPr>
              <w:t>安装调试</w:t>
            </w:r>
          </w:p>
        </w:tc>
        <w:tc>
          <w:tcPr>
            <w:tcW w:w="8140" w:type="dxa"/>
            <w:tcBorders>
              <w:top w:val="nil"/>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cs="宋体"/>
                <w:szCs w:val="21"/>
              </w:rPr>
            </w:pPr>
            <w:r>
              <w:rPr>
                <w:rFonts w:hint="eastAsia" w:ascii="宋体" w:hAnsi="宋体" w:eastAsia="宋体" w:cs="宋体"/>
                <w:i w:val="0"/>
                <w:iCs w:val="0"/>
                <w:color w:val="000000"/>
                <w:kern w:val="0"/>
                <w:sz w:val="22"/>
                <w:szCs w:val="22"/>
                <w:highlight w:val="none"/>
                <w:u w:val="none"/>
                <w:shd w:val="clear" w:color="auto" w:fill="auto"/>
                <w:lang w:val="en-US" w:eastAsia="zh-CN" w:bidi="ar"/>
              </w:rPr>
              <w:t>按国家电力标准</w:t>
            </w:r>
            <w:r>
              <w:rPr>
                <w:rFonts w:hint="eastAsia" w:ascii="宋体" w:hAnsi="宋体" w:eastAsia="宋体" w:cs="宋体"/>
                <w:i w:val="0"/>
                <w:iCs w:val="0"/>
                <w:color w:val="000000"/>
                <w:kern w:val="0"/>
                <w:sz w:val="22"/>
                <w:szCs w:val="22"/>
                <w:highlight w:val="none"/>
                <w:u w:val="none"/>
                <w:lang w:val="en-US" w:eastAsia="zh-CN" w:bidi="ar"/>
              </w:rPr>
              <w:t>进行安装调试</w:t>
            </w:r>
          </w:p>
        </w:tc>
      </w:tr>
      <w:tr>
        <w:tblPrEx>
          <w:tblCellMar>
            <w:top w:w="0" w:type="dxa"/>
            <w:left w:w="0" w:type="dxa"/>
            <w:bottom w:w="0" w:type="dxa"/>
            <w:right w:w="0" w:type="dxa"/>
          </w:tblCellMar>
        </w:tblPrEx>
        <w:trPr>
          <w:trHeight w:val="256" w:hRule="atLeast"/>
          <w:jc w:val="center"/>
        </w:trPr>
        <w:tc>
          <w:tcPr>
            <w:tcW w:w="1706" w:type="dxa"/>
            <w:gridSpan w:val="2"/>
            <w:tcBorders>
              <w:top w:val="single" w:color="auto" w:sz="4" w:space="0"/>
              <w:left w:val="single" w:color="000000" w:sz="8" w:space="0"/>
              <w:bottom w:val="single" w:color="auto" w:sz="4" w:space="0"/>
              <w:right w:val="single" w:color="000000" w:sz="8"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质量标准</w:t>
            </w:r>
          </w:p>
        </w:tc>
        <w:tc>
          <w:tcPr>
            <w:tcW w:w="8140" w:type="dxa"/>
            <w:tcBorders>
              <w:top w:val="single" w:color="auto" w:sz="4" w:space="0"/>
              <w:left w:val="nil"/>
              <w:bottom w:val="single" w:color="auto" w:sz="4"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8" w:lineRule="auto"/>
              <w:jc w:val="left"/>
              <w:textAlignment w:val="center"/>
              <w:rPr>
                <w:rFonts w:ascii="宋体" w:hAnsi="宋体" w:cs="宋体"/>
                <w:color w:val="000000"/>
                <w:sz w:val="24"/>
              </w:rPr>
            </w:pPr>
            <w:r>
              <w:rPr>
                <w:rFonts w:hint="eastAsia" w:ascii="宋体" w:hAnsi="宋体" w:cs="宋体"/>
                <w:color w:val="000000"/>
                <w:kern w:val="0"/>
                <w:sz w:val="22"/>
                <w:szCs w:val="22"/>
              </w:rPr>
              <w:t>符合现行国家质量要求和行业有关标准。</w:t>
            </w:r>
          </w:p>
        </w:tc>
      </w:tr>
    </w:tbl>
    <w:p>
      <w:pPr>
        <w:pStyle w:val="3"/>
        <w:numPr>
          <w:ilvl w:val="0"/>
          <w:numId w:val="0"/>
        </w:numPr>
        <w:spacing w:after="0"/>
        <w:jc w:val="left"/>
        <w:rPr>
          <w:rFonts w:hint="eastAsia" w:ascii="宋体" w:hAnsi="宋体" w:eastAsia="宋体" w:cs="宋体"/>
          <w:b/>
          <w:bCs/>
          <w:color w:val="auto"/>
          <w:kern w:val="2"/>
          <w:sz w:val="21"/>
          <w:szCs w:val="21"/>
          <w:highlight w:val="none"/>
          <w:lang w:val="en-US" w:eastAsia="zh-CN" w:bidi="ar-SA"/>
        </w:rPr>
      </w:pPr>
      <w:r>
        <w:rPr>
          <w:rFonts w:hint="eastAsia" w:cs="宋体"/>
          <w:b/>
          <w:bCs/>
          <w:color w:val="auto"/>
          <w:kern w:val="2"/>
          <w:sz w:val="21"/>
          <w:szCs w:val="21"/>
          <w:highlight w:val="none"/>
          <w:lang w:val="en-US" w:eastAsia="zh-CN" w:bidi="ar-SA"/>
        </w:rPr>
        <w:t>四</w:t>
      </w:r>
      <w:r>
        <w:rPr>
          <w:rFonts w:hint="eastAsia" w:ascii="宋体" w:hAnsi="宋体" w:eastAsia="宋体" w:cs="宋体"/>
          <w:b/>
          <w:bCs/>
          <w:color w:val="auto"/>
          <w:kern w:val="2"/>
          <w:sz w:val="21"/>
          <w:szCs w:val="21"/>
          <w:highlight w:val="none"/>
          <w:lang w:val="en-US" w:eastAsia="zh-CN" w:bidi="ar-SA"/>
        </w:rPr>
        <w:t>、售后服务条件及交货日期（或工期）：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lang w:val="en-US" w:eastAsia="zh-CN"/>
        </w:rPr>
      </w:pPr>
      <w:r>
        <w:rPr>
          <w:rFonts w:hint="eastAsia" w:ascii="宋体" w:hAnsi="宋体" w:eastAsia="宋体" w:cs="宋体"/>
          <w:color w:val="auto"/>
          <w:kern w:val="2"/>
          <w:sz w:val="21"/>
          <w:szCs w:val="21"/>
          <w:highlight w:val="none"/>
          <w:lang w:val="en-US" w:eastAsia="zh-CN" w:bidi="ar-SA"/>
        </w:rPr>
        <w:t>1、质保期36个月；2、交货日期：合同签订后25日内。</w:t>
      </w:r>
    </w:p>
    <w:p>
      <w:pPr>
        <w:pStyle w:val="2"/>
        <w:rPr>
          <w:rFonts w:hint="eastAsia"/>
          <w:sz w:val="36"/>
          <w:szCs w:val="44"/>
          <w:lang w:val="en-US" w:eastAsia="zh-CN"/>
        </w:rPr>
      </w:pPr>
    </w:p>
    <w:p>
      <w:pPr>
        <w:pStyle w:val="3"/>
        <w:numPr>
          <w:ilvl w:val="0"/>
          <w:numId w:val="0"/>
        </w:numPr>
        <w:spacing w:after="0"/>
        <w:ind w:left="36" w:leftChars="0"/>
        <w:jc w:val="left"/>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br w:type="page"/>
      </w:r>
    </w:p>
    <w:p>
      <w:pPr>
        <w:pStyle w:val="52"/>
        <w:snapToGrid w:val="0"/>
        <w:spacing w:line="240" w:lineRule="auto"/>
        <w:ind w:firstLine="420"/>
        <w:rPr>
          <w:color w:val="auto"/>
          <w:sz w:val="21"/>
          <w:szCs w:val="21"/>
          <w:highlight w:val="none"/>
        </w:rPr>
      </w:pP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bookmarkEnd w:id="35"/>
      <w:bookmarkEnd w:id="36"/>
    </w:p>
    <w:tbl>
      <w:tblPr>
        <w:tblStyle w:val="33"/>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shd w:val="clear" w:color="auto" w:fill="FFFFFF"/>
                <w:lang w:val="en-US" w:eastAsia="zh-CN"/>
              </w:rPr>
              <w:t>交货</w:t>
            </w:r>
            <w:r>
              <w:rPr>
                <w:rFonts w:hint="eastAsia" w:ascii="宋体" w:hAnsi="宋体" w:eastAsia="宋体" w:cs="宋体"/>
                <w:bCs/>
                <w:color w:val="auto"/>
                <w:szCs w:val="21"/>
                <w:highlight w:val="none"/>
                <w:shd w:val="clear" w:color="auto" w:fill="FFFFFF"/>
                <w:lang w:val="en-US" w:eastAsia="zh-CN"/>
              </w:rPr>
              <w:t>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合同签订后25日内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32"/>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3"/>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val="en-US"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val="en-US"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6"/>
        <w:spacing w:before="0" w:after="0" w:line="240" w:lineRule="atLeast"/>
        <w:jc w:val="center"/>
        <w:rPr>
          <w:color w:val="auto"/>
          <w:sz w:val="32"/>
          <w:szCs w:val="32"/>
          <w:highlight w:val="none"/>
        </w:rPr>
      </w:pPr>
      <w:bookmarkStart w:id="54" w:name="_Toc14504"/>
      <w:r>
        <w:rPr>
          <w:rFonts w:hint="eastAsia"/>
          <w:color w:val="auto"/>
          <w:sz w:val="32"/>
          <w:szCs w:val="32"/>
          <w:highlight w:val="none"/>
        </w:rPr>
        <w:t>第三章  投标人须知</w:t>
      </w:r>
      <w:bookmarkEnd w:id="54"/>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Times New Roman" w:hAnsi="Times New Roman" w:cs="Times New Roman"/>
                <w:color w:val="auto"/>
                <w:highlight w:val="none"/>
              </w:rPr>
            </w:pPr>
            <w:r>
              <w:rPr>
                <w:rFonts w:hint="eastAsia"/>
                <w:color w:val="auto"/>
                <w:highlight w:val="none"/>
              </w:rPr>
              <w:t>1.1 项目名称：药物临床试验研究病房配备UPS电源采购项目</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470000.00</w:t>
            </w:r>
            <w:r>
              <w:rPr>
                <w:rFonts w:hint="eastAsia" w:ascii="宋体" w:hAnsi="宋体" w:cs="宋体"/>
                <w:color w:val="auto"/>
                <w:kern w:val="0"/>
                <w:szCs w:val="21"/>
                <w:highlight w:val="none"/>
              </w:rPr>
              <w:t>元</w:t>
            </w:r>
          </w:p>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val="en-US" w:eastAsia="zh-CN"/>
        </w:rPr>
        <w:t>供应商</w:t>
      </w:r>
      <w:r>
        <w:rPr>
          <w:rFonts w:hint="eastAsia" w:ascii="宋体" w:hAnsi="宋体" w:cs="宋体"/>
          <w:color w:val="auto"/>
          <w:kern w:val="0"/>
          <w:szCs w:val="21"/>
          <w:highlight w:val="none"/>
        </w:rPr>
        <w:t>”“投标人”系指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470000.00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4.2 供应商应提供2021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4.3 供应商须具有良好的商业信誉和完善的售后服务体系，并具有承担本项目的供货及服务能力，具有履行合同所必需的设备和专业技术能力（提供书面声明函）；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4.4 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lang w:val="en-US" w:eastAsia="zh-CN"/>
        </w:rPr>
        <w:t>4.5 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16.3、商务响应表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16.4、法定代表人身份证明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16.5、法定代表人授权书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16.6、证明文件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16.7、抵制商业贿赂承诺</w:t>
      </w:r>
    </w:p>
    <w:p>
      <w:pPr>
        <w:pStyle w:val="2"/>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16.8、投标人认为有必要的其他资料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55"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55"/>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56"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56"/>
    <w:p>
      <w:pPr>
        <w:rPr>
          <w:color w:val="auto"/>
          <w:highlight w:val="none"/>
        </w:rPr>
      </w:pPr>
      <w:bookmarkStart w:id="57" w:name="_Toc4700"/>
      <w:bookmarkStart w:id="58"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59" w:name="_Toc9022"/>
      <w:r>
        <w:rPr>
          <w:rFonts w:hint="eastAsia" w:ascii="黑体" w:hAnsi="宋体" w:eastAsia="黑体" w:cs="宋体"/>
          <w:b/>
          <w:bCs/>
          <w:color w:val="auto"/>
          <w:kern w:val="0"/>
          <w:sz w:val="32"/>
          <w:szCs w:val="32"/>
          <w:highlight w:val="none"/>
        </w:rPr>
        <w:t>第四章  评标办法及评分标准</w:t>
      </w:r>
      <w:bookmarkEnd w:id="57"/>
      <w:bookmarkEnd w:id="59"/>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0"/>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根据投标人</w:t>
            </w:r>
            <w:r>
              <w:rPr>
                <w:rFonts w:hint="eastAsia" w:ascii="宋体" w:hAnsi="宋体" w:cs="宋体"/>
                <w:b w:val="0"/>
                <w:bCs w:val="0"/>
                <w:color w:val="auto"/>
                <w:sz w:val="21"/>
                <w:szCs w:val="21"/>
                <w:highlight w:val="none"/>
                <w:lang w:val="en-US" w:eastAsia="zh-CN"/>
              </w:rPr>
              <w:t>所</w:t>
            </w:r>
            <w:r>
              <w:rPr>
                <w:rFonts w:hint="eastAsia" w:ascii="宋体" w:hAnsi="宋体" w:eastAsia="宋体" w:cs="宋体"/>
                <w:b w:val="0"/>
                <w:bCs w:val="0"/>
                <w:color w:val="auto"/>
                <w:sz w:val="21"/>
                <w:szCs w:val="21"/>
                <w:highlight w:val="none"/>
              </w:rPr>
              <w:t>附</w:t>
            </w:r>
            <w:r>
              <w:rPr>
                <w:rFonts w:hint="eastAsia" w:ascii="宋体" w:hAnsi="宋体" w:cs="宋体"/>
                <w:b w:val="0"/>
                <w:bCs w:val="0"/>
                <w:color w:val="auto"/>
                <w:sz w:val="21"/>
                <w:szCs w:val="21"/>
                <w:highlight w:val="none"/>
                <w:lang w:val="en-US" w:eastAsia="zh-CN"/>
              </w:rPr>
              <w:t>以下资料文件</w:t>
            </w:r>
            <w:r>
              <w:rPr>
                <w:rFonts w:hint="eastAsia" w:ascii="宋体" w:hAnsi="宋体" w:eastAsia="宋体" w:cs="宋体"/>
                <w:b w:val="0"/>
                <w:bCs w:val="0"/>
                <w:color w:val="auto"/>
                <w:sz w:val="21"/>
                <w:szCs w:val="21"/>
                <w:highlight w:val="none"/>
              </w:rPr>
              <w:t>进行打分</w:t>
            </w:r>
            <w:r>
              <w:rPr>
                <w:rFonts w:hint="eastAsia" w:ascii="宋体" w:hAnsi="宋体" w:cs="宋体"/>
                <w:b w:val="0"/>
                <w:bCs w:val="0"/>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rPr>
              <w:t>根据投标人</w:t>
            </w:r>
            <w:r>
              <w:rPr>
                <w:rFonts w:hint="eastAsia" w:ascii="宋体" w:hAnsi="宋体" w:cs="宋体"/>
                <w:b w:val="0"/>
                <w:bCs w:val="0"/>
                <w:color w:val="auto"/>
                <w:kern w:val="0"/>
                <w:sz w:val="21"/>
                <w:szCs w:val="21"/>
                <w:highlight w:val="none"/>
                <w:lang w:val="en-US" w:eastAsia="zh-CN"/>
              </w:rPr>
              <w:t>提供相关有效证件等资料的复印件</w:t>
            </w:r>
            <w:r>
              <w:rPr>
                <w:rFonts w:hint="eastAsia" w:ascii="宋体" w:hAnsi="宋体" w:cs="宋体"/>
                <w:b w:val="0"/>
                <w:bCs w:val="0"/>
                <w:color w:val="auto"/>
                <w:sz w:val="21"/>
                <w:szCs w:val="21"/>
                <w:highlight w:val="none"/>
                <w:lang w:val="en-US" w:eastAsia="zh-CN"/>
              </w:rPr>
              <w:t>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50"/>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2"/>
                <w:sz w:val="21"/>
                <w:szCs w:val="21"/>
                <w:highlight w:val="none"/>
                <w:lang w:val="en-US" w:eastAsia="zh-CN"/>
              </w:rPr>
              <w:t>进行打分</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58"/>
    <w:p>
      <w:pPr>
        <w:rPr>
          <w:color w:val="auto"/>
          <w:highlight w:val="none"/>
        </w:rPr>
      </w:pPr>
      <w:bookmarkStart w:id="60" w:name="_Toc1947"/>
      <w:bookmarkStart w:id="61" w:name="_Toc1482"/>
      <w:bookmarkStart w:id="62" w:name="_Toc256519703"/>
      <w:bookmarkStart w:id="63" w:name="_Toc326786897"/>
    </w:p>
    <w:p>
      <w:pPr>
        <w:pStyle w:val="6"/>
        <w:snapToGrid w:val="0"/>
        <w:spacing w:before="0" w:after="0" w:line="480" w:lineRule="auto"/>
        <w:jc w:val="center"/>
        <w:rPr>
          <w:color w:val="auto"/>
          <w:sz w:val="28"/>
          <w:szCs w:val="28"/>
          <w:highlight w:val="yellow"/>
        </w:rPr>
      </w:pPr>
      <w:bookmarkStart w:id="64" w:name="_Toc28988"/>
      <w:r>
        <w:rPr>
          <w:rFonts w:hint="eastAsia"/>
          <w:color w:val="auto"/>
          <w:sz w:val="28"/>
          <w:szCs w:val="28"/>
          <w:highlight w:val="none"/>
        </w:rPr>
        <w:t>第五章  采购合同</w:t>
      </w:r>
      <w:bookmarkEnd w:id="64"/>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2"/>
      </w:pPr>
    </w:p>
    <w:p>
      <w:pPr>
        <w:pStyle w:val="6"/>
        <w:jc w:val="center"/>
        <w:rPr>
          <w:rFonts w:ascii="宋体" w:hAnsi="宋体" w:cs="宋体"/>
          <w:color w:val="auto"/>
          <w:kern w:val="0"/>
          <w:highlight w:val="none"/>
        </w:rPr>
      </w:pPr>
      <w:bookmarkStart w:id="65" w:name="_Toc2638"/>
      <w:r>
        <w:rPr>
          <w:rFonts w:hint="eastAsia"/>
          <w:color w:val="auto"/>
          <w:sz w:val="32"/>
          <w:szCs w:val="32"/>
          <w:highlight w:val="none"/>
        </w:rPr>
        <w:t>第六章  投标文件格式</w:t>
      </w:r>
      <w:bookmarkEnd w:id="60"/>
      <w:bookmarkEnd w:id="61"/>
      <w:bookmarkEnd w:id="65"/>
    </w:p>
    <w:p>
      <w:pPr>
        <w:spacing w:line="440" w:lineRule="exact"/>
        <w:rPr>
          <w:color w:val="auto"/>
          <w:sz w:val="24"/>
          <w:highlight w:val="none"/>
        </w:rPr>
      </w:pPr>
    </w:p>
    <w:p>
      <w:pPr>
        <w:jc w:val="center"/>
        <w:rPr>
          <w:b/>
          <w:bCs/>
          <w:color w:val="auto"/>
          <w:sz w:val="32"/>
          <w:szCs w:val="32"/>
          <w:highlight w:val="none"/>
        </w:rPr>
      </w:pPr>
      <w:bookmarkStart w:id="66" w:name="_Toc13604"/>
      <w:r>
        <w:rPr>
          <w:rFonts w:hint="eastAsia"/>
          <w:b/>
          <w:bCs/>
          <w:color w:val="auto"/>
          <w:sz w:val="32"/>
          <w:szCs w:val="32"/>
          <w:highlight w:val="none"/>
        </w:rPr>
        <w:t>目    录</w:t>
      </w:r>
      <w:bookmarkEnd w:id="66"/>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67" w:name="_Toc11308"/>
      <w:r>
        <w:rPr>
          <w:rFonts w:hint="eastAsia"/>
          <w:color w:val="auto"/>
          <w:sz w:val="24"/>
          <w:highlight w:val="none"/>
        </w:rPr>
        <w:t>附件1投标文件封面（格式）</w:t>
      </w:r>
      <w:bookmarkEnd w:id="67"/>
    </w:p>
    <w:p>
      <w:pPr>
        <w:snapToGrid w:val="0"/>
        <w:spacing w:line="360" w:lineRule="auto"/>
        <w:ind w:firstLine="480" w:firstLineChars="200"/>
        <w:rPr>
          <w:color w:val="auto"/>
          <w:sz w:val="24"/>
          <w:highlight w:val="none"/>
        </w:rPr>
      </w:pPr>
      <w:bookmarkStart w:id="68" w:name="_Toc25345"/>
      <w:r>
        <w:rPr>
          <w:rFonts w:hint="eastAsia"/>
          <w:color w:val="auto"/>
          <w:sz w:val="24"/>
          <w:highlight w:val="none"/>
        </w:rPr>
        <w:t>附件2 投标书（格式）</w:t>
      </w:r>
      <w:bookmarkEnd w:id="68"/>
    </w:p>
    <w:p>
      <w:pPr>
        <w:snapToGrid w:val="0"/>
        <w:spacing w:line="360" w:lineRule="auto"/>
        <w:ind w:firstLine="480" w:firstLineChars="200"/>
        <w:rPr>
          <w:color w:val="auto"/>
          <w:sz w:val="24"/>
          <w:highlight w:val="none"/>
        </w:rPr>
      </w:pPr>
      <w:bookmarkStart w:id="69" w:name="_Toc10217"/>
      <w:r>
        <w:rPr>
          <w:rFonts w:hint="eastAsia"/>
          <w:color w:val="auto"/>
          <w:sz w:val="24"/>
          <w:highlight w:val="none"/>
        </w:rPr>
        <w:t>附件3 开标一览表（格式）</w:t>
      </w:r>
      <w:bookmarkEnd w:id="69"/>
    </w:p>
    <w:p>
      <w:pPr>
        <w:snapToGrid w:val="0"/>
        <w:spacing w:line="360" w:lineRule="auto"/>
        <w:ind w:firstLine="480" w:firstLineChars="200"/>
        <w:rPr>
          <w:color w:val="auto"/>
          <w:sz w:val="24"/>
          <w:highlight w:val="none"/>
        </w:rPr>
      </w:pPr>
      <w:bookmarkStart w:id="70" w:name="_Toc9579"/>
      <w:r>
        <w:rPr>
          <w:rFonts w:hint="eastAsia"/>
          <w:color w:val="auto"/>
          <w:sz w:val="24"/>
          <w:highlight w:val="none"/>
        </w:rPr>
        <w:t>附件4 投标报价明细表（格式）</w:t>
      </w:r>
      <w:bookmarkEnd w:id="70"/>
    </w:p>
    <w:p>
      <w:pPr>
        <w:snapToGrid w:val="0"/>
        <w:spacing w:line="360" w:lineRule="auto"/>
        <w:ind w:firstLine="480" w:firstLineChars="200"/>
        <w:rPr>
          <w:color w:val="auto"/>
          <w:sz w:val="24"/>
          <w:highlight w:val="none"/>
        </w:rPr>
      </w:pPr>
      <w:bookmarkStart w:id="71" w:name="_Toc28392"/>
      <w:r>
        <w:rPr>
          <w:rFonts w:hint="eastAsia"/>
          <w:color w:val="auto"/>
          <w:sz w:val="24"/>
          <w:highlight w:val="none"/>
        </w:rPr>
        <w:t>附件5技术响应表（格式）</w:t>
      </w:r>
      <w:bookmarkEnd w:id="71"/>
    </w:p>
    <w:p>
      <w:pPr>
        <w:snapToGrid w:val="0"/>
        <w:spacing w:line="360" w:lineRule="auto"/>
        <w:ind w:firstLine="480" w:firstLineChars="200"/>
        <w:rPr>
          <w:color w:val="auto"/>
          <w:sz w:val="24"/>
          <w:highlight w:val="none"/>
        </w:rPr>
      </w:pPr>
      <w:bookmarkStart w:id="72" w:name="_Toc6234"/>
      <w:r>
        <w:rPr>
          <w:rFonts w:hint="eastAsia"/>
          <w:color w:val="auto"/>
          <w:sz w:val="24"/>
          <w:highlight w:val="none"/>
        </w:rPr>
        <w:t>附件6 商务响应表（格式）</w:t>
      </w:r>
      <w:bookmarkEnd w:id="72"/>
    </w:p>
    <w:p>
      <w:pPr>
        <w:snapToGrid w:val="0"/>
        <w:spacing w:line="360" w:lineRule="auto"/>
        <w:ind w:firstLine="480" w:firstLineChars="200"/>
        <w:rPr>
          <w:color w:val="auto"/>
          <w:sz w:val="24"/>
          <w:highlight w:val="none"/>
        </w:rPr>
      </w:pPr>
      <w:bookmarkStart w:id="73"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73"/>
    </w:p>
    <w:p>
      <w:pPr>
        <w:snapToGrid w:val="0"/>
        <w:spacing w:line="360" w:lineRule="auto"/>
        <w:ind w:firstLine="480" w:firstLineChars="200"/>
        <w:rPr>
          <w:color w:val="auto"/>
          <w:sz w:val="24"/>
          <w:highlight w:val="none"/>
        </w:rPr>
      </w:pPr>
      <w:bookmarkStart w:id="74"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74"/>
    </w:p>
    <w:p>
      <w:pPr>
        <w:snapToGrid w:val="0"/>
        <w:spacing w:line="360" w:lineRule="auto"/>
        <w:ind w:firstLine="480" w:firstLineChars="200"/>
        <w:rPr>
          <w:color w:val="auto"/>
          <w:sz w:val="24"/>
          <w:highlight w:val="none"/>
        </w:rPr>
      </w:pPr>
      <w:bookmarkStart w:id="75" w:name="_Toc31857"/>
      <w:r>
        <w:rPr>
          <w:rFonts w:hint="eastAsia"/>
          <w:color w:val="auto"/>
          <w:sz w:val="24"/>
          <w:highlight w:val="none"/>
        </w:rPr>
        <w:t>附件9 证明文件</w:t>
      </w:r>
      <w:bookmarkEnd w:id="75"/>
    </w:p>
    <w:p>
      <w:pPr>
        <w:snapToGrid w:val="0"/>
        <w:spacing w:line="360" w:lineRule="auto"/>
        <w:ind w:firstLine="480" w:firstLineChars="200"/>
        <w:rPr>
          <w:rFonts w:hint="eastAsia"/>
          <w:color w:val="auto"/>
          <w:sz w:val="24"/>
          <w:highlight w:val="none"/>
        </w:rPr>
      </w:pPr>
      <w:bookmarkStart w:id="76" w:name="_Toc23116"/>
      <w:r>
        <w:rPr>
          <w:rFonts w:hint="eastAsia"/>
          <w:color w:val="auto"/>
          <w:sz w:val="24"/>
          <w:highlight w:val="none"/>
        </w:rPr>
        <w:t>附件10 供应商承诺书（格式）</w:t>
      </w:r>
      <w:bookmarkEnd w:id="76"/>
    </w:p>
    <w:p>
      <w:pPr>
        <w:snapToGrid w:val="0"/>
        <w:spacing w:line="360" w:lineRule="auto"/>
        <w:ind w:firstLine="480" w:firstLineChars="200"/>
        <w:rPr>
          <w:rFonts w:hint="eastAsia"/>
          <w:color w:val="auto"/>
          <w:sz w:val="24"/>
          <w:highlight w:val="none"/>
        </w:rPr>
      </w:pPr>
      <w:r>
        <w:rPr>
          <w:rFonts w:hint="eastAsia"/>
          <w:color w:val="auto"/>
          <w:sz w:val="24"/>
          <w:highlight w:val="none"/>
          <w:lang w:val="en-US" w:eastAsia="zh-CN"/>
        </w:rPr>
        <w:t xml:space="preserve">附件11 </w:t>
      </w:r>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3"/>
        <w:rPr>
          <w:rFonts w:ascii="宋体" w:hAnsi="宋体" w:cs="宋体"/>
          <w:b/>
          <w:bCs/>
          <w:color w:val="auto"/>
          <w:kern w:val="0"/>
          <w:sz w:val="24"/>
          <w:highlight w:val="none"/>
        </w:rPr>
      </w:pPr>
    </w:p>
    <w:p>
      <w:pPr>
        <w:pStyle w:val="50"/>
        <w:rPr>
          <w:rFonts w:hAnsi="宋体"/>
          <w:b/>
          <w:bCs/>
          <w:color w:val="auto"/>
          <w:highlight w:val="none"/>
        </w:rPr>
      </w:pPr>
    </w:p>
    <w:p>
      <w:pPr>
        <w:pStyle w:val="50"/>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7"/>
        <w:rPr>
          <w:color w:val="auto"/>
          <w:highlight w:val="none"/>
        </w:rPr>
      </w:pPr>
      <w:bookmarkStart w:id="77" w:name="_Toc31798"/>
      <w:bookmarkStart w:id="78" w:name="_Toc24743"/>
      <w:r>
        <w:rPr>
          <w:rFonts w:hint="eastAsia"/>
          <w:color w:val="auto"/>
          <w:highlight w:val="none"/>
        </w:rPr>
        <w:t>附件1               投标文件封面（格式）</w:t>
      </w:r>
      <w:bookmarkEnd w:id="77"/>
      <w:bookmarkEnd w:id="7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0"/>
        <w:spacing w:line="360" w:lineRule="auto"/>
        <w:rPr>
          <w:rFonts w:hint="eastAsia" w:ascii="宋体" w:hAnsi="宋体" w:eastAsia="宋体" w:cs="宋体"/>
          <w:color w:val="auto"/>
          <w:highlight w:val="none"/>
        </w:rPr>
      </w:pPr>
    </w:p>
    <w:p>
      <w:pPr>
        <w:pStyle w:val="50"/>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7"/>
        <w:rPr>
          <w:color w:val="auto"/>
          <w:highlight w:val="none"/>
        </w:rPr>
      </w:pPr>
      <w:bookmarkStart w:id="79" w:name="_Toc14560"/>
      <w:bookmarkStart w:id="80" w:name="_Toc8818"/>
      <w:r>
        <w:rPr>
          <w:rFonts w:hint="eastAsia"/>
          <w:color w:val="auto"/>
          <w:highlight w:val="none"/>
        </w:rPr>
        <w:t>附件2               投  标  书（格式）</w:t>
      </w:r>
      <w:bookmarkEnd w:id="79"/>
      <w:bookmarkEnd w:id="8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7"/>
        <w:spacing w:before="20" w:after="20"/>
        <w:rPr>
          <w:color w:val="auto"/>
          <w:highlight w:val="none"/>
        </w:rPr>
      </w:pPr>
      <w:bookmarkStart w:id="81" w:name="_Toc7838"/>
      <w:r>
        <w:rPr>
          <w:rFonts w:hint="eastAsia"/>
          <w:color w:val="auto"/>
          <w:highlight w:val="none"/>
        </w:rPr>
        <w:t>附件3               开标一览表</w:t>
      </w:r>
      <w:bookmarkEnd w:id="81"/>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交货时间</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82" w:name="_Toc11620"/>
      <w:bookmarkStart w:id="83" w:name="_Toc20877"/>
      <w:r>
        <w:rPr>
          <w:rFonts w:hint="eastAsia" w:ascii="宋体" w:hAnsi="宋体"/>
          <w:color w:val="auto"/>
          <w:szCs w:val="21"/>
          <w:highlight w:val="none"/>
        </w:rPr>
        <w:t>投标人（全称并加盖公章）：</w:t>
      </w:r>
      <w:bookmarkEnd w:id="82"/>
      <w:bookmarkEnd w:id="8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84" w:name="_Toc625"/>
      <w:bookmarkStart w:id="85" w:name="_Toc12222"/>
      <w:r>
        <w:rPr>
          <w:rFonts w:hint="eastAsia" w:ascii="宋体" w:hAnsi="宋体"/>
          <w:color w:val="auto"/>
          <w:szCs w:val="21"/>
          <w:highlight w:val="none"/>
        </w:rPr>
        <w:t>法定代表人或其委托代理人（签字）：</w:t>
      </w:r>
      <w:bookmarkEnd w:id="84"/>
      <w:bookmarkEnd w:id="85"/>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86" w:name="_Toc1330"/>
      <w:bookmarkStart w:id="87" w:name="_Toc9950"/>
      <w:r>
        <w:rPr>
          <w:rFonts w:hint="eastAsia" w:ascii="宋体" w:hAnsi="宋体"/>
          <w:color w:val="auto"/>
          <w:szCs w:val="21"/>
          <w:highlight w:val="none"/>
        </w:rPr>
        <w:t>年  月  日</w:t>
      </w:r>
      <w:bookmarkEnd w:id="86"/>
      <w:bookmarkEnd w:id="87"/>
    </w:p>
    <w:p>
      <w:pPr>
        <w:rPr>
          <w:color w:val="auto"/>
          <w:highlight w:val="none"/>
        </w:rPr>
      </w:pPr>
      <w:r>
        <w:rPr>
          <w:color w:val="auto"/>
          <w:highlight w:val="none"/>
        </w:rPr>
        <w:br w:type="page"/>
      </w:r>
    </w:p>
    <w:p>
      <w:pPr>
        <w:rPr>
          <w:color w:val="auto"/>
          <w:highlight w:val="none"/>
        </w:rPr>
      </w:pPr>
    </w:p>
    <w:bookmarkEnd w:id="62"/>
    <w:bookmarkEnd w:id="63"/>
    <w:p>
      <w:pPr>
        <w:pStyle w:val="7"/>
        <w:spacing w:before="20" w:after="20"/>
        <w:rPr>
          <w:color w:val="auto"/>
          <w:highlight w:val="none"/>
        </w:rPr>
      </w:pPr>
      <w:bookmarkStart w:id="88" w:name="_Toc22004"/>
      <w:bookmarkStart w:id="89" w:name="_Toc24984"/>
      <w:r>
        <w:rPr>
          <w:rFonts w:hint="eastAsia"/>
          <w:color w:val="auto"/>
          <w:highlight w:val="none"/>
        </w:rPr>
        <w:t>附件4               报价明细表</w:t>
      </w:r>
      <w:bookmarkEnd w:id="88"/>
      <w:bookmarkEnd w:id="89"/>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541" w:type="dxa"/>
        <w:tblInd w:w="2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8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8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61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7"/>
        <w:rPr>
          <w:color w:val="auto"/>
          <w:highlight w:val="none"/>
        </w:rPr>
      </w:pPr>
      <w:r>
        <w:rPr>
          <w:rFonts w:hint="eastAsia"/>
          <w:color w:val="auto"/>
          <w:highlight w:val="none"/>
        </w:rPr>
        <w:br w:type="page"/>
      </w:r>
      <w:bookmarkStart w:id="90" w:name="_Toc226"/>
      <w:bookmarkStart w:id="91" w:name="_Toc15804"/>
      <w:r>
        <w:rPr>
          <w:rFonts w:hint="eastAsia"/>
          <w:color w:val="auto"/>
          <w:highlight w:val="none"/>
        </w:rPr>
        <w:t>附件5               技术响应表（格式）</w:t>
      </w:r>
      <w:bookmarkEnd w:id="90"/>
      <w:bookmarkEnd w:id="91"/>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ascii="Arial" w:hAnsi="Arial" w:eastAsia="新宋体"/>
          <w:b/>
          <w:color w:val="auto"/>
          <w:sz w:val="28"/>
          <w:highlight w:val="none"/>
        </w:rPr>
      </w:pPr>
      <w:bookmarkStart w:id="92" w:name="_Toc20420"/>
      <w:bookmarkStart w:id="93" w:name="_Toc29960"/>
      <w:r>
        <w:rPr>
          <w:rFonts w:hint="eastAsia" w:ascii="Arial" w:hAnsi="Arial" w:eastAsia="新宋体"/>
          <w:b/>
          <w:color w:val="auto"/>
          <w:sz w:val="28"/>
          <w:highlight w:val="none"/>
        </w:rPr>
        <w:t>附件6               商务响应表（格式）</w:t>
      </w:r>
      <w:bookmarkEnd w:id="92"/>
      <w:bookmarkEnd w:id="93"/>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7"/>
        <w:gridCol w:w="2698"/>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项目</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lang w:val="en-US" w:eastAsia="zh-CN"/>
              </w:rPr>
              <w:t>采购</w:t>
            </w:r>
            <w:r>
              <w:rPr>
                <w:rFonts w:hint="eastAsia"/>
                <w:color w:val="auto"/>
                <w:sz w:val="24"/>
                <w:highlight w:val="none"/>
              </w:rPr>
              <w:t>文件要求</w:t>
            </w: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响应情况</w:t>
            </w: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质保期</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r>
              <w:rPr>
                <w:rFonts w:hint="eastAsia"/>
                <w:color w:val="auto"/>
                <w:sz w:val="24"/>
                <w:highlight w:val="none"/>
              </w:rPr>
              <w:t>质量要求</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1547" w:type="dxa"/>
            <w:tcBorders>
              <w:top w:val="single" w:color="auto" w:sz="4" w:space="0"/>
              <w:left w:val="single" w:color="auto" w:sz="4" w:space="0"/>
              <w:right w:val="single" w:color="auto" w:sz="4" w:space="0"/>
            </w:tcBorders>
            <w:vAlign w:val="center"/>
          </w:tcPr>
          <w:p>
            <w:pPr>
              <w:spacing w:line="0" w:lineRule="atLeast"/>
              <w:jc w:val="center"/>
              <w:rPr>
                <w:rFonts w:hint="default" w:eastAsia="宋体"/>
                <w:color w:val="auto"/>
                <w:sz w:val="24"/>
                <w:highlight w:val="none"/>
                <w:lang w:val="en-US" w:eastAsia="zh-CN"/>
              </w:rPr>
            </w:pPr>
            <w:r>
              <w:rPr>
                <w:rFonts w:hint="eastAsia"/>
                <w:color w:val="auto"/>
                <w:sz w:val="24"/>
                <w:highlight w:val="none"/>
                <w:lang w:val="en-US" w:eastAsia="zh-CN"/>
              </w:rPr>
              <w:t>交货地点</w:t>
            </w:r>
          </w:p>
        </w:tc>
        <w:tc>
          <w:tcPr>
            <w:tcW w:w="269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交货时间</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合同签订</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付款方式</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54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c>
          <w:tcPr>
            <w:tcW w:w="30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color w:val="auto"/>
                <w:sz w:val="24"/>
                <w:highlight w:val="none"/>
              </w:rPr>
            </w:pPr>
          </w:p>
        </w:tc>
      </w:tr>
    </w:tbl>
    <w:p>
      <w:pPr>
        <w:widowControl/>
        <w:wordWrap w:val="0"/>
        <w:snapToGrid w:val="0"/>
        <w:spacing w:before="50" w:line="480" w:lineRule="auto"/>
        <w:jc w:val="left"/>
        <w:rPr>
          <w:rFonts w:ascii="仿宋_GB2312" w:cs="宋体"/>
          <w:color w:val="auto"/>
          <w:kern w:val="0"/>
          <w:sz w:val="24"/>
          <w:highlight w:val="none"/>
        </w:rPr>
      </w:pPr>
    </w:p>
    <w:p>
      <w:pPr>
        <w:widowControl/>
        <w:wordWrap w:val="0"/>
        <w:spacing w:line="460" w:lineRule="exact"/>
        <w:ind w:firstLine="2400" w:firstLineChars="10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pacing w:line="460" w:lineRule="exact"/>
        <w:ind w:firstLine="2280" w:firstLineChars="9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 投标人：（全称并加盖公章）</w:t>
      </w:r>
    </w:p>
    <w:p>
      <w:pPr>
        <w:widowControl/>
        <w:wordWrap w:val="0"/>
        <w:snapToGrid w:val="0"/>
        <w:spacing w:before="156" w:after="156"/>
        <w:ind w:firstLine="42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94" w:name="_Toc28621"/>
      <w:bookmarkStart w:id="95" w:name="_Toc31526"/>
      <w:r>
        <w:rPr>
          <w:rFonts w:hint="eastAsia" w:ascii="Arial" w:hAnsi="Arial" w:eastAsia="新宋体"/>
          <w:b/>
          <w:color w:val="auto"/>
          <w:sz w:val="28"/>
          <w:highlight w:val="none"/>
        </w:rPr>
        <w:t>附件7               法定代表人身份证明（格式）</w:t>
      </w:r>
      <w:bookmarkEnd w:id="94"/>
      <w:bookmarkEnd w:id="95"/>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96" w:name="_Toc13976"/>
      <w:bookmarkStart w:id="97" w:name="_Toc30519"/>
      <w:r>
        <w:rPr>
          <w:rFonts w:hint="eastAsia" w:ascii="Arial" w:hAnsi="Arial" w:eastAsia="新宋体"/>
          <w:b/>
          <w:color w:val="auto"/>
          <w:sz w:val="28"/>
          <w:highlight w:val="none"/>
        </w:rPr>
        <w:t>附件8               法定代表人授权书（格式）</w:t>
      </w:r>
      <w:bookmarkEnd w:id="96"/>
      <w:bookmarkEnd w:id="97"/>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98" w:name="_Toc18105"/>
      <w:bookmarkStart w:id="99" w:name="_Toc24693"/>
      <w:r>
        <w:rPr>
          <w:rFonts w:hint="eastAsia" w:ascii="Arial" w:hAnsi="Arial" w:eastAsia="新宋体"/>
          <w:b/>
          <w:color w:val="auto"/>
          <w:sz w:val="28"/>
          <w:highlight w:val="none"/>
        </w:rPr>
        <w:t>附件9               证明文件</w:t>
      </w:r>
      <w:bookmarkEnd w:id="98"/>
      <w:bookmarkEnd w:id="99"/>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100" w:name="_Toc17966"/>
    </w:p>
    <w:p>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1"/>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1"/>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101" w:name="_Toc12888"/>
      <w:bookmarkStart w:id="102" w:name="_Toc13726"/>
      <w:r>
        <w:rPr>
          <w:rFonts w:hint="eastAsia" w:ascii="宋体" w:hAnsi="宋体" w:cs="Lucida Sans Unicode"/>
          <w:b/>
          <w:color w:val="auto"/>
          <w:kern w:val="0"/>
          <w:sz w:val="28"/>
          <w:szCs w:val="28"/>
          <w:highlight w:val="none"/>
        </w:rPr>
        <w:t xml:space="preserve">附件10        </w:t>
      </w:r>
      <w:bookmarkEnd w:id="100"/>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101"/>
      <w:bookmarkEnd w:id="102"/>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lang w:val="en-US" w:eastAsia="zh-CN"/>
        </w:rPr>
        <w:t>公司名称</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1"/>
          <w:szCs w:val="21"/>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附件11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1．我方已经过详细市场调查，本次所投报产品货源充足，保证不会出现无货、断货现象。</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将严格履行采购文件中规定的每一项要求，按所投产品的品牌、型号及约定的交货（完工）期保质、保量提供货物和相关服务，保证所提供的所有产品均符合国家相关标准规范或强制性规定，所供产品均为原厂生产的合格产品、符合采购文件各项技术参数要求的规定，绝不提供假冒伪劣产品，如需要我方可以提供相关出厂合格证明或测试报告；</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3．如无法按我方承诺期限如期供货，我方愿接受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扣除本项目履约保证金的处理,对</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造成损失的,我方愿承担相应赔偿责任；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验收时如发现我方所供产品与投标文件中所承诺的产品型号、规格、技术参数要求不符的，我方将立即无条件更换。如因此造成交货期超出我方承诺期限的，我方接受</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扣除履约保证金的处理，同时愿承担合同约定的违约责任；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5．我方提供的产品如不能满足采购文件要求的，</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有权拒绝接收；</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如评标委员会确定我方为本项目的中标（成交）候选人或中标人，在公示期内或领取中标（成交）通知书后，我方无正当理由（如自身报价失误、无法组织及时供货、资金不到位、账户无法正常使用等）放弃中标（成交）候选人资格或中标资格，我方愿接受财政部门做出的</w:t>
      </w:r>
      <w:r>
        <w:rPr>
          <w:rFonts w:hint="eastAsia" w:ascii="宋体" w:hAnsi="宋体" w:eastAsia="宋体" w:cs="宋体"/>
          <w:color w:val="auto"/>
          <w:highlight w:val="none"/>
          <w:lang w:val="en-US" w:eastAsia="zh-CN"/>
        </w:rPr>
        <w:t>处罚决定</w:t>
      </w:r>
      <w:r>
        <w:rPr>
          <w:rFonts w:hint="eastAsia" w:ascii="宋体" w:hAnsi="宋体" w:eastAsia="宋体" w:cs="宋体"/>
          <w:color w:val="auto"/>
          <w:highlight w:val="none"/>
        </w:rPr>
        <w:t>；</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7．我方已详细阅读了本</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文件，保证可以完全响应</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文件中所有商务、技术要求，并理解你方或评标委员会对我方进行资格审查的权利，如在资格审查中发现我方存在有违规行为愿承担相应法律责任。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
      </w:pPr>
    </w:p>
    <w:p>
      <w:pPr>
        <w:widowControl/>
        <w:snapToGrid w:val="0"/>
        <w:spacing w:line="360" w:lineRule="auto"/>
        <w:jc w:val="center"/>
        <w:outlineLvl w:val="0"/>
        <w:rPr>
          <w:rFonts w:ascii="宋体" w:hAnsi="宋体" w:cs="Lucida Sans Unicode"/>
          <w:b/>
          <w:color w:val="auto"/>
          <w:kern w:val="0"/>
          <w:sz w:val="24"/>
          <w:highlight w:val="none"/>
        </w:rPr>
      </w:pPr>
      <w:bookmarkStart w:id="103" w:name="_Toc25094"/>
      <w:bookmarkStart w:id="104" w:name="_Toc23394"/>
      <w:r>
        <w:rPr>
          <w:rFonts w:hint="eastAsia" w:ascii="宋体" w:hAnsi="宋体" w:cs="Lucida Sans Unicode"/>
          <w:b/>
          <w:color w:val="auto"/>
          <w:kern w:val="0"/>
          <w:sz w:val="24"/>
          <w:highlight w:val="none"/>
        </w:rPr>
        <w:t>投标人认为有必要的其他资料</w:t>
      </w:r>
      <w:bookmarkEnd w:id="103"/>
      <w:bookmarkEnd w:id="104"/>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center"/>
        <w:rPr>
          <w:b/>
          <w:bCs/>
          <w:color w:val="auto"/>
          <w:sz w:val="28"/>
          <w:szCs w:val="28"/>
          <w:highlight w:val="none"/>
        </w:rPr>
      </w:pPr>
    </w:p>
    <w:p>
      <w:pPr>
        <w:pStyle w:val="11"/>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cs="宋体"/>
        <w:lang w:eastAsia="zh-CN"/>
      </w:rPr>
      <w:t>药物临床试验研究病房配备UPS电源</w:t>
    </w:r>
    <w:r>
      <w:rPr>
        <w:rFonts w:hint="eastAsia" w:ascii="宋体" w:hAnsi="宋体" w:eastAsia="宋体" w:cs="宋体"/>
        <w:lang w:val="en-US" w:eastAsia="zh-CN"/>
      </w:rPr>
      <w:t>采购项目采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rPr>
    </w:pPr>
    <w:r>
      <w:rPr>
        <w:rFonts w:hint="eastAsia"/>
      </w:rPr>
      <w:t xml:space="preserve">     </w:t>
    </w:r>
    <w:r>
      <w:rPr>
        <w:rFonts w:hint="eastAsia" w:ascii="宋体" w:hAnsi="宋体" w:cs="宋体"/>
        <w:lang w:eastAsia="zh-CN"/>
      </w:rPr>
      <w:t>药物临床试验研究病房配备UPS电源</w:t>
    </w:r>
    <w:r>
      <w:rPr>
        <w:rFonts w:hint="eastAsia" w:ascii="宋体" w:hAnsi="宋体" w:eastAsia="宋体" w:cs="宋体"/>
        <w:lang w:val="en-US" w:eastAsia="zh-CN"/>
      </w:rPr>
      <w:t>采购项目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5C1F04DF"/>
    <w:multiLevelType w:val="singleLevel"/>
    <w:tmpl w:val="5C1F04DF"/>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04B36"/>
    <w:rsid w:val="036A009A"/>
    <w:rsid w:val="03844805"/>
    <w:rsid w:val="03845791"/>
    <w:rsid w:val="03A011E9"/>
    <w:rsid w:val="03AE7F27"/>
    <w:rsid w:val="03BD2BCD"/>
    <w:rsid w:val="04416C20"/>
    <w:rsid w:val="047968B1"/>
    <w:rsid w:val="04870542"/>
    <w:rsid w:val="0516182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65110A"/>
    <w:rsid w:val="078E18EB"/>
    <w:rsid w:val="07A86C94"/>
    <w:rsid w:val="07B10EA5"/>
    <w:rsid w:val="07CE3FA1"/>
    <w:rsid w:val="07EC2ECB"/>
    <w:rsid w:val="07FE66CB"/>
    <w:rsid w:val="080B4D47"/>
    <w:rsid w:val="08321601"/>
    <w:rsid w:val="083622CC"/>
    <w:rsid w:val="083D5C91"/>
    <w:rsid w:val="0847191F"/>
    <w:rsid w:val="08591DC3"/>
    <w:rsid w:val="087C4541"/>
    <w:rsid w:val="087E5595"/>
    <w:rsid w:val="08C52D6F"/>
    <w:rsid w:val="08EF0201"/>
    <w:rsid w:val="08F41DE8"/>
    <w:rsid w:val="09737462"/>
    <w:rsid w:val="099156C3"/>
    <w:rsid w:val="09A53F39"/>
    <w:rsid w:val="09A60E13"/>
    <w:rsid w:val="09D206F0"/>
    <w:rsid w:val="0A321AC2"/>
    <w:rsid w:val="0A343D4E"/>
    <w:rsid w:val="0A3E6D2E"/>
    <w:rsid w:val="0AD13A85"/>
    <w:rsid w:val="0B091954"/>
    <w:rsid w:val="0B637D77"/>
    <w:rsid w:val="0BAC324F"/>
    <w:rsid w:val="0BC814CA"/>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03C2B"/>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9118CC"/>
    <w:rsid w:val="18AD1BEB"/>
    <w:rsid w:val="18B3004A"/>
    <w:rsid w:val="18B96080"/>
    <w:rsid w:val="18CE3C9C"/>
    <w:rsid w:val="18F67868"/>
    <w:rsid w:val="190B2D88"/>
    <w:rsid w:val="190E6B63"/>
    <w:rsid w:val="19123928"/>
    <w:rsid w:val="19194264"/>
    <w:rsid w:val="19420786"/>
    <w:rsid w:val="19427EC0"/>
    <w:rsid w:val="195711D7"/>
    <w:rsid w:val="195D2A3F"/>
    <w:rsid w:val="198310E9"/>
    <w:rsid w:val="198D747A"/>
    <w:rsid w:val="19A15638"/>
    <w:rsid w:val="1A125525"/>
    <w:rsid w:val="1A562AB7"/>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DA6D68"/>
    <w:rsid w:val="1C555978"/>
    <w:rsid w:val="1C6554A1"/>
    <w:rsid w:val="1C7971B7"/>
    <w:rsid w:val="1CD402EC"/>
    <w:rsid w:val="1CDC2585"/>
    <w:rsid w:val="1CF02333"/>
    <w:rsid w:val="1D0C33A2"/>
    <w:rsid w:val="1D113E6E"/>
    <w:rsid w:val="1D114E5E"/>
    <w:rsid w:val="1D1A7DC4"/>
    <w:rsid w:val="1D1F0050"/>
    <w:rsid w:val="1D2222DC"/>
    <w:rsid w:val="1D5B3CDE"/>
    <w:rsid w:val="1D6E2950"/>
    <w:rsid w:val="1D98209B"/>
    <w:rsid w:val="1DA23746"/>
    <w:rsid w:val="1DAA14B9"/>
    <w:rsid w:val="1DD04513"/>
    <w:rsid w:val="1DF8442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747CD2"/>
    <w:rsid w:val="219E5782"/>
    <w:rsid w:val="21B31737"/>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FD7DB9"/>
    <w:rsid w:val="2F1A081D"/>
    <w:rsid w:val="2F1E3DC0"/>
    <w:rsid w:val="2F3112DE"/>
    <w:rsid w:val="2F3B6922"/>
    <w:rsid w:val="2F506C6D"/>
    <w:rsid w:val="2F51291F"/>
    <w:rsid w:val="2F55758A"/>
    <w:rsid w:val="2F7F15AE"/>
    <w:rsid w:val="2FA54796"/>
    <w:rsid w:val="2FA674E2"/>
    <w:rsid w:val="2FFE7D49"/>
    <w:rsid w:val="302A5C42"/>
    <w:rsid w:val="303E14AB"/>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75698A"/>
    <w:rsid w:val="32B943E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C927EC"/>
    <w:rsid w:val="35DB09A6"/>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166A26"/>
    <w:rsid w:val="392536E2"/>
    <w:rsid w:val="39465F15"/>
    <w:rsid w:val="396453C5"/>
    <w:rsid w:val="39922CCF"/>
    <w:rsid w:val="39A65327"/>
    <w:rsid w:val="39A65C9B"/>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923660"/>
    <w:rsid w:val="3BCA44BE"/>
    <w:rsid w:val="3C061F3A"/>
    <w:rsid w:val="3C495480"/>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A44A5A"/>
    <w:rsid w:val="41B7239D"/>
    <w:rsid w:val="41FF3845"/>
    <w:rsid w:val="42027AB1"/>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032B8B"/>
    <w:rsid w:val="473E61A6"/>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E92F27"/>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C84335"/>
    <w:rsid w:val="4CE9350A"/>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11603C"/>
    <w:rsid w:val="50550E55"/>
    <w:rsid w:val="509F43E4"/>
    <w:rsid w:val="50A54D3E"/>
    <w:rsid w:val="50F1402B"/>
    <w:rsid w:val="50FD2AD9"/>
    <w:rsid w:val="51097D9A"/>
    <w:rsid w:val="51237D2E"/>
    <w:rsid w:val="51996737"/>
    <w:rsid w:val="51B408B8"/>
    <w:rsid w:val="51CC0868"/>
    <w:rsid w:val="51D5340F"/>
    <w:rsid w:val="521F1984"/>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10F9B"/>
    <w:rsid w:val="551D586C"/>
    <w:rsid w:val="55200298"/>
    <w:rsid w:val="55335E1B"/>
    <w:rsid w:val="554B7EF0"/>
    <w:rsid w:val="556F3D99"/>
    <w:rsid w:val="55860894"/>
    <w:rsid w:val="55862556"/>
    <w:rsid w:val="55A236DE"/>
    <w:rsid w:val="55B02DF1"/>
    <w:rsid w:val="55DC290C"/>
    <w:rsid w:val="55F01FA1"/>
    <w:rsid w:val="56990B7C"/>
    <w:rsid w:val="569E1126"/>
    <w:rsid w:val="56B80DEB"/>
    <w:rsid w:val="56E06E61"/>
    <w:rsid w:val="56F653FE"/>
    <w:rsid w:val="575B7AFD"/>
    <w:rsid w:val="57660D3F"/>
    <w:rsid w:val="57AA5936"/>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50CF9"/>
    <w:rsid w:val="5B1F7B5D"/>
    <w:rsid w:val="5B585171"/>
    <w:rsid w:val="5B585B78"/>
    <w:rsid w:val="5B9A2B59"/>
    <w:rsid w:val="5BC0085A"/>
    <w:rsid w:val="5BF03D58"/>
    <w:rsid w:val="5C1A6BB2"/>
    <w:rsid w:val="5C5355FE"/>
    <w:rsid w:val="5C6F4105"/>
    <w:rsid w:val="5CBB7F6F"/>
    <w:rsid w:val="5D7C3F11"/>
    <w:rsid w:val="5D9D49E0"/>
    <w:rsid w:val="5DDF1821"/>
    <w:rsid w:val="5DEA2F91"/>
    <w:rsid w:val="5E3146A3"/>
    <w:rsid w:val="5E442F62"/>
    <w:rsid w:val="5E6C2C5B"/>
    <w:rsid w:val="5E7251A2"/>
    <w:rsid w:val="5E7C3591"/>
    <w:rsid w:val="5E9D0E18"/>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A90D68"/>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1023E"/>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36320"/>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B7EF6"/>
    <w:rsid w:val="72AF6F7E"/>
    <w:rsid w:val="73047904"/>
    <w:rsid w:val="734C1A6A"/>
    <w:rsid w:val="735C5949"/>
    <w:rsid w:val="73737DA5"/>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340C9A"/>
    <w:rsid w:val="7D480B34"/>
    <w:rsid w:val="7D9005BC"/>
    <w:rsid w:val="7D9F0AD0"/>
    <w:rsid w:val="7DAD1E9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6" w:lineRule="auto"/>
      <w:outlineLvl w:val="0"/>
    </w:pPr>
    <w:rPr>
      <w:b/>
      <w:bCs/>
      <w:kern w:val="44"/>
      <w:sz w:val="44"/>
      <w:szCs w:val="44"/>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widowControl/>
      <w:spacing w:beforeAutospacing="1" w:afterAutospacing="1"/>
      <w:jc w:val="left"/>
    </w:pPr>
    <w:rPr>
      <w:rFonts w:ascii="宋体" w:hAnsi="宋体" w:cs="宋体"/>
      <w:kern w:val="0"/>
      <w:sz w:val="24"/>
    </w:rPr>
  </w:style>
  <w:style w:type="paragraph" w:customStyle="1" w:styleId="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
    <w:name w:val="样式 正文首行缩进 2 + Arial"/>
    <w:basedOn w:val="1"/>
    <w:next w:val="1"/>
    <w:qFormat/>
    <w:uiPriority w:val="0"/>
    <w:pPr>
      <w:spacing w:after="120" w:line="320" w:lineRule="atLeast"/>
      <w:ind w:firstLine="200" w:firstLineChars="200"/>
    </w:pPr>
    <w:rPr>
      <w:rFonts w:ascii="Arial" w:hAnsi="Arial"/>
      <w:kern w:val="0"/>
    </w:rPr>
  </w:style>
  <w:style w:type="paragraph" w:styleId="10">
    <w:name w:val="List Number"/>
    <w:basedOn w:val="1"/>
    <w:qFormat/>
    <w:uiPriority w:val="0"/>
    <w:pPr>
      <w:widowControl/>
      <w:spacing w:beforeAutospacing="1" w:afterAutospacing="1"/>
      <w:jc w:val="left"/>
    </w:pPr>
    <w:rPr>
      <w:rFonts w:ascii="宋体" w:hAnsi="宋体" w:cs="宋体"/>
      <w:kern w:val="0"/>
      <w:sz w:val="24"/>
    </w:rPr>
  </w:style>
  <w:style w:type="paragraph" w:styleId="11">
    <w:name w:val="Normal Indent"/>
    <w:basedOn w:val="1"/>
    <w:next w:val="12"/>
    <w:qFormat/>
    <w:uiPriority w:val="0"/>
    <w:pPr>
      <w:widowControl/>
      <w:spacing w:beforeAutospacing="1" w:afterAutospacing="1"/>
      <w:jc w:val="left"/>
    </w:pPr>
    <w:rPr>
      <w:rFonts w:ascii="宋体" w:hAnsi="宋体" w:cs="宋体"/>
      <w:kern w:val="0"/>
      <w:sz w:val="24"/>
    </w:rPr>
  </w:style>
  <w:style w:type="paragraph" w:styleId="12">
    <w:name w:val="Body Text 2"/>
    <w:basedOn w:val="1"/>
    <w:next w:val="13"/>
    <w:qFormat/>
    <w:uiPriority w:val="0"/>
    <w:pPr>
      <w:spacing w:line="480" w:lineRule="auto"/>
    </w:pPr>
  </w:style>
  <w:style w:type="paragraph" w:styleId="13">
    <w:name w:val="Body Text"/>
    <w:basedOn w:val="1"/>
    <w:next w:val="1"/>
    <w:link w:val="73"/>
    <w:qFormat/>
    <w:uiPriority w:val="0"/>
  </w:style>
  <w:style w:type="paragraph" w:styleId="14">
    <w:name w:val="Document Map"/>
    <w:basedOn w:val="1"/>
    <w:link w:val="75"/>
    <w:qFormat/>
    <w:uiPriority w:val="0"/>
    <w:rPr>
      <w:rFonts w:ascii="宋体" w:hAnsi="Calibri"/>
      <w:sz w:val="18"/>
      <w:szCs w:val="18"/>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13"/>
    <w:next w:val="2"/>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No Spacing1"/>
    <w:basedOn w:val="1"/>
    <w:qFormat/>
    <w:uiPriority w:val="0"/>
    <w:pPr>
      <w:spacing w:line="400" w:lineRule="exact"/>
    </w:pPr>
    <w:rPr>
      <w:sz w:val="24"/>
    </w:rPr>
  </w:style>
  <w:style w:type="paragraph" w:customStyle="1" w:styleId="50">
    <w:name w:val="Default"/>
    <w:next w:val="5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1">
    <w:name w:val="大标题"/>
    <w:basedOn w:val="1"/>
    <w:next w:val="2"/>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5"/>
    <w:link w:val="13"/>
    <w:qFormat/>
    <w:uiPriority w:val="0"/>
  </w:style>
  <w:style w:type="character" w:customStyle="1" w:styleId="74">
    <w:name w:val="apple-converted-space"/>
    <w:basedOn w:val="35"/>
    <w:qFormat/>
    <w:uiPriority w:val="0"/>
  </w:style>
  <w:style w:type="character" w:customStyle="1" w:styleId="75">
    <w:name w:val="文档结构图 Char"/>
    <w:link w:val="14"/>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3"/>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5"/>
    <w:qFormat/>
    <w:uiPriority w:val="0"/>
  </w:style>
  <w:style w:type="character" w:customStyle="1" w:styleId="89">
    <w:name w:val="font41"/>
    <w:basedOn w:val="35"/>
    <w:qFormat/>
    <w:uiPriority w:val="0"/>
    <w:rPr>
      <w:rFonts w:hint="eastAsia" w:ascii="宋体" w:hAnsi="宋体" w:eastAsia="宋体" w:cs="宋体"/>
      <w:color w:val="000000"/>
      <w:sz w:val="21"/>
      <w:szCs w:val="21"/>
      <w:u w:val="none"/>
    </w:rPr>
  </w:style>
  <w:style w:type="character" w:customStyle="1" w:styleId="90">
    <w:name w:val="font51"/>
    <w:basedOn w:val="35"/>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16571</Words>
  <Characters>17562</Characters>
  <Lines>50</Lines>
  <Paragraphs>68</Paragraphs>
  <TotalTime>1</TotalTime>
  <ScaleCrop>false</ScaleCrop>
  <LinksUpToDate>false</LinksUpToDate>
  <CharactersWithSpaces>18469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2022-10-10T01:07:59Z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562A285641654D2EA086C4325B3B203C</vt:lpwstr>
  </property>
</Properties>
</file>