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驻马店市中心医院氟[18F]脱氧葡糖注射液采购</w:t>
      </w: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驻马店市中心医院氟[18F]脱氧葡糖注射液采购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驻马店市中心医院氟[18F]脱氧葡糖注射液采购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驻马店市中心医院氟[18F]脱氧葡糖注射液采购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4040"/>
      <w:bookmarkStart w:id="5" w:name="_Toc21071"/>
      <w:bookmarkStart w:id="6" w:name="_Toc26079"/>
      <w:bookmarkStart w:id="7" w:name="_Toc1952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3626"/>
      <w:bookmarkStart w:id="11" w:name="_Toc27704"/>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7823"/>
      <w:bookmarkStart w:id="14" w:name="_Toc30971"/>
      <w:bookmarkStart w:id="15" w:name="_Toc23395"/>
      <w:bookmarkStart w:id="16" w:name="_Toc30643"/>
      <w:bookmarkStart w:id="17" w:name="_Toc9562"/>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2、供应商应提供2021年度经审计的财务报告或者其基本开户银行出具的资信证明；2022年6月</w:t>
      </w:r>
      <w:r>
        <w:rPr>
          <w:rFonts w:hint="eastAsia" w:ascii="宋体" w:hAnsi="宋体" w:cs="宋体"/>
          <w:b w:val="0"/>
          <w:bCs w:val="0"/>
          <w:color w:val="auto"/>
          <w:kern w:val="2"/>
          <w:sz w:val="21"/>
          <w:szCs w:val="21"/>
          <w:shd w:val="clear" w:color="auto" w:fill="FFFFFF"/>
          <w:lang w:val="en-US" w:eastAsia="zh-CN" w:bidi="ar-SA"/>
        </w:rPr>
        <w:t>份</w:t>
      </w:r>
      <w:r>
        <w:rPr>
          <w:rFonts w:hint="eastAsia" w:ascii="宋体" w:hAnsi="宋体" w:eastAsia="宋体" w:cs="宋体"/>
          <w:b w:val="0"/>
          <w:bCs w:val="0"/>
          <w:color w:val="auto"/>
          <w:kern w:val="2"/>
          <w:sz w:val="21"/>
          <w:szCs w:val="21"/>
          <w:shd w:val="clear" w:color="auto" w:fill="FFFFFF"/>
          <w:lang w:val="en-US" w:eastAsia="zh-CN" w:bidi="ar-SA"/>
        </w:rPr>
        <w:t>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default"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6、具有《放射性药品生产许可证》</w:t>
      </w:r>
      <w:r>
        <w:rPr>
          <w:rFonts w:hint="eastAsia" w:ascii="宋体" w:hAnsi="宋体" w:cs="宋体"/>
          <w:b w:val="0"/>
          <w:bCs w:val="0"/>
          <w:color w:val="auto"/>
          <w:kern w:val="2"/>
          <w:sz w:val="21"/>
          <w:szCs w:val="21"/>
          <w:shd w:val="clear" w:color="auto" w:fill="FFFFFF"/>
          <w:lang w:val="en-US" w:eastAsia="zh-CN" w:bidi="ar-SA"/>
        </w:rPr>
        <w:t>或</w:t>
      </w:r>
      <w:r>
        <w:rPr>
          <w:rFonts w:hint="eastAsia" w:ascii="宋体" w:hAnsi="宋体" w:eastAsia="宋体" w:cs="宋体"/>
          <w:b w:val="0"/>
          <w:bCs w:val="0"/>
          <w:color w:val="auto"/>
          <w:kern w:val="2"/>
          <w:sz w:val="21"/>
          <w:szCs w:val="21"/>
          <w:shd w:val="clear" w:color="auto" w:fill="FFFFFF"/>
          <w:lang w:val="en-US" w:eastAsia="zh-CN" w:bidi="ar-SA"/>
        </w:rPr>
        <w:t>《放射性药品经营许可证》、《辐射安全许可证》、《注册批件》；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26</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0738"/>
      <w:bookmarkStart w:id="19" w:name="_Toc27480"/>
      <w:bookmarkStart w:id="20" w:name="_Toc25869"/>
      <w:bookmarkStart w:id="21" w:name="_Toc15135"/>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30918"/>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1928"/>
      <w:bookmarkStart w:id="30" w:name="_Toc3604"/>
      <w:bookmarkStart w:id="31" w:name="_Toc24274"/>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21</w:t>
      </w:r>
      <w:r>
        <w:rPr>
          <w:rFonts w:hint="eastAsia" w:ascii="宋体" w:hAnsi="宋体" w:eastAsia="宋体" w:cs="宋体"/>
          <w:color w:val="auto"/>
          <w:kern w:val="0"/>
          <w:sz w:val="21"/>
          <w:szCs w:val="21"/>
          <w:highlight w:val="yellow"/>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5"/>
    <w:bookmarkEnd w:id="36"/>
    <w:bookmarkEnd w:id="37"/>
    <w:bookmarkEnd w:id="38"/>
    <w:bookmarkEnd w:id="39"/>
    <w:tbl>
      <w:tblPr>
        <w:tblStyle w:val="32"/>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819"/>
        <w:gridCol w:w="1800"/>
        <w:gridCol w:w="1575"/>
        <w:gridCol w:w="15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序号</w:t>
            </w:r>
          </w:p>
        </w:tc>
        <w:tc>
          <w:tcPr>
            <w:tcW w:w="1819"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项目名称</w:t>
            </w:r>
          </w:p>
        </w:tc>
        <w:tc>
          <w:tcPr>
            <w:tcW w:w="1800"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数量或规模</w:t>
            </w:r>
          </w:p>
        </w:tc>
        <w:tc>
          <w:tcPr>
            <w:tcW w:w="157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资金预算</w:t>
            </w:r>
          </w:p>
        </w:tc>
        <w:tc>
          <w:tcPr>
            <w:tcW w:w="1518"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资金来源</w:t>
            </w:r>
          </w:p>
        </w:tc>
        <w:tc>
          <w:tcPr>
            <w:tcW w:w="168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b/>
                <w:bCs/>
                <w:sz w:val="24"/>
                <w:szCs w:val="24"/>
                <w:lang w:eastAsia="zh-CN"/>
              </w:rPr>
            </w:pPr>
            <w:r>
              <w:rPr>
                <w:rFonts w:hint="eastAsia" w:ascii="宋体" w:hAnsi="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6"/>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819" w:type="dxa"/>
            <w:tcBorders>
              <w:top w:val="single" w:color="auto" w:sz="4" w:space="0"/>
              <w:left w:val="nil"/>
              <w:bottom w:val="single" w:color="auto" w:sz="4" w:space="0"/>
              <w:right w:val="single" w:color="auto" w:sz="4" w:space="0"/>
            </w:tcBorders>
            <w:vAlign w:val="center"/>
          </w:tcPr>
          <w:p>
            <w:pPr>
              <w:pStyle w:val="6"/>
              <w:jc w:val="center"/>
              <w:rPr>
                <w:rFonts w:hint="eastAsia" w:ascii="宋体" w:hAnsi="宋体" w:eastAsia="宋体"/>
                <w:sz w:val="24"/>
                <w:szCs w:val="24"/>
                <w:lang w:eastAsia="zh-CN"/>
              </w:rPr>
            </w:pPr>
            <w:r>
              <w:rPr>
                <w:rFonts w:hint="eastAsia" w:ascii="宋体" w:hAnsi="宋体" w:cs="宋体"/>
                <w:sz w:val="24"/>
                <w:szCs w:val="24"/>
              </w:rPr>
              <w:t>氟［18F］脱氧葡糖注射液</w:t>
            </w:r>
          </w:p>
        </w:tc>
        <w:tc>
          <w:tcPr>
            <w:tcW w:w="1800" w:type="dxa"/>
            <w:tcBorders>
              <w:top w:val="single" w:color="auto" w:sz="4" w:space="0"/>
              <w:left w:val="nil"/>
              <w:bottom w:val="single" w:color="auto" w:sz="4" w:space="0"/>
              <w:right w:val="single" w:color="auto" w:sz="4" w:space="0"/>
            </w:tcBorders>
            <w:vAlign w:val="center"/>
          </w:tcPr>
          <w:p>
            <w:pPr>
              <w:pStyle w:val="6"/>
              <w:ind w:left="0" w:leftChars="0" w:firstLine="240" w:firstLineChars="100"/>
              <w:jc w:val="center"/>
              <w:rPr>
                <w:rFonts w:hint="default" w:ascii="宋体" w:hAnsi="宋体" w:eastAsia="宋体"/>
                <w:sz w:val="24"/>
                <w:szCs w:val="24"/>
                <w:lang w:val="en-US" w:eastAsia="zh-CN"/>
              </w:rPr>
            </w:pPr>
            <w:r>
              <w:rPr>
                <w:rFonts w:hint="eastAsia" w:ascii="宋体" w:hAnsi="宋体" w:cs="宋体"/>
                <w:sz w:val="24"/>
                <w:szCs w:val="24"/>
                <w:lang w:val="en-US" w:eastAsia="zh-CN"/>
              </w:rPr>
              <w:t>1</w:t>
            </w:r>
          </w:p>
        </w:tc>
        <w:tc>
          <w:tcPr>
            <w:tcW w:w="1575" w:type="dxa"/>
            <w:tcBorders>
              <w:top w:val="single" w:color="auto" w:sz="4" w:space="0"/>
              <w:left w:val="nil"/>
              <w:bottom w:val="single" w:color="auto" w:sz="4" w:space="0"/>
              <w:right w:val="single" w:color="auto" w:sz="4" w:space="0"/>
            </w:tcBorders>
            <w:vAlign w:val="center"/>
          </w:tcPr>
          <w:p>
            <w:pPr>
              <w:pStyle w:val="6"/>
              <w:jc w:val="center"/>
              <w:rPr>
                <w:rFonts w:hint="default"/>
                <w:sz w:val="24"/>
                <w:szCs w:val="24"/>
                <w:lang w:val="en-US" w:eastAsia="zh-CN"/>
              </w:rPr>
            </w:pPr>
            <w:r>
              <w:rPr>
                <w:rFonts w:hint="eastAsia" w:ascii="宋体" w:hAnsi="宋体" w:cs="宋体"/>
                <w:sz w:val="24"/>
                <w:szCs w:val="24"/>
              </w:rPr>
              <w:t>200元/mci</w:t>
            </w:r>
          </w:p>
        </w:tc>
        <w:tc>
          <w:tcPr>
            <w:tcW w:w="151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sz w:val="24"/>
                <w:szCs w:val="24"/>
                <w:lang w:eastAsia="zh-CN"/>
              </w:rPr>
            </w:pPr>
            <w:r>
              <w:rPr>
                <w:rFonts w:hint="eastAsia" w:ascii="宋体" w:hAnsi="宋体" w:cs="宋体"/>
                <w:sz w:val="24"/>
                <w:szCs w:val="24"/>
              </w:rPr>
              <w:t>自筹资金</w:t>
            </w:r>
          </w:p>
        </w:tc>
        <w:tc>
          <w:tcPr>
            <w:tcW w:w="1688" w:type="dxa"/>
            <w:vMerge w:val="restart"/>
            <w:tcBorders>
              <w:top w:val="single" w:color="auto" w:sz="4" w:space="0"/>
              <w:left w:val="nil"/>
              <w:right w:val="single" w:color="auto" w:sz="4" w:space="0"/>
            </w:tcBorders>
            <w:vAlign w:val="center"/>
          </w:tcPr>
          <w:p>
            <w:pPr>
              <w:pStyle w:val="6"/>
              <w:ind w:left="0" w:leftChars="0" w:firstLine="0" w:firstLineChars="0"/>
              <w:jc w:val="center"/>
              <w:rPr>
                <w:rFonts w:hint="eastAsia" w:ascii="宋体" w:hAnsi="宋体"/>
                <w:lang w:eastAsia="zh-CN"/>
              </w:rPr>
            </w:pPr>
            <w:r>
              <w:rPr>
                <w:rFonts w:hint="eastAsia" w:ascii="宋体" w:hAnsi="宋体"/>
                <w:lang w:eastAsia="zh-CN"/>
              </w:rPr>
              <w:t>拟招一年供应商（2家）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41" w:type="dxa"/>
            <w:tcBorders>
              <w:top w:val="single" w:color="auto" w:sz="4" w:space="0"/>
              <w:left w:val="single" w:color="auto" w:sz="4" w:space="0"/>
              <w:bottom w:val="single" w:color="auto" w:sz="4" w:space="0"/>
              <w:right w:val="single" w:color="auto" w:sz="4" w:space="0"/>
            </w:tcBorders>
          </w:tcPr>
          <w:p>
            <w:pPr>
              <w:pStyle w:val="6"/>
              <w:ind w:left="0" w:leftChars="0"/>
              <w:rPr>
                <w:rFonts w:ascii="宋体" w:hAnsi="宋体"/>
                <w:b/>
                <w:bCs/>
                <w:sz w:val="30"/>
                <w:szCs w:val="30"/>
              </w:rPr>
            </w:pPr>
            <w:r>
              <w:rPr>
                <w:rFonts w:hint="eastAsia" w:ascii="宋体" w:hAnsi="宋体"/>
                <w:b/>
                <w:bCs/>
                <w:sz w:val="24"/>
                <w:szCs w:val="24"/>
              </w:rPr>
              <w:t>合计</w:t>
            </w:r>
          </w:p>
        </w:tc>
        <w:tc>
          <w:tcPr>
            <w:tcW w:w="1819"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800"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575"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518" w:type="dxa"/>
            <w:tcBorders>
              <w:top w:val="single" w:color="auto" w:sz="4" w:space="0"/>
              <w:left w:val="nil"/>
              <w:bottom w:val="single" w:color="auto" w:sz="4" w:space="0"/>
              <w:right w:val="single" w:color="auto" w:sz="4" w:space="0"/>
            </w:tcBorders>
          </w:tcPr>
          <w:p>
            <w:pPr>
              <w:pStyle w:val="6"/>
              <w:rPr>
                <w:rFonts w:ascii="宋体" w:hAnsi="宋体"/>
              </w:rPr>
            </w:pPr>
          </w:p>
        </w:tc>
        <w:tc>
          <w:tcPr>
            <w:tcW w:w="1688" w:type="dxa"/>
            <w:vMerge w:val="continue"/>
            <w:tcBorders>
              <w:left w:val="nil"/>
              <w:bottom w:val="single" w:color="auto" w:sz="4" w:space="0"/>
              <w:right w:val="single" w:color="auto" w:sz="4" w:space="0"/>
            </w:tcBorders>
          </w:tcPr>
          <w:p>
            <w:pPr>
              <w:pStyle w:val="6"/>
              <w:rPr>
                <w:rFonts w:ascii="宋体" w:hAnsi="宋体"/>
              </w:rPr>
            </w:pPr>
          </w:p>
        </w:tc>
      </w:tr>
    </w:tbl>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项目名称、数量：</w:t>
      </w:r>
      <w:r>
        <w:rPr>
          <w:rFonts w:hint="eastAsia" w:cs="宋体"/>
          <w:b w:val="0"/>
          <w:bCs w:val="0"/>
          <w:sz w:val="24"/>
          <w:szCs w:val="24"/>
          <w:lang w:eastAsia="zh-CN"/>
        </w:rPr>
        <w:t>氟[18F]脱氧葡糖注射液采购</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eastAsia="zh-CN"/>
        </w:rPr>
        <w:t>二、</w:t>
      </w:r>
      <w:r>
        <w:rPr>
          <w:rFonts w:hint="eastAsia" w:ascii="宋体" w:hAnsi="宋体" w:eastAsia="宋体" w:cs="宋体"/>
          <w:b/>
          <w:bCs/>
          <w:sz w:val="24"/>
          <w:szCs w:val="24"/>
          <w:u w:val="none"/>
        </w:rPr>
        <w:t>项目用途说明：</w:t>
      </w:r>
      <w:r>
        <w:rPr>
          <w:rFonts w:hint="eastAsia" w:ascii="宋体" w:hAnsi="宋体" w:eastAsia="宋体" w:cs="宋体"/>
          <w:b w:val="0"/>
          <w:bCs w:val="0"/>
          <w:sz w:val="24"/>
          <w:szCs w:val="24"/>
          <w:u w:val="none"/>
        </w:rPr>
        <w:t>供临床患者使用。</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lang w:eastAsia="zh-CN"/>
        </w:rPr>
      </w:pPr>
      <w:r>
        <w:rPr>
          <w:rFonts w:hint="eastAsia" w:cs="宋体"/>
          <w:b/>
          <w:bCs/>
          <w:sz w:val="24"/>
          <w:szCs w:val="24"/>
          <w:lang w:eastAsia="zh-CN"/>
        </w:rPr>
        <w:t>三</w:t>
      </w:r>
      <w:r>
        <w:rPr>
          <w:rFonts w:hint="eastAsia" w:ascii="宋体" w:hAnsi="宋体" w:eastAsia="宋体" w:cs="宋体"/>
          <w:b/>
          <w:bCs/>
          <w:sz w:val="24"/>
          <w:szCs w:val="24"/>
          <w:lang w:eastAsia="zh-CN"/>
        </w:rPr>
        <w:t>、配置规格、附件及零配件（包括专用工具）</w:t>
      </w:r>
    </w:p>
    <w:tbl>
      <w:tblPr>
        <w:tblStyle w:val="3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425"/>
        <w:gridCol w:w="1875"/>
        <w:gridCol w:w="136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药品名称</w:t>
            </w:r>
          </w:p>
        </w:tc>
        <w:tc>
          <w:tcPr>
            <w:tcW w:w="142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剂型</w:t>
            </w:r>
          </w:p>
        </w:tc>
        <w:tc>
          <w:tcPr>
            <w:tcW w:w="187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规格型号</w:t>
            </w:r>
          </w:p>
        </w:tc>
        <w:tc>
          <w:tcPr>
            <w:tcW w:w="1368"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最小包装</w:t>
            </w:r>
          </w:p>
        </w:tc>
        <w:tc>
          <w:tcPr>
            <w:tcW w:w="2044"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拦标单价（元）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氟［18F］脱氧葡糖注射液</w:t>
            </w:r>
          </w:p>
        </w:tc>
        <w:tc>
          <w:tcPr>
            <w:tcW w:w="1425"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注射剂</w:t>
            </w:r>
          </w:p>
        </w:tc>
        <w:tc>
          <w:tcPr>
            <w:tcW w:w="1875" w:type="dxa"/>
            <w:tcBorders>
              <w:top w:val="single" w:color="auto" w:sz="4" w:space="0"/>
              <w:left w:val="nil"/>
              <w:bottom w:val="single" w:color="auto" w:sz="4" w:space="0"/>
              <w:right w:val="single" w:color="auto" w:sz="4" w:space="0"/>
            </w:tcBorders>
            <w:vAlign w:val="center"/>
          </w:tcPr>
          <w:p>
            <w:pPr>
              <w:pStyle w:val="6"/>
              <w:jc w:val="center"/>
              <w:rPr>
                <w:rFonts w:hint="eastAsia" w:ascii="宋体" w:hAnsi="宋体" w:eastAsia="宋体" w:cs="宋体"/>
                <w:sz w:val="24"/>
                <w:szCs w:val="24"/>
              </w:rPr>
            </w:pPr>
            <w:r>
              <w:rPr>
                <w:rFonts w:hint="eastAsia" w:ascii="宋体" w:hAnsi="宋体" w:eastAsia="宋体" w:cs="宋体"/>
                <w:sz w:val="24"/>
                <w:szCs w:val="24"/>
              </w:rPr>
              <w:t>0.37-7.40GBq</w:t>
            </w:r>
          </w:p>
        </w:tc>
        <w:tc>
          <w:tcPr>
            <w:tcW w:w="136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瓶</w:t>
            </w:r>
          </w:p>
        </w:tc>
        <w:tc>
          <w:tcPr>
            <w:tcW w:w="2044"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200元/mCi</w:t>
            </w:r>
          </w:p>
        </w:tc>
      </w:tr>
    </w:tbl>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详细技术要求、参数及产品资料等：</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产品为无色澄明液体。</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产品的PH值为5.0-8.0。</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产品的放射性化学纯度低于90%。</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sz w:val="28"/>
          <w:szCs w:val="28"/>
          <w:u w:val="none"/>
        </w:rPr>
      </w:pPr>
      <w:r>
        <w:rPr>
          <w:rFonts w:hint="eastAsia" w:ascii="宋体" w:hAnsi="宋体"/>
          <w:sz w:val="24"/>
          <w:szCs w:val="24"/>
          <w:highlight w:val="none"/>
          <w:u w:val="none"/>
        </w:rPr>
        <w:t>4、产品的放射性浓度不低于370MBq/ml</w:t>
      </w:r>
      <w:r>
        <w:rPr>
          <w:rFonts w:hint="eastAsia" w:ascii="宋体" w:hAnsi="宋体"/>
          <w:sz w:val="28"/>
          <w:szCs w:val="28"/>
          <w:highlight w:val="none"/>
          <w:u w:val="none"/>
        </w:rPr>
        <w:t xml:space="preserve">。  </w:t>
      </w:r>
      <w:r>
        <w:rPr>
          <w:rFonts w:hint="eastAsia" w:ascii="宋体" w:hAnsi="宋体"/>
          <w:sz w:val="28"/>
          <w:szCs w:val="28"/>
          <w:u w:val="none"/>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售后服务条件及交货日期（或工期）：</w:t>
      </w:r>
    </w:p>
    <w:p>
      <w:pPr>
        <w:pStyle w:val="87"/>
        <w:keepNext w:val="0"/>
        <w:keepLines w:val="0"/>
        <w:pageBreakBefore w:val="0"/>
        <w:kinsoku/>
        <w:wordWrap/>
        <w:overflowPunct/>
        <w:topLinePunct w:val="0"/>
        <w:autoSpaceDE/>
        <w:autoSpaceDN/>
        <w:bidi w:val="0"/>
        <w:adjustRightInd/>
        <w:spacing w:beforeAutospacing="0" w:afterAutospacing="0" w:line="360" w:lineRule="auto"/>
        <w:ind w:firstLine="562"/>
        <w:textAlignment w:val="auto"/>
        <w:rPr>
          <w:rFonts w:hint="eastAsia" w:ascii="宋体" w:hAnsi="宋体" w:eastAsia="宋体" w:cs="宋体"/>
          <w:sz w:val="24"/>
          <w:szCs w:val="24"/>
          <w:u w:val="none"/>
        </w:rPr>
      </w:pPr>
      <w:r>
        <w:rPr>
          <w:rFonts w:hint="eastAsia" w:ascii="宋体" w:hAnsi="宋体" w:eastAsia="宋体" w:cs="宋体"/>
          <w:b/>
          <w:bCs/>
          <w:sz w:val="24"/>
          <w:szCs w:val="24"/>
          <w:u w:val="none"/>
        </w:rPr>
        <w:t>交货日期</w:t>
      </w:r>
      <w:r>
        <w:rPr>
          <w:rFonts w:hint="eastAsia" w:ascii="宋体" w:hAnsi="宋体" w:eastAsia="宋体" w:cs="宋体"/>
          <w:sz w:val="24"/>
          <w:szCs w:val="24"/>
          <w:u w:val="none"/>
        </w:rPr>
        <w:t>：根据医院要求，派专人专车在5小时内将医院所需的规格产品送到医院，提供相关的产品检验合格报告、随货同行单和货物签收单。</w:t>
      </w:r>
    </w:p>
    <w:p>
      <w:pPr>
        <w:pStyle w:val="24"/>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hint="eastAsia" w:ascii="宋体" w:hAnsi="宋体" w:eastAsia="宋体" w:cs="宋体"/>
          <w:sz w:val="24"/>
          <w:szCs w:val="24"/>
          <w:u w:val="none"/>
        </w:rPr>
      </w:pPr>
      <w:r>
        <w:rPr>
          <w:rFonts w:hint="eastAsia" w:ascii="宋体" w:hAnsi="宋体" w:eastAsia="宋体" w:cs="宋体"/>
          <w:b/>
          <w:bCs/>
          <w:sz w:val="24"/>
          <w:szCs w:val="24"/>
          <w:u w:val="none"/>
        </w:rPr>
        <w:t>售后服务</w:t>
      </w:r>
      <w:r>
        <w:rPr>
          <w:rFonts w:hint="eastAsia" w:ascii="宋体" w:hAnsi="宋体" w:eastAsia="宋体" w:cs="宋体"/>
          <w:sz w:val="24"/>
          <w:szCs w:val="24"/>
          <w:u w:val="none"/>
        </w:rPr>
        <w:t>：</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保证所提供的货物符合国家质量标准和合同规定的质量、规格、性能和技术规范要求。</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保证货物在约定时间内配送至医院，如由于不可抗力（如极端天气等）、交通管制等无法按时配送提前2小时通知医院。</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保证医院对售后服务要求的及时响应，对需上门服务的情况，及时安排技术人员赶到现场。</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如医院对产品使用、辐射防护等方面有疑问，企业可以组织各项培训，由技术人员或专家进行指导。</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按照《药品经营质量管理规范》等法律法规要求向我院提供加</w:t>
      </w:r>
      <w:r>
        <w:rPr>
          <w:rFonts w:hint="eastAsia" w:ascii="宋体" w:hAnsi="宋体" w:eastAsia="宋体" w:cs="宋体"/>
          <w:color w:val="auto"/>
          <w:sz w:val="24"/>
          <w:szCs w:val="24"/>
          <w:u w:val="none"/>
        </w:rPr>
        <w:t>盖企业公章</w:t>
      </w:r>
      <w:r>
        <w:rPr>
          <w:rFonts w:hint="eastAsia" w:ascii="宋体" w:hAnsi="宋体" w:eastAsia="宋体" w:cs="宋体"/>
          <w:sz w:val="24"/>
          <w:szCs w:val="24"/>
          <w:u w:val="none"/>
        </w:rPr>
        <w:t>的企业资质证明文件等相关资料，并对以上资料的真实性和有效性负责。6、我院收到该公司药品发现药品缺少、破损、挤压及污染等现象应在收到物品后的1小时内通知该公司，经双发核实后，办理调换货、退货手续。</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lang w:val="en-US" w:eastAsia="zh-CN"/>
        </w:rPr>
        <w:t>2021年需在省级环境保护部门完成放射性药品转让审批手续。</w:t>
      </w:r>
    </w:p>
    <w:p>
      <w:pPr>
        <w:pStyle w:val="24"/>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sz w:val="24"/>
          <w:szCs w:val="24"/>
          <w:u w:val="none"/>
          <w:lang w:eastAsia="zh-CN"/>
        </w:rPr>
      </w:pPr>
    </w:p>
    <w:p>
      <w:pPr>
        <w:pStyle w:val="24"/>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sz w:val="24"/>
          <w:szCs w:val="24"/>
          <w:u w:val="none"/>
          <w:lang w:eastAsia="zh-CN"/>
        </w:rPr>
      </w:pPr>
    </w:p>
    <w:p>
      <w:pPr>
        <w:pStyle w:val="24"/>
        <w:rPr>
          <w:rFonts w:hint="eastAsia" w:ascii="宋体" w:hAnsi="宋体" w:eastAsia="宋体" w:cs="宋体"/>
          <w:b w:val="0"/>
          <w:bCs w:val="0"/>
          <w:sz w:val="24"/>
          <w:szCs w:val="24"/>
          <w:u w:val="none"/>
          <w:lang w:eastAsia="zh-CN"/>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3"/>
        <w:gridCol w:w="6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自中标通知书发出之日起</w:t>
            </w:r>
            <w:r>
              <w:rPr>
                <w:rFonts w:hint="eastAsia" w:ascii="宋体" w:hAnsi="宋体" w:cs="宋体"/>
                <w:color w:val="auto"/>
                <w:kern w:val="0"/>
                <w:sz w:val="24"/>
                <w:szCs w:val="24"/>
                <w:highlight w:val="none"/>
                <w:lang w:val="en-US" w:eastAsia="zh-CN"/>
              </w:rPr>
              <w:t>三十</w:t>
            </w:r>
            <w:r>
              <w:rPr>
                <w:rFonts w:hint="eastAsia" w:ascii="宋体" w:hAnsi="宋体" w:cs="宋体"/>
                <w:color w:val="auto"/>
                <w:kern w:val="0"/>
                <w:sz w:val="24"/>
                <w:szCs w:val="24"/>
                <w:highlight w:val="none"/>
              </w:rPr>
              <w:t>个</w:t>
            </w:r>
            <w:r>
              <w:rPr>
                <w:rFonts w:hint="eastAsia" w:ascii="宋体" w:hAnsi="宋体" w:cs="宋体"/>
                <w:color w:val="auto"/>
                <w:kern w:val="0"/>
                <w:sz w:val="24"/>
                <w:szCs w:val="24"/>
                <w:highlight w:val="none"/>
                <w:lang w:val="en-US" w:eastAsia="zh-CN"/>
              </w:rPr>
              <w:t>日历日</w:t>
            </w:r>
            <w:r>
              <w:rPr>
                <w:rFonts w:hint="eastAsia" w:ascii="宋体" w:hAnsi="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交货地点</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32"/>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   收</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质量要求</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符合现行国家质量要求和行业有关标准</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 w:val="24"/>
                <w:szCs w:val="24"/>
                <w:highlight w:val="none"/>
              </w:rPr>
            </w:pPr>
            <w:r>
              <w:rPr>
                <w:rFonts w:hint="eastAsia" w:ascii="宋体" w:hAnsi="宋体"/>
                <w:color w:val="auto"/>
                <w:kern w:val="0"/>
                <w:sz w:val="24"/>
                <w:szCs w:val="24"/>
                <w:highlight w:val="none"/>
              </w:rPr>
              <w:t>售后技术服务要求、售后服务保障要求</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中标人须提供后期服务保障。</w:t>
            </w:r>
          </w:p>
        </w:tc>
      </w:tr>
    </w:tbl>
    <w:p>
      <w:pPr>
        <w:pStyle w:val="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napToGrid w:val="0"/>
              <w:spacing w:line="360" w:lineRule="auto"/>
              <w:rPr>
                <w:color w:val="auto"/>
                <w:sz w:val="24"/>
                <w:szCs w:val="32"/>
              </w:rPr>
            </w:pPr>
            <w:r>
              <w:rPr>
                <w:rFonts w:hint="eastAsia"/>
                <w:color w:val="auto"/>
                <w:sz w:val="24"/>
                <w:szCs w:val="32"/>
              </w:rPr>
              <w:t>不接受联合体投标，不允许转包和分包。</w:t>
            </w:r>
          </w:p>
          <w:p>
            <w:pPr>
              <w:widowControl/>
              <w:snapToGrid w:val="0"/>
              <w:spacing w:line="360" w:lineRule="auto"/>
              <w:rPr>
                <w:rFonts w:ascii="宋体" w:hAnsi="宋体" w:cs="宋体"/>
                <w:color w:val="auto"/>
                <w:kern w:val="0"/>
                <w:sz w:val="24"/>
                <w:szCs w:val="24"/>
                <w:highlight w:val="none"/>
              </w:rPr>
            </w:pPr>
            <w:r>
              <w:rPr>
                <w:rFonts w:hint="eastAsia"/>
                <w:color w:val="auto"/>
                <w:sz w:val="24"/>
                <w:szCs w:val="32"/>
                <w:lang w:val="en-US" w:eastAsia="zh-CN"/>
              </w:rPr>
              <w:t>2</w:t>
            </w:r>
            <w:r>
              <w:rPr>
                <w:rFonts w:hint="eastAsia"/>
                <w:color w:val="auto"/>
                <w:sz w:val="24"/>
                <w:szCs w:val="32"/>
              </w:rPr>
              <w:t>、</w:t>
            </w:r>
            <w:r>
              <w:rPr>
                <w:rFonts w:hint="eastAsia" w:ascii="宋体" w:hAnsi="宋体" w:cs="宋体"/>
                <w:color w:val="auto"/>
                <w:kern w:val="0"/>
                <w:sz w:val="24"/>
                <w:szCs w:val="24"/>
                <w:highlight w:val="none"/>
              </w:rPr>
              <w:t>授权评标委员会确定一名中标人并推荐两名中标候选人。</w:t>
            </w:r>
          </w:p>
          <w:p>
            <w:pPr>
              <w:widowControl/>
              <w:snapToGrid w:val="0"/>
              <w:spacing w:line="360" w:lineRule="auto"/>
              <w:rPr>
                <w:color w:val="auto"/>
                <w:sz w:val="24"/>
                <w:szCs w:val="32"/>
              </w:rPr>
            </w:pPr>
            <w:r>
              <w:rPr>
                <w:rFonts w:hint="eastAsia"/>
                <w:color w:val="auto"/>
                <w:sz w:val="24"/>
                <w:szCs w:val="32"/>
                <w:lang w:val="en-US" w:eastAsia="zh-CN"/>
              </w:rPr>
              <w:t>3</w:t>
            </w:r>
            <w:r>
              <w:rPr>
                <w:rFonts w:hint="eastAsia"/>
                <w:color w:val="auto"/>
                <w:sz w:val="24"/>
                <w:szCs w:val="32"/>
              </w:rPr>
              <w:t>、供应商应根据</w:t>
            </w:r>
            <w:r>
              <w:rPr>
                <w:rFonts w:hint="eastAsia"/>
                <w:color w:val="auto"/>
                <w:sz w:val="24"/>
                <w:szCs w:val="32"/>
                <w:lang w:eastAsia="zh-CN"/>
              </w:rPr>
              <w:t>采购</w:t>
            </w:r>
            <w:r>
              <w:rPr>
                <w:rFonts w:hint="eastAsia"/>
                <w:color w:val="auto"/>
                <w:sz w:val="24"/>
                <w:szCs w:val="32"/>
              </w:rPr>
              <w:t>文件的要求提供技术响应表、商务响应表等内容以对</w:t>
            </w:r>
            <w:r>
              <w:rPr>
                <w:rFonts w:hint="eastAsia"/>
                <w:color w:val="auto"/>
                <w:sz w:val="24"/>
                <w:szCs w:val="32"/>
                <w:lang w:eastAsia="zh-CN"/>
              </w:rPr>
              <w:t>采购</w:t>
            </w:r>
            <w:r>
              <w:rPr>
                <w:rFonts w:hint="eastAsia"/>
                <w:color w:val="auto"/>
                <w:sz w:val="24"/>
                <w:szCs w:val="32"/>
              </w:rPr>
              <w:t>文件作出响应。</w:t>
            </w:r>
          </w:p>
        </w:tc>
      </w:tr>
    </w:tbl>
    <w:p>
      <w:pPr>
        <w:rPr>
          <w:color w:val="auto"/>
          <w:highlight w:val="none"/>
        </w:rPr>
      </w:pPr>
    </w:p>
    <w:p>
      <w:pPr>
        <w:rPr>
          <w:color w:val="auto"/>
          <w:sz w:val="32"/>
          <w:szCs w:val="32"/>
          <w:highlight w:val="none"/>
        </w:rPr>
      </w:pPr>
    </w:p>
    <w:p>
      <w:pPr>
        <w:pStyle w:val="2"/>
        <w:rPr>
          <w:color w:val="auto"/>
          <w:sz w:val="32"/>
          <w:szCs w:val="32"/>
          <w:highlight w:val="none"/>
        </w:rPr>
      </w:pPr>
    </w:p>
    <w:p>
      <w:pPr>
        <w:pStyle w:val="5"/>
        <w:rPr>
          <w:color w:val="auto"/>
          <w:sz w:val="32"/>
          <w:szCs w:val="32"/>
          <w:highlight w:val="none"/>
        </w:rPr>
      </w:pPr>
    </w:p>
    <w:p>
      <w:pPr>
        <w:rPr>
          <w:color w:val="auto"/>
          <w:sz w:val="32"/>
          <w:szCs w:val="32"/>
          <w:highlight w:val="none"/>
        </w:rPr>
      </w:pPr>
    </w:p>
    <w:p>
      <w:pPr>
        <w:pStyle w:val="2"/>
        <w:rPr>
          <w:color w:val="auto"/>
          <w:sz w:val="32"/>
          <w:szCs w:val="32"/>
          <w:highlight w:val="none"/>
        </w:rPr>
      </w:pPr>
    </w:p>
    <w:p>
      <w:pPr>
        <w:pStyle w:val="5"/>
        <w:rPr>
          <w:color w:val="auto"/>
          <w:sz w:val="32"/>
          <w:szCs w:val="32"/>
          <w:highlight w:val="none"/>
        </w:rPr>
      </w:pPr>
    </w:p>
    <w:p/>
    <w:p>
      <w:pPr>
        <w:rPr>
          <w:color w:val="auto"/>
          <w:highlight w:val="none"/>
        </w:rPr>
      </w:pPr>
    </w:p>
    <w:p>
      <w:pPr>
        <w:pStyle w:val="8"/>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驻马店市中心医院氟[18F]脱氧葡糖注射液采购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10万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10万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4.5 具有《放射性药品生产许可证》或《放射性药品经营许可证》、《辐射安全许可证》、《注册批件》；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6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5"/>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6"/>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w:t>
            </w:r>
            <w:r>
              <w:rPr>
                <w:rFonts w:hint="eastAsia" w:ascii="宋体" w:hAnsi="宋体" w:cs="宋体"/>
                <w:b w:val="0"/>
                <w:bCs w:val="0"/>
                <w:color w:val="auto"/>
                <w:kern w:val="0"/>
                <w:sz w:val="21"/>
                <w:szCs w:val="21"/>
                <w:highlight w:val="none"/>
                <w:lang w:eastAsia="zh-CN"/>
              </w:rPr>
              <w:t>要求</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1）.所投产品或设备均应提供相关证明文件资料，所投产品必须是正规厂家生产的原装正品；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2）.产品需具有《注册批件》；</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3）.提供有关投标货物符合采购文件要求的相关证明文件。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w:t>
            </w:r>
            <w:bookmarkStart w:id="91" w:name="_GoBack"/>
            <w:bookmarkEnd w:id="91"/>
            <w:r>
              <w:rPr>
                <w:rFonts w:hint="eastAsia" w:ascii="宋体" w:hAnsi="宋体" w:eastAsia="宋体" w:cs="宋体"/>
                <w:b w:val="0"/>
                <w:bCs w:val="0"/>
                <w:color w:val="auto"/>
                <w:kern w:val="2"/>
                <w:sz w:val="21"/>
                <w:szCs w:val="21"/>
                <w:highlight w:val="none"/>
              </w:rPr>
              <w:t>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8"/>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rPr>
          <w:color w:val="auto"/>
        </w:rPr>
      </w:pPr>
    </w:p>
    <w:p>
      <w:pPr>
        <w:pStyle w:val="8"/>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（元/mci）</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9"/>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2"/>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驻马店市中心医院氟[18F]脱氧葡糖注射液采购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驻马店市中心医院氟[18F]脱氧葡糖注射液采购</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51959FA"/>
    <w:multiLevelType w:val="singleLevel"/>
    <w:tmpl w:val="D51959FA"/>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194059C7"/>
    <w:multiLevelType w:val="singleLevel"/>
    <w:tmpl w:val="194059C7"/>
    <w:lvl w:ilvl="0" w:tentative="0">
      <w:start w:val="1"/>
      <w:numFmt w:val="decimal"/>
      <w:suff w:val="nothing"/>
      <w:lvlText w:val="%1、"/>
      <w:lvlJc w:val="left"/>
    </w:lvl>
  </w:abstractNum>
  <w:abstractNum w:abstractNumId="4">
    <w:nsid w:val="252FD8CD"/>
    <w:multiLevelType w:val="singleLevel"/>
    <w:tmpl w:val="252FD8CD"/>
    <w:lvl w:ilvl="0" w:tentative="0">
      <w:start w:val="1"/>
      <w:numFmt w:val="decimal"/>
      <w:suff w:val="nothing"/>
      <w:lvlText w:val="%1、"/>
      <w:lvlJc w:val="left"/>
    </w:lvl>
  </w:abstractNum>
  <w:abstractNum w:abstractNumId="5">
    <w:nsid w:val="59B6410A"/>
    <w:multiLevelType w:val="singleLevel"/>
    <w:tmpl w:val="59B6410A"/>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996868"/>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9D93766"/>
    <w:rsid w:val="0A321AC2"/>
    <w:rsid w:val="0A343D4E"/>
    <w:rsid w:val="0A3E6D2E"/>
    <w:rsid w:val="0A6C3DC0"/>
    <w:rsid w:val="0AD13A85"/>
    <w:rsid w:val="0AE033D9"/>
    <w:rsid w:val="0B091954"/>
    <w:rsid w:val="0B167AE8"/>
    <w:rsid w:val="0B1A1257"/>
    <w:rsid w:val="0B3E0ABB"/>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0FFD2EA4"/>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C7BCD"/>
    <w:rsid w:val="139C16C9"/>
    <w:rsid w:val="13B63CE1"/>
    <w:rsid w:val="13BC6684"/>
    <w:rsid w:val="13C72B3A"/>
    <w:rsid w:val="13DF575E"/>
    <w:rsid w:val="13EE3A98"/>
    <w:rsid w:val="142123F7"/>
    <w:rsid w:val="142A11D8"/>
    <w:rsid w:val="14415712"/>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95B4A"/>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CD0437"/>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058FB"/>
    <w:rsid w:val="20B9460A"/>
    <w:rsid w:val="210F579E"/>
    <w:rsid w:val="212550B5"/>
    <w:rsid w:val="21484F14"/>
    <w:rsid w:val="21592B62"/>
    <w:rsid w:val="21747CD2"/>
    <w:rsid w:val="219E5782"/>
    <w:rsid w:val="21E72B0B"/>
    <w:rsid w:val="21F03389"/>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674C22"/>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536D4E"/>
    <w:rsid w:val="2E742F70"/>
    <w:rsid w:val="2EDC2A13"/>
    <w:rsid w:val="2EFD7DB9"/>
    <w:rsid w:val="2F1A081D"/>
    <w:rsid w:val="2F1E3DC0"/>
    <w:rsid w:val="2F3112DE"/>
    <w:rsid w:val="2F3B6922"/>
    <w:rsid w:val="2F506C6D"/>
    <w:rsid w:val="2F51291F"/>
    <w:rsid w:val="2F55758A"/>
    <w:rsid w:val="2F57478F"/>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04D1F"/>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346B6"/>
    <w:rsid w:val="33C96649"/>
    <w:rsid w:val="33CC3D88"/>
    <w:rsid w:val="33D76F4A"/>
    <w:rsid w:val="33FD722F"/>
    <w:rsid w:val="3400362D"/>
    <w:rsid w:val="340B09C5"/>
    <w:rsid w:val="34153E0C"/>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0D2FA1"/>
    <w:rsid w:val="369B4CF0"/>
    <w:rsid w:val="36D62629"/>
    <w:rsid w:val="36D76172"/>
    <w:rsid w:val="36E833BB"/>
    <w:rsid w:val="36EB1E1B"/>
    <w:rsid w:val="36F17F0D"/>
    <w:rsid w:val="3735197D"/>
    <w:rsid w:val="373756A2"/>
    <w:rsid w:val="375E0DA6"/>
    <w:rsid w:val="378B61A6"/>
    <w:rsid w:val="37CD3F98"/>
    <w:rsid w:val="37DF75BA"/>
    <w:rsid w:val="37E148E2"/>
    <w:rsid w:val="3814117F"/>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3C5CF8"/>
    <w:rsid w:val="3A64203E"/>
    <w:rsid w:val="3A663D00"/>
    <w:rsid w:val="3A7428D0"/>
    <w:rsid w:val="3A923AE4"/>
    <w:rsid w:val="3AA50E25"/>
    <w:rsid w:val="3AC566E3"/>
    <w:rsid w:val="3AC76C6D"/>
    <w:rsid w:val="3AD6747A"/>
    <w:rsid w:val="3B3D0FF2"/>
    <w:rsid w:val="3B48756F"/>
    <w:rsid w:val="3B521A18"/>
    <w:rsid w:val="3B923660"/>
    <w:rsid w:val="3BCA44BE"/>
    <w:rsid w:val="3C061F3A"/>
    <w:rsid w:val="3C244FFA"/>
    <w:rsid w:val="3C495480"/>
    <w:rsid w:val="3C6F0167"/>
    <w:rsid w:val="3C71667B"/>
    <w:rsid w:val="3C914F3B"/>
    <w:rsid w:val="3CA72347"/>
    <w:rsid w:val="3CC17F13"/>
    <w:rsid w:val="3CDA2D17"/>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2C3542"/>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CE2D58"/>
    <w:rsid w:val="41E47AD6"/>
    <w:rsid w:val="41FF3845"/>
    <w:rsid w:val="421104A9"/>
    <w:rsid w:val="42143B88"/>
    <w:rsid w:val="42164586"/>
    <w:rsid w:val="422143B7"/>
    <w:rsid w:val="425B5DD1"/>
    <w:rsid w:val="4260300C"/>
    <w:rsid w:val="42800B9B"/>
    <w:rsid w:val="42A06B6C"/>
    <w:rsid w:val="42EA5650"/>
    <w:rsid w:val="431408DA"/>
    <w:rsid w:val="4331401E"/>
    <w:rsid w:val="434C7A70"/>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1357C"/>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974BB9"/>
    <w:rsid w:val="47B8724E"/>
    <w:rsid w:val="47ED7BCA"/>
    <w:rsid w:val="48016F34"/>
    <w:rsid w:val="480556DB"/>
    <w:rsid w:val="48185C56"/>
    <w:rsid w:val="4832531E"/>
    <w:rsid w:val="48450F81"/>
    <w:rsid w:val="484E729D"/>
    <w:rsid w:val="485A23C2"/>
    <w:rsid w:val="4898691D"/>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84EC6"/>
    <w:rsid w:val="4C7964D9"/>
    <w:rsid w:val="4C9269F6"/>
    <w:rsid w:val="4CC84335"/>
    <w:rsid w:val="4CCF375F"/>
    <w:rsid w:val="4CE9350A"/>
    <w:rsid w:val="4CF632F0"/>
    <w:rsid w:val="4D297BF3"/>
    <w:rsid w:val="4D2D0EAF"/>
    <w:rsid w:val="4D63401A"/>
    <w:rsid w:val="4D7F0082"/>
    <w:rsid w:val="4D7F33D4"/>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9A7023"/>
    <w:rsid w:val="57D1153D"/>
    <w:rsid w:val="57FA3774"/>
    <w:rsid w:val="58084A3C"/>
    <w:rsid w:val="585D2975"/>
    <w:rsid w:val="587E3341"/>
    <w:rsid w:val="58CF56D8"/>
    <w:rsid w:val="58D31010"/>
    <w:rsid w:val="58D6741E"/>
    <w:rsid w:val="58EA3D0E"/>
    <w:rsid w:val="58F71269"/>
    <w:rsid w:val="58FE045E"/>
    <w:rsid w:val="590F448D"/>
    <w:rsid w:val="59561946"/>
    <w:rsid w:val="596707B8"/>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D13910"/>
    <w:rsid w:val="5BF03D58"/>
    <w:rsid w:val="5C0F0D26"/>
    <w:rsid w:val="5C1A6BB2"/>
    <w:rsid w:val="5C5355FE"/>
    <w:rsid w:val="5C6F4105"/>
    <w:rsid w:val="5C7A4EE2"/>
    <w:rsid w:val="5CBB7F6F"/>
    <w:rsid w:val="5CCE3A33"/>
    <w:rsid w:val="5D426797"/>
    <w:rsid w:val="5D7C3F11"/>
    <w:rsid w:val="5D9D49E0"/>
    <w:rsid w:val="5DC70CF2"/>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0262B"/>
    <w:rsid w:val="608B6567"/>
    <w:rsid w:val="60FF21D9"/>
    <w:rsid w:val="613253FD"/>
    <w:rsid w:val="61421F29"/>
    <w:rsid w:val="61712185"/>
    <w:rsid w:val="61970898"/>
    <w:rsid w:val="61A90D68"/>
    <w:rsid w:val="621775E2"/>
    <w:rsid w:val="622F7552"/>
    <w:rsid w:val="6250406E"/>
    <w:rsid w:val="627D6831"/>
    <w:rsid w:val="62811B1C"/>
    <w:rsid w:val="62A20409"/>
    <w:rsid w:val="62B54B44"/>
    <w:rsid w:val="62DD4333"/>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2F7039"/>
    <w:rsid w:val="65542778"/>
    <w:rsid w:val="655829AF"/>
    <w:rsid w:val="656B70C3"/>
    <w:rsid w:val="658F4798"/>
    <w:rsid w:val="659B1EBA"/>
    <w:rsid w:val="65B461E9"/>
    <w:rsid w:val="65BE39A8"/>
    <w:rsid w:val="65FB3FBE"/>
    <w:rsid w:val="66083B12"/>
    <w:rsid w:val="66247D11"/>
    <w:rsid w:val="66736112"/>
    <w:rsid w:val="66763171"/>
    <w:rsid w:val="667F5B5B"/>
    <w:rsid w:val="66897C79"/>
    <w:rsid w:val="6694262A"/>
    <w:rsid w:val="669609C2"/>
    <w:rsid w:val="66990381"/>
    <w:rsid w:val="66B31B01"/>
    <w:rsid w:val="66CE1E80"/>
    <w:rsid w:val="66E362F9"/>
    <w:rsid w:val="66E47FD9"/>
    <w:rsid w:val="67071922"/>
    <w:rsid w:val="671626D9"/>
    <w:rsid w:val="673B73C0"/>
    <w:rsid w:val="675608B6"/>
    <w:rsid w:val="677245F9"/>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467ADD"/>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6167CC"/>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B9794C"/>
    <w:rsid w:val="78EE1C79"/>
    <w:rsid w:val="797239CC"/>
    <w:rsid w:val="79831473"/>
    <w:rsid w:val="7999527A"/>
    <w:rsid w:val="79AF76C5"/>
    <w:rsid w:val="79C25EE1"/>
    <w:rsid w:val="79CE2967"/>
    <w:rsid w:val="79EA664C"/>
    <w:rsid w:val="7A2A3030"/>
    <w:rsid w:val="7A2F459A"/>
    <w:rsid w:val="7A517022"/>
    <w:rsid w:val="7A602571"/>
    <w:rsid w:val="7A6F5001"/>
    <w:rsid w:val="7AA2343E"/>
    <w:rsid w:val="7ADA73A4"/>
    <w:rsid w:val="7AE66B99"/>
    <w:rsid w:val="7B0A3BCA"/>
    <w:rsid w:val="7B4048C1"/>
    <w:rsid w:val="7B73082F"/>
    <w:rsid w:val="7BC62E00"/>
    <w:rsid w:val="7BE35E2A"/>
    <w:rsid w:val="7BFA1CC7"/>
    <w:rsid w:val="7BFB70B3"/>
    <w:rsid w:val="7C0251DA"/>
    <w:rsid w:val="7C1052F2"/>
    <w:rsid w:val="7C1160F6"/>
    <w:rsid w:val="7C2668D9"/>
    <w:rsid w:val="7C32497F"/>
    <w:rsid w:val="7C3C69AE"/>
    <w:rsid w:val="7C691974"/>
    <w:rsid w:val="7C8A6570"/>
    <w:rsid w:val="7C8B7390"/>
    <w:rsid w:val="7C9B0D0E"/>
    <w:rsid w:val="7CA42B03"/>
    <w:rsid w:val="7CC50906"/>
    <w:rsid w:val="7CC76835"/>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3E0267"/>
    <w:rsid w:val="7F582CF2"/>
    <w:rsid w:val="7F7A5A9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无间隔1"/>
    <w:basedOn w:val="1"/>
    <w:qFormat/>
    <w:uiPriority w:val="1"/>
    <w:pPr>
      <w:spacing w:line="400" w:lineRule="exact"/>
    </w:pPr>
    <w:rPr>
      <w:sz w:val="24"/>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5"/>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15011</Words>
  <Characters>15778</Characters>
  <Lines>50</Lines>
  <Paragraphs>68</Paragraphs>
  <TotalTime>5</TotalTime>
  <ScaleCrop>false</ScaleCrop>
  <LinksUpToDate>false</LinksUpToDate>
  <CharactersWithSpaces>16711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2022-09-21T07:23:17Z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