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rPr>
      </w:pPr>
      <w:r>
        <w:rPr>
          <w:rFonts w:hint="eastAsia" w:cs="宋体"/>
          <w:b/>
          <w:bCs/>
          <w:sz w:val="48"/>
          <w:szCs w:val="48"/>
          <w:lang w:val="en-US" w:eastAsia="zh-CN"/>
        </w:rPr>
        <w:t>驻马店市妇女儿童医院一期建设室外配套工程项目可研报告咨询服务</w:t>
      </w:r>
    </w:p>
    <w:p>
      <w:pPr>
        <w:pStyle w:val="20"/>
        <w:bidi w:val="0"/>
        <w:jc w:val="center"/>
        <w:rPr>
          <w:rStyle w:val="43"/>
          <w:rFonts w:hint="eastAsia" w:ascii="宋体" w:hAnsi="宋体" w:eastAsia="宋体" w:cs="宋体"/>
          <w:b/>
          <w:bCs/>
          <w:color w:val="auto"/>
          <w:sz w:val="48"/>
          <w:szCs w:val="48"/>
        </w:rPr>
      </w:pPr>
    </w:p>
    <w:p>
      <w:pPr>
        <w:pStyle w:val="20"/>
        <w:bidi w:val="0"/>
        <w:jc w:val="center"/>
        <w:rPr>
          <w:rStyle w:val="43"/>
          <w:rFonts w:hint="eastAsia" w:ascii="宋体" w:hAnsi="宋体" w:eastAsia="宋体" w:cs="宋体"/>
          <w:b/>
          <w:bCs/>
          <w:color w:val="auto"/>
          <w:sz w:val="48"/>
          <w:szCs w:val="48"/>
        </w:rPr>
      </w:pPr>
    </w:p>
    <w:p>
      <w:pPr>
        <w:pStyle w:val="20"/>
        <w:bidi w:val="0"/>
        <w:jc w:val="center"/>
        <w:rPr>
          <w:rStyle w:val="43"/>
          <w:rFonts w:hint="eastAsia" w:ascii="宋体" w:hAnsi="宋体" w:eastAsia="宋体" w:cs="宋体"/>
          <w:b/>
          <w:bCs/>
          <w:color w:val="auto"/>
          <w:sz w:val="48"/>
          <w:szCs w:val="48"/>
        </w:rPr>
      </w:pPr>
    </w:p>
    <w:p>
      <w:pPr>
        <w:pStyle w:val="20"/>
        <w:bidi w:val="0"/>
        <w:jc w:val="center"/>
        <w:rPr>
          <w:rStyle w:val="43"/>
          <w:rFonts w:hint="eastAsia" w:ascii="宋体" w:hAnsi="宋体" w:eastAsia="宋体" w:cs="宋体"/>
          <w:b/>
          <w:bCs/>
          <w:color w:val="auto"/>
          <w:sz w:val="48"/>
          <w:szCs w:val="48"/>
        </w:rPr>
      </w:pPr>
    </w:p>
    <w:p>
      <w:pPr>
        <w:pStyle w:val="20"/>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2"/>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2022</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09</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6"/>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驻马店市妇女儿童医院一期建设室外配套工程项目可研报告咨询服务竞争性磋商</w:t>
      </w:r>
      <w:r>
        <w:rPr>
          <w:rFonts w:hint="eastAsia" w:ascii="黑体" w:hAnsi="黑体" w:eastAsia="黑体" w:cs="宋体"/>
          <w:bCs/>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驻马店市妇女儿童医院一期建设室外配套工程项目可研报告咨询服务</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yellow"/>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驻马店市妇女儿童医院一期建设室外配套工程项目可研报告咨询服务</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w:t>
      </w:r>
      <w:r>
        <w:rPr>
          <w:rFonts w:hint="eastAsia" w:ascii="宋体" w:hAnsi="宋体" w:eastAsia="宋体" w:cs="宋体"/>
          <w:color w:val="000000" w:themeColor="text1"/>
          <w:szCs w:val="21"/>
          <w:highlight w:val="none"/>
          <w:shd w:val="clear" w:color="auto" w:fill="FFFFFF"/>
          <w14:textFill>
            <w14:solidFill>
              <w14:schemeClr w14:val="tx1"/>
            </w14:solidFill>
          </w14:textFill>
        </w:rPr>
        <w:t>预算金额：</w:t>
      </w:r>
      <w:r>
        <w:rPr>
          <w:rFonts w:hint="eastAsia" w:ascii="宋体" w:hAnsi="宋体" w:cs="宋体"/>
          <w:color w:val="000000" w:themeColor="text1"/>
          <w:kern w:val="0"/>
          <w:szCs w:val="21"/>
          <w:highlight w:val="none"/>
          <w:u w:val="none"/>
          <w:lang w:val="en-US" w:eastAsia="zh-CN"/>
          <w14:textFill>
            <w14:solidFill>
              <w14:schemeClr w14:val="tx1"/>
            </w14:solidFill>
          </w14:textFill>
        </w:rPr>
        <w:t>6.3万</w:t>
      </w:r>
      <w:r>
        <w:rPr>
          <w:rFonts w:hint="eastAsia" w:ascii="宋体" w:hAnsi="宋体" w:eastAsia="宋体" w:cs="宋体"/>
          <w:color w:val="000000" w:themeColor="text1"/>
          <w:szCs w:val="21"/>
          <w:highlight w:val="none"/>
          <w:shd w:val="clear" w:color="auto" w:fill="FFFFFF"/>
          <w14:textFill>
            <w14:solidFill>
              <w14:schemeClr w14:val="tx1"/>
            </w14:solidFill>
          </w14:textFill>
        </w:rPr>
        <w:t>元</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自筹资金；</w:t>
      </w:r>
    </w:p>
    <w:p>
      <w:pPr>
        <w:snapToGrid w:val="0"/>
        <w:spacing w:line="360" w:lineRule="auto"/>
        <w:ind w:firstLine="420" w:firstLineChars="200"/>
        <w:rPr>
          <w:rFonts w:hint="default"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4、</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服务</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地点：采购人指定地点；</w:t>
      </w:r>
    </w:p>
    <w:p>
      <w:pPr>
        <w:widowControl/>
        <w:tabs>
          <w:tab w:val="left" w:pos="840"/>
        </w:tabs>
        <w:snapToGrid w:val="0"/>
        <w:spacing w:line="360" w:lineRule="auto"/>
        <w:ind w:firstLine="420" w:firstLineChars="200"/>
        <w:jc w:val="left"/>
        <w:rPr>
          <w:rFonts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cs="宋体"/>
          <w:bCs/>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bCs/>
          <w:color w:val="000000" w:themeColor="text1"/>
          <w:szCs w:val="21"/>
          <w:highlight w:val="none"/>
          <w:shd w:val="clear" w:color="auto" w:fill="FFFFFF"/>
          <w14:textFill>
            <w14:solidFill>
              <w14:schemeClr w14:val="tx1"/>
            </w14:solidFill>
          </w14:textFill>
        </w:rPr>
        <w:t>、</w:t>
      </w:r>
      <w:r>
        <w:rPr>
          <w:rFonts w:hint="eastAsia" w:ascii="宋体" w:hAnsi="宋体" w:cs="宋体"/>
          <w:bCs/>
          <w:color w:val="000000" w:themeColor="text1"/>
          <w:szCs w:val="21"/>
          <w:highlight w:val="none"/>
          <w:shd w:val="clear" w:color="auto" w:fill="FFFFFF"/>
          <w:lang w:val="en-US" w:eastAsia="zh-CN"/>
          <w14:textFill>
            <w14:solidFill>
              <w14:schemeClr w14:val="tx1"/>
            </w14:solidFill>
          </w14:textFill>
        </w:rPr>
        <w:t>服务</w:t>
      </w:r>
      <w:r>
        <w:rPr>
          <w:rFonts w:hint="eastAsia" w:ascii="宋体" w:hAnsi="宋体" w:eastAsia="宋体" w:cs="宋体"/>
          <w:color w:val="000000" w:themeColor="text1"/>
          <w:szCs w:val="21"/>
          <w:highlight w:val="none"/>
          <w:shd w:val="clear" w:color="auto" w:fill="FFFFFF"/>
          <w14:textFill>
            <w14:solidFill>
              <w14:schemeClr w14:val="tx1"/>
            </w14:solidFill>
          </w14:textFill>
        </w:rPr>
        <w:t>要求：</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合格。</w:t>
      </w:r>
      <w:r>
        <w:rPr>
          <w:rFonts w:hint="eastAsia" w:ascii="宋体" w:hAnsi="宋体" w:cs="宋体"/>
          <w:color w:val="000000" w:themeColor="text1"/>
          <w:szCs w:val="21"/>
          <w:highlight w:val="none"/>
          <w:shd w:val="clear" w:color="auto" w:fill="FFFFFF"/>
          <w:lang w:eastAsia="zh-CN"/>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以采购人要求为准</w:t>
      </w:r>
      <w:r>
        <w:rPr>
          <w:rFonts w:hint="eastAsia" w:ascii="宋体" w:hAnsi="宋体" w:cs="宋体"/>
          <w:color w:val="000000" w:themeColor="text1"/>
          <w:szCs w:val="21"/>
          <w:highlight w:val="none"/>
          <w:shd w:val="clear" w:color="auto" w:fill="FFFFFF"/>
          <w:lang w:eastAsia="zh-CN"/>
          <w14:textFill>
            <w14:solidFill>
              <w14:schemeClr w14:val="tx1"/>
            </w14:solidFill>
          </w14:textFill>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16639"/>
      <w:bookmarkStart w:id="5" w:name="_Toc23626"/>
      <w:bookmarkStart w:id="6" w:name="_Toc27704"/>
      <w:bookmarkStart w:id="7" w:name="_Toc1860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8" w:name="_Toc23395"/>
      <w:bookmarkStart w:id="9" w:name="_Toc7823"/>
      <w:bookmarkStart w:id="10" w:name="_Toc30971"/>
      <w:bookmarkStart w:id="11" w:name="_Toc9562"/>
      <w:bookmarkStart w:id="12" w:name="_Toc30643"/>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应提供2021年度经审计的财务报告或者其基本开户银行出具的资信证明；2022年6月以来任意一个月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sz w:val="21"/>
          <w:lang w:val="en-US" w:eastAsia="zh-CN"/>
          <w14:textFill>
            <w14:solidFill>
              <w14:schemeClr w14:val="tx1"/>
            </w14:solidFill>
          </w14:textFill>
        </w:rPr>
        <w:t>3、</w:t>
      </w:r>
      <w:r>
        <w:rPr>
          <w:rFonts w:hint="eastAsia" w:ascii="宋体" w:hAnsi="宋体" w:eastAsia="宋体" w:cs="宋体"/>
          <w:color w:val="000000" w:themeColor="text1"/>
          <w:kern w:val="2"/>
          <w:sz w:val="21"/>
          <w:szCs w:val="24"/>
          <w:lang w:val="en-US" w:eastAsia="zh-CN" w:bidi="ar-SA"/>
          <w14:textFill>
            <w14:solidFill>
              <w14:schemeClr w14:val="tx1"/>
            </w14:solidFill>
          </w14:textFill>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kern w:val="2"/>
          <w:sz w:val="21"/>
          <w:szCs w:val="24"/>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lang w:val="en-US" w:eastAsia="zh-CN" w:bidi="ar-SA"/>
          <w14:textFill>
            <w14:solidFill>
              <w14:schemeClr w14:val="tx1"/>
            </w14:solidFill>
          </w14:textFill>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kern w:val="2"/>
          <w:sz w:val="21"/>
          <w:szCs w:val="24"/>
          <w:lang w:val="en-US" w:eastAsia="zh-CN" w:bidi="ar-SA"/>
          <w14:textFill>
            <w14:solidFill>
              <w14:schemeClr w14:val="tx1"/>
            </w14:solidFill>
          </w14:textFill>
        </w:rPr>
        <w:t>5</w:t>
      </w:r>
      <w:r>
        <w:rPr>
          <w:rFonts w:hint="eastAsia" w:ascii="宋体" w:hAnsi="宋体" w:eastAsia="宋体" w:cs="宋体"/>
          <w:color w:val="000000" w:themeColor="text1"/>
          <w:kern w:val="2"/>
          <w:sz w:val="21"/>
          <w:szCs w:val="24"/>
          <w:lang w:val="en-US" w:eastAsia="zh-CN" w:bidi="ar-SA"/>
          <w14:textFill>
            <w14:solidFill>
              <w14:schemeClr w14:val="tx1"/>
            </w14:solidFill>
          </w14:textFill>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lang w:val="en-US" w:eastAsia="zh-CN"/>
          <w14:textFill>
            <w14:solidFill>
              <w14:schemeClr w14:val="tx1"/>
            </w14:solidFill>
          </w14:textFill>
        </w:rPr>
        <w:t>、根据《关于在政府采购活动中查询及使用信用记录有关问题的通知》（财库【2016】125号）的规定，对列入失信被执行人、</w:t>
      </w:r>
      <w:r>
        <w:rPr>
          <w:rFonts w:hint="eastAsia"/>
          <w:color w:val="auto"/>
          <w:lang w:val="en-US" w:eastAsia="zh-CN"/>
        </w:rPr>
        <w:t>重大税收违法失信主体</w:t>
      </w:r>
      <w:r>
        <w:rPr>
          <w:rFonts w:hint="eastAsia" w:ascii="宋体" w:hAnsi="宋体" w:eastAsia="宋体" w:cs="宋体"/>
          <w:color w:val="000000" w:themeColor="text1"/>
          <w:lang w:val="en-US" w:eastAsia="zh-CN"/>
          <w14:textFill>
            <w14:solidFill>
              <w14:schemeClr w14:val="tx1"/>
            </w14:solidFill>
          </w14:textFill>
        </w:rPr>
        <w:t>、政府采购严重违法失信</w:t>
      </w:r>
      <w:r>
        <w:rPr>
          <w:rFonts w:hint="eastAsia" w:ascii="宋体" w:hAnsi="宋体" w:eastAsia="宋体" w:cs="宋体"/>
          <w:color w:val="auto"/>
          <w:lang w:val="en-US" w:eastAsia="zh-CN"/>
        </w:rPr>
        <w:t>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7、</w:t>
      </w:r>
      <w:r>
        <w:rPr>
          <w:rFonts w:hint="eastAsia" w:ascii="宋体" w:hAnsi="宋体" w:cs="宋体"/>
          <w:color w:val="000000" w:themeColor="text1"/>
          <w:lang w:val="en-US" w:eastAsia="zh-CN"/>
          <w14:textFill>
            <w14:solidFill>
              <w14:schemeClr w14:val="tx1"/>
            </w14:solidFill>
          </w14:textFill>
        </w:rPr>
        <w:t>拟派</w:t>
      </w:r>
      <w:r>
        <w:rPr>
          <w:rFonts w:hint="eastAsia" w:ascii="宋体" w:hAnsi="宋体" w:eastAsia="宋体" w:cs="宋体"/>
          <w:color w:val="000000" w:themeColor="text1"/>
          <w:lang w:val="en-US" w:eastAsia="zh-CN"/>
          <w14:textFill>
            <w14:solidFill>
              <w14:schemeClr w14:val="tx1"/>
            </w14:solidFill>
          </w14:textFill>
        </w:rPr>
        <w:t>项目负责人须为本单位人员</w:t>
      </w:r>
      <w:r>
        <w:rPr>
          <w:rFonts w:hint="eastAsia" w:ascii="宋体" w:hAnsi="宋体" w:cs="宋体"/>
          <w:color w:val="000000" w:themeColor="text1"/>
          <w:lang w:val="en-US" w:eastAsia="zh-CN"/>
          <w14:textFill>
            <w14:solidFill>
              <w14:schemeClr w14:val="tx1"/>
            </w14:solidFill>
          </w14:textFill>
        </w:rPr>
        <w:t>，且</w:t>
      </w:r>
      <w:r>
        <w:rPr>
          <w:rFonts w:hint="eastAsia" w:ascii="宋体" w:hAnsi="宋体" w:eastAsia="宋体" w:cs="宋体"/>
          <w:color w:val="000000" w:themeColor="text1"/>
          <w:lang w:val="en-US" w:eastAsia="zh-CN"/>
          <w14:textFill>
            <w14:solidFill>
              <w14:schemeClr w14:val="tx1"/>
            </w14:solidFill>
          </w14:textFill>
        </w:rPr>
        <w:t>具备注册咨询工程师资格</w:t>
      </w:r>
      <w:r>
        <w:rPr>
          <w:rFonts w:hint="eastAsia" w:ascii="宋体" w:hAnsi="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提供</w:t>
      </w:r>
      <w:r>
        <w:rPr>
          <w:rFonts w:hint="eastAsia" w:ascii="宋体" w:hAnsi="宋体" w:cs="宋体"/>
          <w:color w:val="000000" w:themeColor="text1"/>
          <w:lang w:val="en-US" w:eastAsia="zh-CN"/>
          <w14:textFill>
            <w14:solidFill>
              <w14:schemeClr w14:val="tx1"/>
            </w14:solidFill>
          </w14:textFill>
        </w:rPr>
        <w:t>本</w:t>
      </w:r>
      <w:r>
        <w:rPr>
          <w:rFonts w:hint="eastAsia" w:ascii="宋体" w:hAnsi="宋体" w:eastAsia="宋体" w:cs="宋体"/>
          <w:color w:val="000000" w:themeColor="text1"/>
          <w:lang w:val="en-US" w:eastAsia="zh-CN"/>
          <w14:textFill>
            <w14:solidFill>
              <w14:schemeClr w14:val="tx1"/>
            </w14:solidFill>
          </w14:textFill>
        </w:rPr>
        <w:t>单位与其签订的劳动合同</w:t>
      </w:r>
      <w:r>
        <w:rPr>
          <w:rFonts w:hint="eastAsia" w:ascii="宋体" w:hAnsi="宋体" w:cs="宋体"/>
          <w:color w:val="000000" w:themeColor="text1"/>
          <w:lang w:val="en-US" w:eastAsia="zh-CN"/>
          <w14:textFill>
            <w14:solidFill>
              <w14:schemeClr w14:val="tx1"/>
            </w14:solidFill>
          </w14:textFill>
        </w:rPr>
        <w:t>，或</w:t>
      </w:r>
      <w:r>
        <w:rPr>
          <w:rFonts w:hint="eastAsia" w:ascii="宋体" w:hAnsi="宋体" w:eastAsia="宋体" w:cs="宋体"/>
          <w:color w:val="000000" w:themeColor="text1"/>
          <w:lang w:val="en-US" w:eastAsia="zh-CN"/>
          <w14:textFill>
            <w14:solidFill>
              <w14:schemeClr w14:val="tx1"/>
            </w14:solidFill>
          </w14:textFill>
        </w:rPr>
        <w:t>缴纳的2022年6月份（含）以来任一个月的社保证明</w:t>
      </w:r>
      <w:r>
        <w:rPr>
          <w:rFonts w:hint="eastAsia" w:ascii="宋体" w:hAnsi="宋体" w:cs="宋体"/>
          <w:color w:val="000000" w:themeColor="text1"/>
          <w:lang w:val="en-US" w:eastAsia="zh-CN"/>
          <w14:textFill>
            <w14:solidFill>
              <w14:schemeClr w14:val="tx1"/>
            </w14:solidFill>
          </w14:textFill>
        </w:rPr>
        <w:t>。</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8</w:t>
      </w:r>
      <w:r>
        <w:rPr>
          <w:rFonts w:hint="eastAsia" w:ascii="宋体" w:hAnsi="宋体" w:eastAsia="宋体" w:cs="宋体"/>
          <w:color w:val="000000" w:themeColor="text1"/>
          <w:lang w:val="en-US" w:eastAsia="zh-CN"/>
          <w14:textFill>
            <w14:solidFill>
              <w14:schemeClr w14:val="tx1"/>
            </w14:solidFill>
          </w14:textFill>
        </w:rPr>
        <w:t>、为本项目提供设计、勘察、监理服务的公司不得参与。</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9</w:t>
      </w:r>
      <w:r>
        <w:rPr>
          <w:rFonts w:hint="eastAsia" w:ascii="宋体" w:hAnsi="宋体" w:eastAsia="宋体" w:cs="宋体"/>
          <w:color w:val="auto"/>
          <w:kern w:val="2"/>
          <w:sz w:val="21"/>
          <w:szCs w:val="24"/>
          <w:lang w:val="en-US" w:eastAsia="zh-CN" w:bidi="ar-SA"/>
        </w:rPr>
        <w:t>、本次招标不接受联合体投标，不允许转包和分包。</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8"/>
      <w:bookmarkEnd w:id="9"/>
      <w:bookmarkEnd w:id="10"/>
      <w:bookmarkEnd w:id="11"/>
      <w:bookmarkEnd w:id="12"/>
    </w:p>
    <w:p>
      <w:pPr>
        <w:widowControl/>
        <w:adjustRightInd w:val="0"/>
        <w:snapToGrid w:val="0"/>
        <w:spacing w:line="360" w:lineRule="auto"/>
        <w:ind w:firstLine="420" w:firstLineChars="200"/>
        <w:jc w:val="left"/>
        <w:rPr>
          <w:rFonts w:ascii="宋体" w:hAnsi="宋体" w:eastAsia="宋体" w:cs="宋体"/>
          <w:color w:val="000000" w:themeColor="text1"/>
          <w:szCs w:val="21"/>
          <w:shd w:val="clear" w:color="auto" w:fill="FFFFFF"/>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auto"/>
          <w:szCs w:val="21"/>
          <w:shd w:val="clear" w:color="auto" w:fill="FFFFFF"/>
        </w:rPr>
        <w:t>202</w:t>
      </w:r>
      <w:r>
        <w:rPr>
          <w:rFonts w:hint="eastAsia" w:ascii="宋体" w:hAnsi="宋体" w:eastAsia="宋体" w:cs="宋体"/>
          <w:color w:val="auto"/>
          <w:szCs w:val="21"/>
          <w:shd w:val="clear" w:color="auto" w:fill="FFFFFF"/>
          <w:lang w:val="en-US" w:eastAsia="zh-CN"/>
        </w:rPr>
        <w:t>2</w:t>
      </w:r>
      <w:r>
        <w:rPr>
          <w:rFonts w:hint="eastAsia" w:ascii="宋体" w:hAnsi="宋体" w:eastAsia="宋体" w:cs="宋体"/>
          <w:color w:val="auto"/>
          <w:szCs w:val="21"/>
          <w:shd w:val="clear" w:color="auto" w:fill="FFFFFF"/>
        </w:rPr>
        <w:t>年</w:t>
      </w:r>
      <w:r>
        <w:rPr>
          <w:rFonts w:hint="eastAsia" w:ascii="宋体" w:hAnsi="宋体" w:cs="宋体"/>
          <w:color w:val="auto"/>
          <w:szCs w:val="21"/>
          <w:highlight w:val="none"/>
          <w:shd w:val="clear" w:color="auto" w:fill="FFFFFF"/>
          <w:lang w:val="en-US" w:eastAsia="zh-CN"/>
        </w:rPr>
        <w:t>09</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20</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09</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22</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1</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3.供应商须把填写完整的报名登记表及报名登记表要求提供的相关资料扫描件按序排版为PDF格式文件，发送至以下邮箱：1150105437@qq.com并标明XX项目报名资料；审核通过后按要求交纳报名费。</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10738"/>
      <w:bookmarkStart w:id="14" w:name="_Toc15111"/>
      <w:bookmarkStart w:id="15" w:name="_Toc25869"/>
      <w:bookmarkStart w:id="16" w:name="_Toc15135"/>
      <w:bookmarkStart w:id="17" w:name="_Toc27480"/>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3"/>
      <w:bookmarkEnd w:id="14"/>
      <w:bookmarkEnd w:id="15"/>
      <w:bookmarkEnd w:id="16"/>
      <w:bookmarkEnd w:id="17"/>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6523"/>
      <w:bookmarkStart w:id="19" w:name="_Toc30918"/>
      <w:bookmarkStart w:id="20" w:name="_Toc20287"/>
      <w:bookmarkStart w:id="21" w:name="_Toc29784"/>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16291"/>
      <w:bookmarkStart w:id="25" w:name="_Toc3604"/>
      <w:bookmarkStart w:id="26" w:name="_Toc24274"/>
      <w:bookmarkStart w:id="27" w:name="_Toc27370"/>
      <w:bookmarkStart w:id="28" w:name="_Toc31928"/>
      <w:r>
        <w:rPr>
          <w:rFonts w:hint="eastAsia" w:ascii="宋体" w:hAnsi="宋体" w:eastAsia="宋体" w:cs="宋体"/>
          <w:b/>
          <w:bCs/>
          <w:color w:val="auto"/>
          <w:kern w:val="2"/>
          <w:sz w:val="21"/>
          <w:szCs w:val="21"/>
          <w:shd w:val="clear" w:color="auto" w:fill="FFFFFF"/>
          <w:lang w:val="en-US" w:eastAsia="zh-CN" w:bidi="ar-SA"/>
        </w:rPr>
        <w:t>八、</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报名联系人1：王女士</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联系电话：18639627370</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报名联系人2：吴先生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联系电话：18939661675</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w:t>
      </w:r>
      <w:r>
        <w:rPr>
          <w:rFonts w:hint="eastAsia" w:ascii="宋体" w:hAnsi="宋体" w:eastAsia="宋体" w:cs="宋体"/>
          <w:color w:val="auto"/>
          <w:kern w:val="0"/>
          <w:sz w:val="21"/>
          <w:szCs w:val="21"/>
          <w:highlight w:val="none"/>
          <w:shd w:val="clear" w:color="auto" w:fill="FFFFFF"/>
          <w:lang w:val="en-US" w:eastAsia="zh-CN" w:bidi="ar-SA"/>
        </w:rPr>
        <w:t>0396-2725435</w:t>
      </w:r>
    </w:p>
    <w:p>
      <w:pPr>
        <w:pStyle w:val="2"/>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30"/>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eastAsia="宋体" w:cs="宋体"/>
          <w:color w:val="auto"/>
          <w:kern w:val="0"/>
          <w:sz w:val="21"/>
          <w:szCs w:val="21"/>
          <w:shd w:val="clear" w:color="auto" w:fill="FFFFFF"/>
          <w:lang w:val="en-US" w:eastAsia="zh-CN" w:bidi="ar-SA"/>
        </w:rPr>
        <w:t>2022年</w:t>
      </w:r>
      <w:r>
        <w:rPr>
          <w:rFonts w:hint="eastAsia" w:ascii="宋体" w:hAnsi="宋体" w:cs="宋体"/>
          <w:color w:val="auto"/>
          <w:kern w:val="0"/>
          <w:sz w:val="21"/>
          <w:szCs w:val="21"/>
          <w:shd w:val="clear" w:color="auto" w:fill="FFFFFF"/>
          <w:lang w:val="en-US" w:eastAsia="zh-CN" w:bidi="ar-SA"/>
        </w:rPr>
        <w:t>9</w:t>
      </w:r>
      <w:r>
        <w:rPr>
          <w:rFonts w:hint="eastAsia" w:ascii="宋体" w:hAnsi="宋体" w:eastAsia="宋体" w:cs="宋体"/>
          <w:color w:val="auto"/>
          <w:kern w:val="0"/>
          <w:sz w:val="21"/>
          <w:szCs w:val="21"/>
          <w:shd w:val="clear" w:color="auto" w:fill="FFFFFF"/>
          <w:lang w:val="en-US" w:eastAsia="zh-CN" w:bidi="ar-SA"/>
        </w:rPr>
        <w:t>月</w:t>
      </w:r>
      <w:r>
        <w:rPr>
          <w:rFonts w:hint="eastAsia" w:ascii="宋体" w:hAnsi="宋体" w:cs="宋体"/>
          <w:color w:val="auto"/>
          <w:kern w:val="0"/>
          <w:sz w:val="21"/>
          <w:szCs w:val="21"/>
          <w:shd w:val="clear" w:color="auto" w:fill="FFFFFF"/>
          <w:lang w:val="en-US" w:eastAsia="zh-CN" w:bidi="ar-SA"/>
        </w:rPr>
        <w:t>19</w:t>
      </w:r>
      <w:r>
        <w:rPr>
          <w:rFonts w:hint="eastAsia" w:ascii="宋体" w:hAnsi="宋体" w:eastAsia="宋体" w:cs="宋体"/>
          <w:color w:val="auto"/>
          <w:kern w:val="0"/>
          <w:sz w:val="21"/>
          <w:szCs w:val="21"/>
          <w:highlight w:val="none"/>
          <w:shd w:val="clear" w:color="auto" w:fill="FFFFFF"/>
          <w:lang w:val="en-US" w:eastAsia="zh-CN" w:bidi="ar-SA"/>
        </w:rPr>
        <w:t>日</w:t>
      </w:r>
    </w:p>
    <w:p>
      <w:pPr>
        <w:pStyle w:val="30"/>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29" w:name="_Toc25063"/>
      <w:bookmarkStart w:id="30" w:name="_Toc23793"/>
      <w:bookmarkStart w:id="31" w:name="_Toc29890"/>
      <w:r>
        <w:rPr>
          <w:rFonts w:hint="eastAsia" w:ascii="宋体" w:hAnsi="宋体"/>
          <w:b/>
          <w:color w:val="auto"/>
          <w:sz w:val="32"/>
          <w:szCs w:val="32"/>
          <w:highlight w:val="none"/>
        </w:rPr>
        <w:br w:type="page"/>
      </w:r>
    </w:p>
    <w:p>
      <w:pPr>
        <w:widowControl/>
        <w:spacing w:line="360" w:lineRule="auto"/>
        <w:ind w:firstLine="643" w:firstLineChars="200"/>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31536"/>
      <w:bookmarkStart w:id="33" w:name="_Toc23610"/>
      <w:bookmarkStart w:id="34" w:name="_Toc9989"/>
    </w:p>
    <w:bookmarkEnd w:id="32"/>
    <w:bookmarkEnd w:id="33"/>
    <w:bookmarkEnd w:id="34"/>
    <w:p>
      <w:pPr>
        <w:pStyle w:val="6"/>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4"/>
          <w:szCs w:val="32"/>
          <w:lang w:val="en-US" w:eastAsia="zh-CN" w:bidi="ar-SA"/>
        </w:rPr>
      </w:pPr>
      <w:r>
        <w:rPr>
          <w:rFonts w:hint="eastAsia" w:cs="宋体"/>
          <w:b/>
          <w:bCs/>
          <w:kern w:val="2"/>
          <w:sz w:val="24"/>
          <w:szCs w:val="32"/>
          <w:lang w:val="en-US" w:eastAsia="zh-CN" w:bidi="ar-SA"/>
        </w:rPr>
        <w:t>一、</w:t>
      </w:r>
      <w:r>
        <w:rPr>
          <w:rFonts w:hint="eastAsia" w:ascii="宋体" w:hAnsi="宋体" w:eastAsia="宋体" w:cs="宋体"/>
          <w:b/>
          <w:bCs/>
          <w:kern w:val="2"/>
          <w:sz w:val="24"/>
          <w:szCs w:val="32"/>
          <w:lang w:val="en-US" w:eastAsia="zh-CN" w:bidi="ar-SA"/>
        </w:rPr>
        <w:t>项目名称、数量</w:t>
      </w:r>
      <w:r>
        <w:rPr>
          <w:rFonts w:hint="eastAsia" w:ascii="宋体" w:hAnsi="宋体" w:eastAsia="宋体" w:cs="宋体"/>
          <w:kern w:val="2"/>
          <w:sz w:val="24"/>
          <w:szCs w:val="32"/>
          <w:lang w:val="en-US" w:eastAsia="zh-CN" w:bidi="ar-SA"/>
        </w:rPr>
        <w:t>：</w:t>
      </w:r>
      <w:r>
        <w:rPr>
          <w:rFonts w:hint="eastAsia" w:cs="宋体"/>
          <w:kern w:val="2"/>
          <w:sz w:val="24"/>
          <w:szCs w:val="32"/>
          <w:lang w:val="en-US" w:eastAsia="zh-CN" w:bidi="ar-SA"/>
        </w:rPr>
        <w:t>驻马店市妇女儿童医院一期建设室外配套工程项目可研报告咨询服务</w:t>
      </w:r>
    </w:p>
    <w:tbl>
      <w:tblPr>
        <w:tblStyle w:val="32"/>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4331"/>
        <w:gridCol w:w="1500"/>
        <w:gridCol w:w="1275"/>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697" w:type="dxa"/>
            <w:tcBorders>
              <w:top w:val="single" w:color="auto" w:sz="4" w:space="0"/>
              <w:left w:val="single" w:color="auto" w:sz="4" w:space="0"/>
              <w:bottom w:val="single" w:color="auto" w:sz="4" w:space="0"/>
              <w:right w:val="single" w:color="auto" w:sz="4" w:space="0"/>
            </w:tcBorders>
            <w:vAlign w:val="center"/>
          </w:tcPr>
          <w:p>
            <w:pPr>
              <w:pStyle w:val="6"/>
              <w:ind w:left="0" w:left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序号</w:t>
            </w:r>
          </w:p>
        </w:tc>
        <w:tc>
          <w:tcPr>
            <w:tcW w:w="4331" w:type="dxa"/>
            <w:tcBorders>
              <w:top w:val="single" w:color="auto" w:sz="4" w:space="0"/>
              <w:left w:val="nil"/>
              <w:bottom w:val="single" w:color="auto" w:sz="4" w:space="0"/>
              <w:right w:val="single" w:color="auto" w:sz="4" w:space="0"/>
            </w:tcBorders>
            <w:vAlign w:val="center"/>
          </w:tcPr>
          <w:p>
            <w:pPr>
              <w:pStyle w:val="6"/>
              <w:ind w:left="0" w:left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项目名称</w:t>
            </w:r>
          </w:p>
        </w:tc>
        <w:tc>
          <w:tcPr>
            <w:tcW w:w="1500" w:type="dxa"/>
            <w:tcBorders>
              <w:top w:val="single" w:color="auto" w:sz="4" w:space="0"/>
              <w:left w:val="nil"/>
              <w:bottom w:val="single" w:color="auto" w:sz="4" w:space="0"/>
              <w:right w:val="single" w:color="auto" w:sz="4" w:space="0"/>
            </w:tcBorders>
            <w:vAlign w:val="center"/>
          </w:tcPr>
          <w:p>
            <w:pPr>
              <w:pStyle w:val="6"/>
              <w:ind w:left="0" w:left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数量或规模</w:t>
            </w:r>
          </w:p>
        </w:tc>
        <w:tc>
          <w:tcPr>
            <w:tcW w:w="1275" w:type="dxa"/>
            <w:tcBorders>
              <w:top w:val="single" w:color="auto" w:sz="4" w:space="0"/>
              <w:left w:val="nil"/>
              <w:bottom w:val="single" w:color="auto" w:sz="4" w:space="0"/>
              <w:right w:val="single" w:color="auto" w:sz="4" w:space="0"/>
            </w:tcBorders>
            <w:vAlign w:val="center"/>
          </w:tcPr>
          <w:p>
            <w:pPr>
              <w:pStyle w:val="6"/>
              <w:ind w:left="0" w:left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资金预算</w:t>
            </w:r>
          </w:p>
        </w:tc>
        <w:tc>
          <w:tcPr>
            <w:tcW w:w="1153" w:type="dxa"/>
            <w:tcBorders>
              <w:top w:val="single" w:color="auto" w:sz="4" w:space="0"/>
              <w:left w:val="nil"/>
              <w:bottom w:val="single" w:color="auto" w:sz="4" w:space="0"/>
              <w:right w:val="single" w:color="auto" w:sz="4" w:space="0"/>
            </w:tcBorders>
            <w:vAlign w:val="center"/>
          </w:tcPr>
          <w:p>
            <w:pPr>
              <w:pStyle w:val="6"/>
              <w:ind w:left="0" w:left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697" w:type="dxa"/>
            <w:tcBorders>
              <w:top w:val="single" w:color="auto" w:sz="4" w:space="0"/>
              <w:left w:val="single" w:color="auto" w:sz="4" w:space="0"/>
              <w:bottom w:val="single" w:color="auto" w:sz="4" w:space="0"/>
              <w:right w:val="single" w:color="auto" w:sz="4" w:space="0"/>
            </w:tcBorders>
            <w:vAlign w:val="center"/>
          </w:tcPr>
          <w:p>
            <w:pPr>
              <w:pStyle w:val="6"/>
              <w:ind w:left="0" w:left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4331" w:type="dxa"/>
            <w:tcBorders>
              <w:top w:val="single" w:color="auto" w:sz="4" w:space="0"/>
              <w:left w:val="nil"/>
              <w:bottom w:val="single" w:color="auto" w:sz="4" w:space="0"/>
              <w:right w:val="single" w:color="auto" w:sz="4" w:space="0"/>
            </w:tcBorders>
            <w:vAlign w:val="center"/>
          </w:tcPr>
          <w:p>
            <w:pPr>
              <w:pStyle w:val="6"/>
              <w:ind w:left="0" w:leftChars="0"/>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eastAsia="zh-CN"/>
              </w:rPr>
              <w:t>驻马店市妇女儿童医院一期建设项目</w:t>
            </w:r>
            <w:r>
              <w:rPr>
                <w:rFonts w:hint="eastAsia" w:ascii="宋体" w:hAnsi="宋体" w:eastAsia="宋体" w:cs="宋体"/>
                <w:b w:val="0"/>
                <w:bCs w:val="0"/>
                <w:sz w:val="21"/>
                <w:szCs w:val="21"/>
                <w:lang w:val="en-US" w:eastAsia="zh-CN"/>
              </w:rPr>
              <w:t>室外配套工程可研报告咨询服务</w:t>
            </w:r>
            <w:r>
              <w:rPr>
                <w:rFonts w:hint="eastAsia" w:ascii="宋体" w:hAnsi="宋体" w:eastAsia="宋体" w:cs="宋体"/>
                <w:b w:val="0"/>
                <w:bCs w:val="0"/>
                <w:sz w:val="21"/>
                <w:szCs w:val="21"/>
              </w:rPr>
              <w:t>项目</w:t>
            </w:r>
          </w:p>
        </w:tc>
        <w:tc>
          <w:tcPr>
            <w:tcW w:w="1500" w:type="dxa"/>
            <w:tcBorders>
              <w:top w:val="single" w:color="auto" w:sz="4" w:space="0"/>
              <w:left w:val="nil"/>
              <w:bottom w:val="single" w:color="auto" w:sz="4" w:space="0"/>
              <w:right w:val="single" w:color="auto" w:sz="4" w:space="0"/>
            </w:tcBorders>
            <w:vAlign w:val="center"/>
          </w:tcPr>
          <w:p>
            <w:pPr>
              <w:pStyle w:val="6"/>
              <w:ind w:left="0" w:leftChars="0"/>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275" w:type="dxa"/>
            <w:tcBorders>
              <w:top w:val="single" w:color="auto" w:sz="4" w:space="0"/>
              <w:left w:val="nil"/>
              <w:bottom w:val="single" w:color="auto" w:sz="4" w:space="0"/>
              <w:right w:val="single" w:color="auto" w:sz="4" w:space="0"/>
            </w:tcBorders>
            <w:vAlign w:val="center"/>
          </w:tcPr>
          <w:p>
            <w:pPr>
              <w:pStyle w:val="6"/>
              <w:ind w:left="0" w:leftChars="0"/>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6.3万元</w:t>
            </w:r>
          </w:p>
        </w:tc>
        <w:tc>
          <w:tcPr>
            <w:tcW w:w="1153" w:type="dxa"/>
            <w:tcBorders>
              <w:top w:val="single" w:color="auto" w:sz="4" w:space="0"/>
              <w:left w:val="nil"/>
              <w:bottom w:val="single" w:color="auto" w:sz="4" w:space="0"/>
              <w:right w:val="single" w:color="auto" w:sz="4" w:space="0"/>
            </w:tcBorders>
            <w:vAlign w:val="center"/>
          </w:tcPr>
          <w:p>
            <w:pPr>
              <w:pStyle w:val="6"/>
              <w:ind w:left="0" w:left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eastAsia="zh-CN"/>
              </w:rPr>
              <w:t>自筹</w:t>
            </w:r>
          </w:p>
        </w:tc>
      </w:tr>
      <w:bookmarkEnd w:id="30"/>
      <w:bookmarkEnd w:id="31"/>
    </w:tbl>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60" w:lineRule="auto"/>
        <w:textAlignment w:val="auto"/>
        <w:rPr>
          <w:rFonts w:hint="eastAsia" w:ascii="宋体" w:hAnsi="宋体" w:eastAsia="宋体" w:cs="宋体"/>
          <w:b w:val="0"/>
          <w:bCs w:val="0"/>
          <w:sz w:val="24"/>
          <w:szCs w:val="24"/>
        </w:rPr>
      </w:pPr>
      <w:r>
        <w:rPr>
          <w:rFonts w:hint="eastAsia" w:ascii="宋体" w:hAnsi="宋体" w:eastAsia="宋体" w:cs="宋体"/>
          <w:b/>
          <w:bCs/>
          <w:sz w:val="24"/>
          <w:szCs w:val="24"/>
          <w:lang w:eastAsia="zh-CN"/>
        </w:rPr>
        <w:t>二、</w:t>
      </w:r>
      <w:r>
        <w:rPr>
          <w:rFonts w:hint="eastAsia" w:ascii="宋体" w:hAnsi="宋体" w:eastAsia="宋体" w:cs="宋体"/>
          <w:b/>
          <w:bCs/>
          <w:sz w:val="24"/>
          <w:szCs w:val="24"/>
        </w:rPr>
        <w:t>项目用途说明</w:t>
      </w:r>
      <w:r>
        <w:rPr>
          <w:rFonts w:hint="eastAsia" w:ascii="宋体" w:hAnsi="宋体" w:eastAsia="宋体" w:cs="宋体"/>
          <w:sz w:val="24"/>
          <w:szCs w:val="24"/>
        </w:rPr>
        <w:t>：</w:t>
      </w:r>
      <w:r>
        <w:rPr>
          <w:rFonts w:hint="eastAsia" w:ascii="宋体" w:hAnsi="宋体" w:eastAsia="宋体" w:cs="宋体"/>
          <w:b w:val="0"/>
          <w:bCs w:val="0"/>
          <w:sz w:val="24"/>
          <w:szCs w:val="24"/>
          <w:lang w:val="en-US" w:eastAsia="zh-CN"/>
        </w:rPr>
        <w:t>通过专业公司的评审服务对</w:t>
      </w:r>
      <w:r>
        <w:rPr>
          <w:rFonts w:hint="eastAsia" w:ascii="宋体" w:hAnsi="宋体" w:eastAsia="宋体" w:cs="宋体"/>
          <w:b w:val="0"/>
          <w:bCs w:val="0"/>
          <w:color w:val="333333"/>
          <w:kern w:val="0"/>
          <w:sz w:val="24"/>
          <w:szCs w:val="24"/>
          <w:u w:val="none"/>
          <w:lang w:eastAsia="zh-CN"/>
        </w:rPr>
        <w:t>驻马店市妇女儿童医院一期建设项目</w:t>
      </w:r>
      <w:r>
        <w:rPr>
          <w:rFonts w:hint="eastAsia" w:ascii="宋体" w:hAnsi="宋体" w:eastAsia="宋体" w:cs="宋体"/>
          <w:b w:val="0"/>
          <w:bCs w:val="0"/>
          <w:color w:val="333333"/>
          <w:kern w:val="0"/>
          <w:sz w:val="24"/>
          <w:szCs w:val="24"/>
          <w:u w:val="none"/>
          <w:lang w:val="en-US" w:eastAsia="zh-CN"/>
        </w:rPr>
        <w:t>室外配套工程可研报告咨询服务</w:t>
      </w:r>
      <w:r>
        <w:rPr>
          <w:rFonts w:hint="eastAsia" w:ascii="宋体" w:hAnsi="宋体" w:eastAsia="宋体" w:cs="宋体"/>
          <w:b w:val="0"/>
          <w:bCs w:val="0"/>
          <w:sz w:val="24"/>
          <w:szCs w:val="24"/>
          <w:u w:val="none"/>
        </w:rPr>
        <w:t>项目</w:t>
      </w:r>
      <w:r>
        <w:rPr>
          <w:rFonts w:hint="eastAsia" w:ascii="宋体" w:hAnsi="宋体" w:eastAsia="宋体" w:cs="宋体"/>
          <w:b w:val="0"/>
          <w:bCs w:val="0"/>
          <w:sz w:val="24"/>
          <w:szCs w:val="24"/>
          <w:u w:val="none"/>
          <w:lang w:val="en-US" w:eastAsia="zh-CN"/>
        </w:rPr>
        <w:t>完成可行性研究报告编制</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360" w:lineRule="auto"/>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三、建设规模及内容</w:t>
      </w:r>
      <w:r>
        <w:rPr>
          <w:rFonts w:hint="eastAsia" w:ascii="宋体" w:hAnsi="宋体" w:eastAsia="宋体" w:cs="宋体"/>
          <w:sz w:val="24"/>
          <w:szCs w:val="24"/>
        </w:rPr>
        <w:t xml:space="preserve">： </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t>新建儿童游乐园约1100平方米、院区内生态及无障碍停车场约300个、特色廊架150平方米、绿化植被约17000平方米以及室外管网等配套设施。</w:t>
      </w:r>
    </w:p>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sz w:val="24"/>
          <w:szCs w:val="24"/>
        </w:rPr>
      </w:pPr>
      <w:r>
        <w:rPr>
          <w:rFonts w:hint="eastAsia" w:ascii="宋体" w:hAnsi="宋体" w:cs="宋体"/>
          <w:b/>
          <w:bCs/>
          <w:kern w:val="2"/>
          <w:sz w:val="24"/>
          <w:szCs w:val="24"/>
          <w:lang w:val="en-US" w:eastAsia="zh-CN"/>
        </w:rPr>
        <w:t>四</w:t>
      </w:r>
      <w:r>
        <w:rPr>
          <w:rFonts w:hint="eastAsia" w:ascii="宋体" w:hAnsi="宋体" w:eastAsia="宋体" w:cs="宋体"/>
          <w:b/>
          <w:bCs/>
          <w:kern w:val="2"/>
          <w:sz w:val="24"/>
          <w:szCs w:val="24"/>
          <w:lang w:val="en-US" w:eastAsia="zh-CN"/>
        </w:rPr>
        <w:t>、</w:t>
      </w:r>
      <w:r>
        <w:rPr>
          <w:rFonts w:hint="eastAsia" w:ascii="宋体" w:hAnsi="宋体" w:eastAsia="宋体" w:cs="宋体"/>
          <w:b/>
          <w:bCs/>
          <w:sz w:val="24"/>
          <w:szCs w:val="24"/>
        </w:rPr>
        <w:t>售后服务条件及交货日期（或工期）：</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 xml:space="preserve"> </w:t>
      </w:r>
      <w:r>
        <w:rPr>
          <w:rFonts w:hint="eastAsia" w:ascii="宋体" w:hAnsi="宋体" w:eastAsia="宋体" w:cs="宋体"/>
          <w:sz w:val="24"/>
          <w:szCs w:val="24"/>
          <w:u w:val="none"/>
          <w:lang w:val="en-US" w:eastAsia="zh-CN"/>
        </w:rPr>
        <w:t>1、受托工程咨询单位接受医院委托对按照相关行业准则的规定编制项目可行性研究报告</w:t>
      </w:r>
      <w:r>
        <w:rPr>
          <w:rFonts w:hint="eastAsia" w:ascii="宋体" w:hAnsi="宋体" w:eastAsia="宋体" w:cs="宋体"/>
          <w:sz w:val="24"/>
          <w:szCs w:val="24"/>
          <w:u w:val="none"/>
          <w:lang w:eastAsia="zh-CN"/>
        </w:rPr>
        <w:t>；</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rPr>
        <w:t xml:space="preserve"> </w:t>
      </w:r>
      <w:r>
        <w:rPr>
          <w:rFonts w:hint="eastAsia" w:ascii="宋体" w:hAnsi="宋体" w:eastAsia="宋体" w:cs="宋体"/>
          <w:sz w:val="24"/>
          <w:szCs w:val="24"/>
          <w:u w:val="none"/>
          <w:lang w:val="en-US" w:eastAsia="zh-CN"/>
        </w:rPr>
        <w:t>2、受托工程咨询单位</w:t>
      </w:r>
      <w:r>
        <w:rPr>
          <w:rFonts w:hint="eastAsia" w:ascii="宋体" w:hAnsi="宋体" w:eastAsia="宋体" w:cs="宋体"/>
          <w:sz w:val="24"/>
          <w:szCs w:val="24"/>
          <w:u w:val="none"/>
          <w:lang w:eastAsia="zh-CN"/>
        </w:rPr>
        <w:t>按照约定时间完成</w:t>
      </w:r>
      <w:r>
        <w:rPr>
          <w:rFonts w:hint="eastAsia" w:ascii="宋体" w:hAnsi="宋体" w:eastAsia="宋体" w:cs="宋体"/>
          <w:sz w:val="24"/>
          <w:szCs w:val="24"/>
          <w:u w:val="none"/>
          <w:lang w:val="en-US" w:eastAsia="zh-CN"/>
        </w:rPr>
        <w:t>可行性研究报告编制</w:t>
      </w:r>
      <w:r>
        <w:rPr>
          <w:rFonts w:hint="eastAsia" w:ascii="宋体" w:hAnsi="宋体" w:eastAsia="宋体" w:cs="宋体"/>
          <w:sz w:val="24"/>
          <w:szCs w:val="24"/>
          <w:u w:val="none"/>
          <w:lang w:eastAsia="zh-CN"/>
        </w:rPr>
        <w:t>工作，出具</w:t>
      </w:r>
      <w:r>
        <w:rPr>
          <w:rFonts w:hint="eastAsia" w:ascii="宋体" w:hAnsi="宋体" w:eastAsia="宋体" w:cs="宋体"/>
          <w:sz w:val="24"/>
          <w:szCs w:val="24"/>
          <w:u w:val="none"/>
          <w:lang w:val="en-US" w:eastAsia="zh-CN"/>
        </w:rPr>
        <w:t>可行性研究</w:t>
      </w:r>
      <w:r>
        <w:rPr>
          <w:rFonts w:hint="eastAsia" w:ascii="宋体" w:hAnsi="宋体" w:eastAsia="宋体" w:cs="宋体"/>
          <w:sz w:val="24"/>
          <w:szCs w:val="24"/>
          <w:u w:val="none"/>
          <w:lang w:eastAsia="zh-CN"/>
        </w:rPr>
        <w:t>报告。一般不晚于</w:t>
      </w:r>
      <w:r>
        <w:rPr>
          <w:rFonts w:hint="eastAsia" w:ascii="宋体" w:hAnsi="宋体" w:eastAsia="宋体" w:cs="宋体"/>
          <w:sz w:val="24"/>
          <w:szCs w:val="24"/>
          <w:u w:val="none"/>
          <w:lang w:val="en-US" w:eastAsia="zh-CN"/>
        </w:rPr>
        <w:t>合同签订后15个工作日</w:t>
      </w:r>
      <w:r>
        <w:rPr>
          <w:rFonts w:hint="eastAsia" w:ascii="宋体" w:hAnsi="宋体" w:eastAsia="宋体" w:cs="宋体"/>
          <w:sz w:val="24"/>
          <w:szCs w:val="24"/>
          <w:u w:val="none"/>
          <w:lang w:eastAsia="zh-CN"/>
        </w:rPr>
        <w:t>；</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3、受托工程咨询单位提供的咨询成果达不到合同规定要求的，应当负责免费完善、修改。</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 xml:space="preserve"> 4、</w:t>
      </w:r>
      <w:r>
        <w:rPr>
          <w:rFonts w:hint="eastAsia" w:ascii="宋体" w:hAnsi="宋体" w:eastAsia="宋体" w:cs="宋体"/>
          <w:sz w:val="24"/>
          <w:szCs w:val="24"/>
          <w:u w:val="none"/>
        </w:rPr>
        <w:t xml:space="preserve"> </w:t>
      </w:r>
      <w:r>
        <w:rPr>
          <w:rFonts w:hint="eastAsia" w:ascii="宋体" w:hAnsi="宋体" w:eastAsia="宋体" w:cs="宋体"/>
          <w:sz w:val="24"/>
          <w:szCs w:val="24"/>
          <w:u w:val="none"/>
          <w:lang w:eastAsia="zh-CN"/>
        </w:rPr>
        <w:t>除下列情况外，</w:t>
      </w:r>
      <w:r>
        <w:rPr>
          <w:rFonts w:hint="eastAsia" w:ascii="宋体" w:hAnsi="宋体" w:eastAsia="宋体" w:cs="宋体"/>
          <w:sz w:val="24"/>
          <w:szCs w:val="24"/>
          <w:u w:val="none"/>
          <w:lang w:val="en-US" w:eastAsia="zh-CN"/>
        </w:rPr>
        <w:t>受托工程咨询单位</w:t>
      </w:r>
      <w:r>
        <w:rPr>
          <w:rFonts w:hint="eastAsia" w:ascii="宋体" w:hAnsi="宋体" w:eastAsia="宋体" w:cs="宋体"/>
          <w:sz w:val="24"/>
          <w:szCs w:val="24"/>
          <w:u w:val="none"/>
          <w:lang w:eastAsia="zh-CN"/>
        </w:rPr>
        <w:t>应当对执行业务过程中知悉的客户信息予以保密：（</w:t>
      </w:r>
      <w:r>
        <w:rPr>
          <w:rFonts w:hint="eastAsia" w:ascii="宋体" w:hAnsi="宋体" w:eastAsia="宋体" w:cs="宋体"/>
          <w:sz w:val="24"/>
          <w:szCs w:val="24"/>
          <w:u w:val="none"/>
          <w:lang w:val="en-US" w:eastAsia="zh-CN"/>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 xml:space="preserve"> </w:t>
      </w:r>
      <w:r>
        <w:rPr>
          <w:rFonts w:hint="eastAsia" w:ascii="宋体" w:hAnsi="宋体" w:eastAsia="宋体" w:cs="宋体"/>
          <w:sz w:val="24"/>
          <w:szCs w:val="24"/>
          <w:u w:val="none"/>
          <w:lang w:eastAsia="zh-CN"/>
        </w:rPr>
        <w:t>取得客户的授权；（</w:t>
      </w:r>
      <w:r>
        <w:rPr>
          <w:rFonts w:hint="eastAsia" w:ascii="宋体" w:hAnsi="宋体" w:eastAsia="宋体" w:cs="宋体"/>
          <w:sz w:val="24"/>
          <w:szCs w:val="24"/>
          <w:u w:val="none"/>
          <w:lang w:val="en-US" w:eastAsia="zh-CN"/>
        </w:rPr>
        <w:t>2</w:t>
      </w:r>
      <w:r>
        <w:rPr>
          <w:rFonts w:hint="eastAsia" w:ascii="宋体" w:hAnsi="宋体" w:eastAsia="宋体" w:cs="宋体"/>
          <w:sz w:val="24"/>
          <w:szCs w:val="24"/>
          <w:u w:val="none"/>
          <w:lang w:eastAsia="zh-CN"/>
        </w:rPr>
        <w:t>）根据法律法规的规定，为法律诉讼准备文件或提供证据，以及向监管机构报告发现的违反法规的行为；（</w:t>
      </w:r>
      <w:r>
        <w:rPr>
          <w:rFonts w:hint="eastAsia" w:ascii="宋体" w:hAnsi="宋体" w:eastAsia="宋体" w:cs="宋体"/>
          <w:sz w:val="24"/>
          <w:szCs w:val="24"/>
          <w:u w:val="none"/>
          <w:lang w:val="en-US" w:eastAsia="zh-CN"/>
        </w:rPr>
        <w:t>3</w:t>
      </w:r>
      <w:r>
        <w:rPr>
          <w:rFonts w:hint="eastAsia" w:ascii="宋体" w:hAnsi="宋体" w:eastAsia="宋体" w:cs="宋体"/>
          <w:sz w:val="24"/>
          <w:szCs w:val="24"/>
          <w:u w:val="none"/>
          <w:lang w:eastAsia="zh-CN"/>
        </w:rPr>
        <w:t>）接受行业协会和监督机构依法进行的质量检查；</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lang w:val="en-US" w:eastAsia="zh-CN"/>
        </w:rPr>
        <w:t>5、可行性研究</w:t>
      </w:r>
      <w:r>
        <w:rPr>
          <w:rFonts w:hint="eastAsia" w:ascii="宋体" w:hAnsi="宋体" w:eastAsia="宋体" w:cs="宋体"/>
          <w:sz w:val="24"/>
          <w:szCs w:val="24"/>
          <w:u w:val="none"/>
          <w:lang w:eastAsia="zh-CN"/>
        </w:rPr>
        <w:t>报告一式陆份。</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sz w:val="24"/>
          <w:szCs w:val="24"/>
          <w:u w:val="none"/>
          <w:lang w:val="en-US" w:eastAsia="zh-CN"/>
        </w:rPr>
        <w:t xml:space="preserve"> 6、如果出现不可预见的情况，影响可行性研究报告编制工作如期完成，或需要提前出具可行性研究报告，双方均可要求变更约定事项，应及时通知对方，由双方协商解决。</w:t>
      </w:r>
    </w:p>
    <w:p>
      <w:pPr>
        <w:pStyle w:val="6"/>
        <w:keepNext w:val="0"/>
        <w:keepLines w:val="0"/>
        <w:pageBreakBefore w:val="0"/>
        <w:kinsoku/>
        <w:wordWrap/>
        <w:overflowPunct/>
        <w:topLinePunct w:val="0"/>
        <w:autoSpaceDE/>
        <w:autoSpaceDN/>
        <w:bidi w:val="0"/>
        <w:adjustRightInd/>
        <w:snapToGrid/>
        <w:spacing w:beforeAutospacing="0" w:afterAutospacing="0" w:line="500" w:lineRule="exact"/>
        <w:jc w:val="center"/>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889"/>
        <w:gridCol w:w="55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9" w:type="dxa"/>
            <w:tcBorders>
              <w:top w:val="single" w:color="auto" w:sz="4" w:space="0"/>
              <w:left w:val="single" w:color="auto" w:sz="4" w:space="0"/>
              <w:bottom w:val="single" w:color="auto" w:sz="4" w:space="0"/>
              <w:right w:val="single" w:color="auto" w:sz="4" w:space="0"/>
            </w:tcBorders>
            <w:noWrap/>
            <w:vAlign w:val="center"/>
          </w:tcPr>
          <w:p>
            <w:pPr>
              <w:pStyle w:val="6"/>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5597" w:type="dxa"/>
            <w:tcBorders>
              <w:top w:val="single" w:color="auto" w:sz="4" w:space="0"/>
              <w:left w:val="single" w:color="auto" w:sz="4" w:space="0"/>
              <w:bottom w:val="single" w:color="auto" w:sz="4" w:space="0"/>
              <w:right w:val="single" w:color="auto" w:sz="4" w:space="0"/>
            </w:tcBorders>
            <w:noWrap/>
            <w:vAlign w:val="center"/>
          </w:tcPr>
          <w:p>
            <w:pPr>
              <w:pStyle w:val="6"/>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9" w:type="dxa"/>
            <w:tcBorders>
              <w:top w:val="single" w:color="auto" w:sz="4" w:space="0"/>
              <w:left w:val="single" w:color="auto" w:sz="4" w:space="0"/>
              <w:bottom w:val="single" w:color="auto" w:sz="4" w:space="0"/>
              <w:right w:val="single" w:color="auto" w:sz="4" w:space="0"/>
            </w:tcBorders>
            <w:noWrap/>
            <w:vAlign w:val="center"/>
          </w:tcPr>
          <w:p>
            <w:pPr>
              <w:pStyle w:val="6"/>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5597" w:type="dxa"/>
            <w:tcBorders>
              <w:top w:val="single" w:color="auto" w:sz="4" w:space="0"/>
              <w:left w:val="single" w:color="auto" w:sz="4" w:space="0"/>
              <w:bottom w:val="single" w:color="auto" w:sz="4" w:space="0"/>
              <w:right w:val="single" w:color="auto" w:sz="4" w:space="0"/>
            </w:tcBorders>
            <w:noWrap/>
            <w:vAlign w:val="center"/>
          </w:tcPr>
          <w:p>
            <w:pPr>
              <w:pStyle w:val="6"/>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9" w:type="dxa"/>
            <w:tcBorders>
              <w:top w:val="single" w:color="auto" w:sz="4" w:space="0"/>
              <w:left w:val="single" w:color="auto" w:sz="4" w:space="0"/>
              <w:bottom w:val="single" w:color="auto" w:sz="4" w:space="0"/>
              <w:right w:val="single" w:color="auto" w:sz="4" w:space="0"/>
            </w:tcBorders>
            <w:noWrap/>
            <w:vAlign w:val="center"/>
          </w:tcPr>
          <w:p>
            <w:pPr>
              <w:pStyle w:val="6"/>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验   收</w:t>
            </w:r>
          </w:p>
        </w:tc>
        <w:tc>
          <w:tcPr>
            <w:tcW w:w="5597" w:type="dxa"/>
            <w:tcBorders>
              <w:top w:val="single" w:color="auto" w:sz="4" w:space="0"/>
              <w:left w:val="single" w:color="auto" w:sz="4" w:space="0"/>
              <w:bottom w:val="single" w:color="auto" w:sz="4" w:space="0"/>
              <w:right w:val="single" w:color="auto" w:sz="4" w:space="0"/>
            </w:tcBorders>
            <w:noWrap/>
            <w:vAlign w:val="center"/>
          </w:tcPr>
          <w:p>
            <w:pPr>
              <w:pStyle w:val="6"/>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9" w:type="dxa"/>
            <w:tcBorders>
              <w:top w:val="single" w:color="auto" w:sz="4" w:space="0"/>
              <w:left w:val="single" w:color="auto" w:sz="4" w:space="0"/>
              <w:bottom w:val="single" w:color="auto" w:sz="4" w:space="0"/>
              <w:right w:val="single" w:color="auto" w:sz="4" w:space="0"/>
            </w:tcBorders>
            <w:noWrap/>
            <w:vAlign w:val="center"/>
          </w:tcPr>
          <w:p>
            <w:pPr>
              <w:pStyle w:val="6"/>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5597" w:type="dxa"/>
            <w:tcBorders>
              <w:top w:val="single" w:color="auto" w:sz="4" w:space="0"/>
              <w:left w:val="single" w:color="auto" w:sz="4" w:space="0"/>
              <w:bottom w:val="single" w:color="auto" w:sz="4" w:space="0"/>
              <w:right w:val="single" w:color="auto" w:sz="4" w:space="0"/>
            </w:tcBorders>
            <w:noWrap/>
            <w:vAlign w:val="center"/>
          </w:tcPr>
          <w:p>
            <w:pPr>
              <w:pStyle w:val="6"/>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合格。</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89" w:type="dxa"/>
            <w:tcBorders>
              <w:top w:val="single" w:color="auto" w:sz="4" w:space="0"/>
              <w:left w:val="single" w:color="auto" w:sz="4" w:space="0"/>
              <w:bottom w:val="single" w:color="auto" w:sz="4" w:space="0"/>
              <w:right w:val="single" w:color="auto" w:sz="4" w:space="0"/>
            </w:tcBorders>
            <w:noWrap/>
            <w:vAlign w:val="center"/>
          </w:tcPr>
          <w:p>
            <w:pPr>
              <w:pStyle w:val="6"/>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付款方式</w:t>
            </w:r>
          </w:p>
        </w:tc>
        <w:tc>
          <w:tcPr>
            <w:tcW w:w="5597" w:type="dxa"/>
            <w:tcBorders>
              <w:top w:val="single" w:color="auto" w:sz="4" w:space="0"/>
              <w:left w:val="single" w:color="auto" w:sz="4" w:space="0"/>
              <w:bottom w:val="single" w:color="auto" w:sz="4" w:space="0"/>
              <w:right w:val="single" w:color="auto" w:sz="4" w:space="0"/>
            </w:tcBorders>
            <w:noWrap/>
            <w:vAlign w:val="center"/>
          </w:tcPr>
          <w:p>
            <w:pPr>
              <w:pStyle w:val="6"/>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3889" w:type="dxa"/>
            <w:tcBorders>
              <w:top w:val="single" w:color="auto" w:sz="4" w:space="0"/>
              <w:left w:val="single" w:color="auto" w:sz="4" w:space="0"/>
              <w:bottom w:val="single" w:color="auto" w:sz="4" w:space="0"/>
              <w:right w:val="single" w:color="auto" w:sz="4" w:space="0"/>
            </w:tcBorders>
            <w:noWrap/>
            <w:vAlign w:val="center"/>
          </w:tcPr>
          <w:p>
            <w:pPr>
              <w:pStyle w:val="6"/>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5597" w:type="dxa"/>
            <w:tcBorders>
              <w:top w:val="single" w:color="auto" w:sz="4" w:space="0"/>
              <w:left w:val="single" w:color="auto" w:sz="4" w:space="0"/>
              <w:bottom w:val="single" w:color="auto" w:sz="4" w:space="0"/>
              <w:right w:val="single" w:color="auto" w:sz="4" w:space="0"/>
            </w:tcBorders>
            <w:noWrap/>
            <w:vAlign w:val="center"/>
          </w:tcPr>
          <w:p>
            <w:pPr>
              <w:pStyle w:val="6"/>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p>
        </w:tc>
      </w:tr>
    </w:tbl>
    <w:p>
      <w:pPr>
        <w:snapToGrid w:val="0"/>
        <w:spacing w:line="36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7"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2、授权评标委员会确定一名中标人并推荐两名中标候选人。</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3、供应商应根据采购文件的要求提供技术响应表、商务响应表等内容以对采购文件作出响应。</w:t>
            </w:r>
          </w:p>
        </w:tc>
      </w:tr>
    </w:tbl>
    <w:p>
      <w:pPr>
        <w:jc w:val="center"/>
        <w:rPr>
          <w:rFonts w:hint="eastAsia"/>
          <w:b/>
          <w:bCs/>
          <w:color w:val="auto"/>
          <w:sz w:val="32"/>
          <w:szCs w:val="32"/>
          <w:highlight w:val="none"/>
        </w:rPr>
      </w:pPr>
      <w:bookmarkStart w:id="35" w:name="_Toc14504"/>
    </w:p>
    <w:p>
      <w:pPr>
        <w:pStyle w:val="2"/>
        <w:rPr>
          <w:rFonts w:hint="eastAsia"/>
          <w:b/>
          <w:bCs/>
          <w:color w:val="auto"/>
          <w:sz w:val="32"/>
          <w:szCs w:val="32"/>
          <w:highlight w:val="none"/>
        </w:rPr>
      </w:pPr>
    </w:p>
    <w:p>
      <w:pPr>
        <w:pStyle w:val="5"/>
        <w:rPr>
          <w:rFonts w:hint="eastAsia"/>
          <w:b/>
          <w:bCs/>
          <w:color w:val="auto"/>
          <w:sz w:val="32"/>
          <w:szCs w:val="32"/>
          <w:highlight w:val="none"/>
        </w:rPr>
      </w:pPr>
    </w:p>
    <w:p>
      <w:pPr>
        <w:rPr>
          <w:rFonts w:hint="eastAsia"/>
          <w:b/>
          <w:bCs/>
          <w:color w:val="auto"/>
          <w:sz w:val="32"/>
          <w:szCs w:val="32"/>
          <w:highlight w:val="none"/>
        </w:rPr>
      </w:pPr>
    </w:p>
    <w:p>
      <w:pPr>
        <w:pStyle w:val="2"/>
        <w:rPr>
          <w:rFonts w:hint="eastAsia"/>
          <w:b/>
          <w:bCs/>
          <w:color w:val="auto"/>
          <w:sz w:val="32"/>
          <w:szCs w:val="32"/>
          <w:highlight w:val="none"/>
        </w:rPr>
      </w:pPr>
    </w:p>
    <w:p>
      <w:pPr>
        <w:pStyle w:val="5"/>
        <w:rPr>
          <w:rFonts w:hint="eastAsia"/>
          <w:b/>
          <w:bCs/>
          <w:color w:val="auto"/>
          <w:sz w:val="32"/>
          <w:szCs w:val="32"/>
          <w:highlight w:val="none"/>
        </w:rPr>
      </w:pPr>
    </w:p>
    <w:p>
      <w:pPr>
        <w:rPr>
          <w:rFonts w:hint="eastAsia"/>
          <w:b/>
          <w:bCs/>
          <w:color w:val="auto"/>
          <w:sz w:val="32"/>
          <w:szCs w:val="32"/>
          <w:highlight w:val="none"/>
        </w:rPr>
      </w:pPr>
    </w:p>
    <w:p>
      <w:pPr>
        <w:pStyle w:val="2"/>
        <w:rPr>
          <w:rFonts w:hint="eastAsia"/>
          <w:b/>
          <w:bCs/>
          <w:color w:val="auto"/>
          <w:sz w:val="32"/>
          <w:szCs w:val="32"/>
          <w:highlight w:val="none"/>
        </w:rPr>
      </w:pPr>
    </w:p>
    <w:p>
      <w:pPr>
        <w:pStyle w:val="5"/>
        <w:rPr>
          <w:rFonts w:hint="eastAsia"/>
          <w:b/>
          <w:bCs/>
          <w:color w:val="auto"/>
          <w:sz w:val="32"/>
          <w:szCs w:val="32"/>
          <w:highlight w:val="none"/>
        </w:rPr>
      </w:pPr>
    </w:p>
    <w:p>
      <w:pPr>
        <w:rPr>
          <w:rFonts w:hint="eastAsia"/>
          <w:b/>
          <w:bCs/>
          <w:color w:val="auto"/>
          <w:sz w:val="32"/>
          <w:szCs w:val="32"/>
          <w:highlight w:val="none"/>
        </w:rPr>
      </w:pPr>
    </w:p>
    <w:p>
      <w:pPr>
        <w:pStyle w:val="2"/>
        <w:rPr>
          <w:rFonts w:hint="eastAsia"/>
          <w:b/>
          <w:bCs/>
          <w:color w:val="auto"/>
          <w:sz w:val="32"/>
          <w:szCs w:val="32"/>
          <w:highlight w:val="none"/>
        </w:rPr>
      </w:pPr>
    </w:p>
    <w:p>
      <w:pPr>
        <w:pStyle w:val="5"/>
        <w:rPr>
          <w:rFonts w:hint="eastAsia"/>
          <w:b/>
          <w:bCs/>
          <w:color w:val="auto"/>
          <w:sz w:val="32"/>
          <w:szCs w:val="32"/>
          <w:highlight w:val="none"/>
        </w:rPr>
      </w:pPr>
      <w:bookmarkStart w:id="86" w:name="_GoBack"/>
      <w:bookmarkEnd w:id="86"/>
    </w:p>
    <w:p>
      <w:pPr>
        <w:rPr>
          <w:rFonts w:hint="eastAsia"/>
          <w:b/>
          <w:bCs/>
          <w:color w:val="auto"/>
          <w:sz w:val="32"/>
          <w:szCs w:val="32"/>
          <w:highlight w:val="none"/>
        </w:rPr>
      </w:pPr>
    </w:p>
    <w:p>
      <w:pPr>
        <w:rPr>
          <w:rFonts w:hint="eastAsia"/>
        </w:rPr>
      </w:pPr>
    </w:p>
    <w:p>
      <w:pPr>
        <w:jc w:val="center"/>
        <w:rPr>
          <w:b/>
          <w:bCs/>
          <w:color w:val="auto"/>
          <w:sz w:val="32"/>
          <w:szCs w:val="32"/>
          <w:highlight w:val="none"/>
        </w:rPr>
      </w:pPr>
      <w:r>
        <w:rPr>
          <w:rFonts w:hint="eastAsia"/>
          <w:b/>
          <w:bCs/>
          <w:color w:val="auto"/>
          <w:sz w:val="32"/>
          <w:szCs w:val="32"/>
          <w:highlight w:val="none"/>
        </w:rPr>
        <w:t>第三章  投标人须知</w:t>
      </w:r>
      <w:bookmarkEnd w:id="35"/>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color w:val="auto"/>
                <w:highlight w:val="none"/>
                <w:lang w:val="en-US" w:eastAsia="zh-CN"/>
              </w:rPr>
              <w:t>驻马店市儿童（妇女儿童）医院一期建设室外配套工程项目可研报告咨询服务</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6.3万</w:t>
            </w:r>
            <w:r>
              <w:rPr>
                <w:rFonts w:hint="eastAsia" w:ascii="宋体" w:hAnsi="宋体" w:cs="宋体"/>
                <w:color w:val="auto"/>
                <w:kern w:val="0"/>
                <w:szCs w:val="21"/>
                <w:highlight w:val="none"/>
              </w:rPr>
              <w:t>元</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“投标人”系指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“投标人代表”系指代表投标人参加本次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6.3万</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4.1</w:t>
      </w:r>
      <w:r>
        <w:rPr>
          <w:rFonts w:hint="eastAsia" w:ascii="宋体" w:hAnsi="宋体" w:eastAsia="宋体" w:cs="宋体"/>
          <w:color w:val="auto"/>
          <w:lang w:val="en-US" w:eastAsia="zh-CN"/>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4.2</w:t>
      </w:r>
      <w:r>
        <w:rPr>
          <w:rFonts w:hint="eastAsia" w:ascii="宋体" w:hAnsi="宋体" w:eastAsia="宋体" w:cs="宋体"/>
          <w:color w:val="auto"/>
          <w:lang w:val="en-US" w:eastAsia="zh-CN"/>
        </w:rPr>
        <w:t>供应商应提供2021年度经审计的财务报告或者其基本开户银行出具的资信证明；2022年6月以来任意一个月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4.3</w:t>
      </w:r>
      <w:r>
        <w:rPr>
          <w:rFonts w:hint="eastAsia" w:ascii="宋体" w:hAnsi="宋体" w:eastAsia="宋体" w:cs="宋体"/>
          <w:color w:val="auto"/>
          <w:lang w:val="en-US" w:eastAsia="zh-CN"/>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w:t>
      </w:r>
      <w:r>
        <w:rPr>
          <w:rFonts w:hint="eastAsia" w:ascii="宋体" w:hAnsi="宋体" w:cs="宋体"/>
          <w:color w:val="auto"/>
          <w:lang w:val="en-US" w:eastAsia="zh-CN"/>
        </w:rPr>
        <w:t>.4</w:t>
      </w:r>
      <w:r>
        <w:rPr>
          <w:rFonts w:hint="eastAsia" w:ascii="宋体" w:hAnsi="宋体" w:eastAsia="宋体" w:cs="宋体"/>
          <w:color w:val="auto"/>
          <w:lang w:val="en-US" w:eastAsia="zh-CN"/>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4.5</w:t>
      </w:r>
      <w:r>
        <w:rPr>
          <w:rFonts w:hint="eastAsia" w:ascii="宋体" w:hAnsi="宋体" w:eastAsia="宋体" w:cs="宋体"/>
          <w:color w:val="auto"/>
          <w:lang w:val="en-US" w:eastAsia="zh-CN"/>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4.6</w:t>
      </w:r>
      <w:r>
        <w:rPr>
          <w:rFonts w:hint="eastAsia" w:ascii="宋体" w:hAnsi="宋体" w:eastAsia="宋体" w:cs="宋体"/>
          <w:color w:val="auto"/>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4.7</w:t>
      </w:r>
      <w:r>
        <w:rPr>
          <w:rFonts w:hint="eastAsia" w:ascii="宋体" w:hAnsi="宋体" w:cs="宋体"/>
          <w:color w:val="000000" w:themeColor="text1"/>
          <w:lang w:val="en-US" w:eastAsia="zh-CN"/>
          <w14:textFill>
            <w14:solidFill>
              <w14:schemeClr w14:val="tx1"/>
            </w14:solidFill>
          </w14:textFill>
        </w:rPr>
        <w:t>拟派</w:t>
      </w:r>
      <w:r>
        <w:rPr>
          <w:rFonts w:hint="eastAsia" w:ascii="宋体" w:hAnsi="宋体" w:eastAsia="宋体" w:cs="宋体"/>
          <w:color w:val="000000" w:themeColor="text1"/>
          <w:lang w:val="en-US" w:eastAsia="zh-CN"/>
          <w14:textFill>
            <w14:solidFill>
              <w14:schemeClr w14:val="tx1"/>
            </w14:solidFill>
          </w14:textFill>
        </w:rPr>
        <w:t>项目负责人须为本单位人员</w:t>
      </w:r>
      <w:r>
        <w:rPr>
          <w:rFonts w:hint="eastAsia" w:ascii="宋体" w:hAnsi="宋体" w:cs="宋体"/>
          <w:color w:val="000000" w:themeColor="text1"/>
          <w:lang w:val="en-US" w:eastAsia="zh-CN"/>
          <w14:textFill>
            <w14:solidFill>
              <w14:schemeClr w14:val="tx1"/>
            </w14:solidFill>
          </w14:textFill>
        </w:rPr>
        <w:t>，且</w:t>
      </w:r>
      <w:r>
        <w:rPr>
          <w:rFonts w:hint="eastAsia" w:ascii="宋体" w:hAnsi="宋体" w:eastAsia="宋体" w:cs="宋体"/>
          <w:color w:val="000000" w:themeColor="text1"/>
          <w:lang w:val="en-US" w:eastAsia="zh-CN"/>
          <w14:textFill>
            <w14:solidFill>
              <w14:schemeClr w14:val="tx1"/>
            </w14:solidFill>
          </w14:textFill>
        </w:rPr>
        <w:t>具备注册咨询工程师资格</w:t>
      </w:r>
      <w:r>
        <w:rPr>
          <w:rFonts w:hint="eastAsia" w:ascii="宋体" w:hAnsi="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提供</w:t>
      </w:r>
      <w:r>
        <w:rPr>
          <w:rFonts w:hint="eastAsia" w:ascii="宋体" w:hAnsi="宋体" w:cs="宋体"/>
          <w:color w:val="000000" w:themeColor="text1"/>
          <w:lang w:val="en-US" w:eastAsia="zh-CN"/>
          <w14:textFill>
            <w14:solidFill>
              <w14:schemeClr w14:val="tx1"/>
            </w14:solidFill>
          </w14:textFill>
        </w:rPr>
        <w:t>本</w:t>
      </w:r>
      <w:r>
        <w:rPr>
          <w:rFonts w:hint="eastAsia" w:ascii="宋体" w:hAnsi="宋体" w:eastAsia="宋体" w:cs="宋体"/>
          <w:color w:val="000000" w:themeColor="text1"/>
          <w:lang w:val="en-US" w:eastAsia="zh-CN"/>
          <w14:textFill>
            <w14:solidFill>
              <w14:schemeClr w14:val="tx1"/>
            </w14:solidFill>
          </w14:textFill>
        </w:rPr>
        <w:t>单位与其签订的劳动合同</w:t>
      </w:r>
      <w:r>
        <w:rPr>
          <w:rFonts w:hint="eastAsia" w:ascii="宋体" w:hAnsi="宋体" w:cs="宋体"/>
          <w:color w:val="000000" w:themeColor="text1"/>
          <w:lang w:val="en-US" w:eastAsia="zh-CN"/>
          <w14:textFill>
            <w14:solidFill>
              <w14:schemeClr w14:val="tx1"/>
            </w14:solidFill>
          </w14:textFill>
        </w:rPr>
        <w:t>，或</w:t>
      </w:r>
      <w:r>
        <w:rPr>
          <w:rFonts w:hint="eastAsia" w:ascii="宋体" w:hAnsi="宋体" w:eastAsia="宋体" w:cs="宋体"/>
          <w:color w:val="000000" w:themeColor="text1"/>
          <w:lang w:val="en-US" w:eastAsia="zh-CN"/>
          <w14:textFill>
            <w14:solidFill>
              <w14:schemeClr w14:val="tx1"/>
            </w14:solidFill>
          </w14:textFill>
        </w:rPr>
        <w:t>缴纳的2022年6月份（含）以来任一个月的社保证明</w:t>
      </w:r>
      <w:r>
        <w:rPr>
          <w:rFonts w:hint="eastAsia" w:ascii="宋体" w:hAnsi="宋体" w:cs="宋体"/>
          <w:color w:val="000000" w:themeColor="text1"/>
          <w:lang w:val="en-US" w:eastAsia="zh-CN"/>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5"/>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时间、质保期等不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6"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6"/>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37"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37"/>
    <w:p>
      <w:pPr>
        <w:rPr>
          <w:color w:val="auto"/>
          <w:highlight w:val="none"/>
        </w:rPr>
      </w:pPr>
      <w:bookmarkStart w:id="38" w:name="_Toc4700"/>
      <w:bookmarkStart w:id="39"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0" w:name="_Toc9022"/>
      <w:r>
        <w:rPr>
          <w:rFonts w:hint="eastAsia" w:ascii="黑体" w:hAnsi="宋体" w:eastAsia="黑体" w:cs="宋体"/>
          <w:b/>
          <w:bCs/>
          <w:color w:val="auto"/>
          <w:kern w:val="0"/>
          <w:sz w:val="32"/>
          <w:szCs w:val="32"/>
          <w:highlight w:val="none"/>
        </w:rPr>
        <w:t>第四章  评标办法及评分标准</w:t>
      </w:r>
      <w:bookmarkEnd w:id="38"/>
      <w:bookmarkEnd w:id="40"/>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377"/>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（25分）</w:t>
            </w:r>
          </w:p>
        </w:tc>
        <w:tc>
          <w:tcPr>
            <w:tcW w:w="2377"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对“第二章、采购需求”的响应、</w:t>
            </w:r>
            <w:r>
              <w:rPr>
                <w:rFonts w:hint="eastAsia" w:ascii="宋体" w:hAnsi="宋体" w:eastAsia="宋体" w:cs="宋体"/>
                <w:b w:val="0"/>
                <w:bCs w:val="0"/>
                <w:color w:val="auto"/>
                <w:sz w:val="21"/>
                <w:szCs w:val="21"/>
                <w:highlight w:val="none"/>
              </w:rPr>
              <w:t>人员配备</w:t>
            </w:r>
            <w:r>
              <w:rPr>
                <w:rFonts w:hint="eastAsia" w:ascii="宋体" w:hAnsi="宋体" w:cs="宋体"/>
                <w:b w:val="0"/>
                <w:bCs w:val="0"/>
                <w:color w:val="auto"/>
                <w:sz w:val="21"/>
                <w:szCs w:val="21"/>
                <w:highlight w:val="none"/>
                <w:lang w:val="en-US" w:eastAsia="zh-CN"/>
              </w:rPr>
              <w:t>及</w:t>
            </w:r>
            <w:r>
              <w:rPr>
                <w:rFonts w:hint="eastAsia" w:ascii="宋体" w:hAnsi="宋体" w:eastAsia="宋体" w:cs="宋体"/>
                <w:b w:val="0"/>
                <w:bCs w:val="0"/>
                <w:color w:val="auto"/>
                <w:sz w:val="21"/>
                <w:szCs w:val="21"/>
                <w:highlight w:val="none"/>
              </w:rPr>
              <w:t>专业技术水平、</w:t>
            </w:r>
            <w:r>
              <w:rPr>
                <w:rFonts w:hint="eastAsia" w:ascii="宋体" w:hAnsi="宋体" w:cs="宋体"/>
                <w:b w:val="0"/>
                <w:bCs w:val="0"/>
                <w:color w:val="auto"/>
                <w:kern w:val="0"/>
                <w:sz w:val="21"/>
                <w:szCs w:val="21"/>
                <w:highlight w:val="none"/>
                <w:lang w:val="en-US" w:eastAsia="zh-CN"/>
              </w:rPr>
              <w:t>企业综合实力等</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根据投标人在投标文件中所附</w:t>
            </w:r>
            <w:r>
              <w:rPr>
                <w:rFonts w:hint="eastAsia" w:ascii="宋体" w:hAnsi="宋体" w:cs="宋体"/>
                <w:b w:val="0"/>
                <w:bCs w:val="0"/>
                <w:color w:val="auto"/>
                <w:sz w:val="21"/>
                <w:szCs w:val="21"/>
                <w:highlight w:val="none"/>
                <w:lang w:val="en-US" w:eastAsia="zh-CN"/>
              </w:rPr>
              <w:t>资料</w:t>
            </w:r>
            <w:r>
              <w:rPr>
                <w:rFonts w:hint="eastAsia" w:ascii="宋体" w:hAnsi="宋体" w:eastAsia="宋体" w:cs="宋体"/>
                <w:b w:val="0"/>
                <w:bCs w:val="0"/>
                <w:color w:val="auto"/>
                <w:sz w:val="21"/>
                <w:szCs w:val="21"/>
                <w:highlight w:val="none"/>
              </w:rPr>
              <w:t>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(20分)</w:t>
            </w:r>
          </w:p>
        </w:tc>
        <w:tc>
          <w:tcPr>
            <w:tcW w:w="2377"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证书、类似业绩、其他优惠承诺</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增值服务</w:t>
            </w:r>
            <w:r>
              <w:rPr>
                <w:rFonts w:hint="eastAsia" w:ascii="宋体" w:hAnsi="宋体" w:eastAsia="宋体" w:cs="宋体"/>
                <w:b w:val="0"/>
                <w:bCs w:val="0"/>
                <w:color w:val="auto"/>
                <w:sz w:val="21"/>
                <w:szCs w:val="21"/>
                <w:highlight w:val="none"/>
              </w:rPr>
              <w:t>等</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提供相关有效证件等资料的复印件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(25分)</w:t>
            </w:r>
          </w:p>
        </w:tc>
        <w:tc>
          <w:tcPr>
            <w:tcW w:w="2377"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培训方案、服务站点、服务响应及时性、售后服务方案</w:t>
            </w:r>
            <w:r>
              <w:rPr>
                <w:rFonts w:hint="eastAsia" w:ascii="宋体" w:hAnsi="宋体" w:cs="宋体"/>
                <w:b w:val="0"/>
                <w:bCs w:val="0"/>
                <w:color w:val="auto"/>
                <w:sz w:val="21"/>
                <w:szCs w:val="21"/>
                <w:highlight w:val="none"/>
                <w:lang w:val="en-US" w:eastAsia="zh-CN"/>
              </w:rPr>
              <w:t>、服务承诺及增值服务</w:t>
            </w:r>
            <w:r>
              <w:rPr>
                <w:rFonts w:hint="eastAsia" w:ascii="宋体" w:hAnsi="宋体" w:eastAsia="宋体" w:cs="宋体"/>
                <w:b w:val="0"/>
                <w:bCs w:val="0"/>
                <w:color w:val="auto"/>
                <w:sz w:val="21"/>
                <w:szCs w:val="21"/>
                <w:highlight w:val="none"/>
                <w:lang w:val="en-US" w:eastAsia="zh-CN"/>
              </w:rPr>
              <w:t>等</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根据</w:t>
            </w:r>
            <w:r>
              <w:rPr>
                <w:rFonts w:hint="eastAsia" w:ascii="宋体" w:hAnsi="宋体" w:eastAsia="宋体" w:cs="宋体"/>
                <w:b w:val="0"/>
                <w:bCs w:val="0"/>
                <w:color w:val="auto"/>
                <w:kern w:val="0"/>
                <w:sz w:val="21"/>
                <w:szCs w:val="21"/>
                <w:highlight w:val="none"/>
                <w:lang w:val="en-US" w:eastAsia="zh-CN"/>
              </w:rPr>
              <w:t>投标人在投标文件中所投产品的售后服务站设立情况（配备有专业售后服务技术人员，提供售后服务人员名单和售后服务地址、电话）</w:t>
            </w:r>
            <w:r>
              <w:rPr>
                <w:rFonts w:hint="eastAsia" w:ascii="宋体" w:hAnsi="宋体" w:cs="宋体"/>
                <w:b w:val="0"/>
                <w:bCs w:val="0"/>
                <w:color w:val="auto"/>
                <w:kern w:val="0"/>
                <w:sz w:val="21"/>
                <w:szCs w:val="21"/>
                <w:highlight w:val="none"/>
                <w:lang w:val="en-US" w:eastAsia="zh-CN"/>
              </w:rPr>
              <w:t>、培训方案、</w:t>
            </w:r>
            <w:r>
              <w:rPr>
                <w:rFonts w:hint="eastAsia" w:ascii="宋体" w:hAnsi="宋体" w:eastAsia="宋体" w:cs="宋体"/>
                <w:b w:val="0"/>
                <w:bCs w:val="0"/>
                <w:color w:val="auto"/>
                <w:kern w:val="2"/>
                <w:sz w:val="21"/>
                <w:szCs w:val="21"/>
                <w:highlight w:val="none"/>
              </w:rPr>
              <w:t>售后服务及时率、服务到位程度、详细的维修时间和处理办法及针对本项目的售后服务方案及相应的安全质量保障措施等内容</w:t>
            </w:r>
            <w:r>
              <w:rPr>
                <w:rFonts w:hint="eastAsia" w:ascii="宋体" w:hAnsi="宋体" w:cs="宋体"/>
                <w:b w:val="0"/>
                <w:bCs w:val="0"/>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39"/>
    <w:p>
      <w:pPr>
        <w:rPr>
          <w:color w:val="auto"/>
          <w:highlight w:val="none"/>
        </w:rPr>
      </w:pPr>
      <w:bookmarkStart w:id="41" w:name="_Toc1947"/>
      <w:bookmarkStart w:id="42" w:name="_Toc1482"/>
      <w:bookmarkStart w:id="43" w:name="_Toc256519703"/>
      <w:bookmarkStart w:id="44" w:name="_Toc326786897"/>
    </w:p>
    <w:p>
      <w:pPr>
        <w:pStyle w:val="8"/>
        <w:snapToGrid w:val="0"/>
        <w:spacing w:before="0" w:after="0" w:line="480" w:lineRule="auto"/>
        <w:jc w:val="center"/>
        <w:rPr>
          <w:color w:val="auto"/>
          <w:sz w:val="28"/>
          <w:szCs w:val="28"/>
          <w:highlight w:val="yellow"/>
        </w:rPr>
      </w:pPr>
      <w:bookmarkStart w:id="45" w:name="_Toc28988"/>
      <w:r>
        <w:rPr>
          <w:rFonts w:hint="eastAsia"/>
          <w:color w:val="auto"/>
          <w:sz w:val="28"/>
          <w:szCs w:val="28"/>
          <w:highlight w:val="none"/>
        </w:rPr>
        <w:t>第五章  采购合同</w:t>
      </w:r>
      <w:bookmarkEnd w:id="45"/>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2"/>
      </w:pPr>
    </w:p>
    <w:p>
      <w:pPr>
        <w:pStyle w:val="8"/>
        <w:jc w:val="center"/>
        <w:rPr>
          <w:rFonts w:ascii="宋体" w:hAnsi="宋体" w:cs="宋体"/>
          <w:color w:val="auto"/>
          <w:kern w:val="0"/>
          <w:highlight w:val="none"/>
        </w:rPr>
      </w:pPr>
      <w:bookmarkStart w:id="46" w:name="_Toc2638"/>
      <w:r>
        <w:rPr>
          <w:rFonts w:hint="eastAsia"/>
          <w:color w:val="auto"/>
          <w:sz w:val="32"/>
          <w:szCs w:val="32"/>
          <w:highlight w:val="none"/>
        </w:rPr>
        <w:t>第六章  投标文件格式</w:t>
      </w:r>
      <w:bookmarkEnd w:id="41"/>
      <w:bookmarkEnd w:id="42"/>
      <w:bookmarkEnd w:id="46"/>
    </w:p>
    <w:p>
      <w:pPr>
        <w:spacing w:line="440" w:lineRule="exact"/>
        <w:rPr>
          <w:color w:val="auto"/>
          <w:sz w:val="24"/>
          <w:highlight w:val="none"/>
        </w:rPr>
      </w:pPr>
    </w:p>
    <w:p>
      <w:pPr>
        <w:jc w:val="center"/>
        <w:rPr>
          <w:b/>
          <w:bCs/>
          <w:color w:val="auto"/>
          <w:sz w:val="32"/>
          <w:szCs w:val="32"/>
          <w:highlight w:val="none"/>
        </w:rPr>
      </w:pPr>
      <w:bookmarkStart w:id="47" w:name="_Toc13604"/>
      <w:r>
        <w:rPr>
          <w:rFonts w:hint="eastAsia"/>
          <w:b/>
          <w:bCs/>
          <w:color w:val="auto"/>
          <w:sz w:val="32"/>
          <w:szCs w:val="32"/>
          <w:highlight w:val="none"/>
        </w:rPr>
        <w:t>目    录</w:t>
      </w:r>
      <w:bookmarkEnd w:id="47"/>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48" w:name="_Toc11308"/>
      <w:r>
        <w:rPr>
          <w:rFonts w:hint="eastAsia"/>
          <w:color w:val="auto"/>
          <w:sz w:val="24"/>
          <w:highlight w:val="none"/>
        </w:rPr>
        <w:t>附件1投标文件封面（格式）</w:t>
      </w:r>
      <w:bookmarkEnd w:id="48"/>
    </w:p>
    <w:p>
      <w:pPr>
        <w:snapToGrid w:val="0"/>
        <w:spacing w:line="360" w:lineRule="auto"/>
        <w:ind w:firstLine="480" w:firstLineChars="200"/>
        <w:rPr>
          <w:color w:val="auto"/>
          <w:sz w:val="24"/>
          <w:highlight w:val="none"/>
        </w:rPr>
      </w:pPr>
      <w:bookmarkStart w:id="49" w:name="_Toc25345"/>
      <w:r>
        <w:rPr>
          <w:rFonts w:hint="eastAsia"/>
          <w:color w:val="auto"/>
          <w:sz w:val="24"/>
          <w:highlight w:val="none"/>
        </w:rPr>
        <w:t>附件2 投标书（格式）</w:t>
      </w:r>
      <w:bookmarkEnd w:id="49"/>
    </w:p>
    <w:p>
      <w:pPr>
        <w:snapToGrid w:val="0"/>
        <w:spacing w:line="360" w:lineRule="auto"/>
        <w:ind w:firstLine="480" w:firstLineChars="200"/>
        <w:rPr>
          <w:color w:val="auto"/>
          <w:sz w:val="24"/>
          <w:highlight w:val="none"/>
        </w:rPr>
      </w:pPr>
      <w:bookmarkStart w:id="50" w:name="_Toc10217"/>
      <w:r>
        <w:rPr>
          <w:rFonts w:hint="eastAsia"/>
          <w:color w:val="auto"/>
          <w:sz w:val="24"/>
          <w:highlight w:val="none"/>
        </w:rPr>
        <w:t>附件3 开标一览表（格式）</w:t>
      </w:r>
      <w:bookmarkEnd w:id="50"/>
    </w:p>
    <w:p>
      <w:pPr>
        <w:snapToGrid w:val="0"/>
        <w:spacing w:line="360" w:lineRule="auto"/>
        <w:ind w:firstLine="480" w:firstLineChars="200"/>
        <w:rPr>
          <w:color w:val="auto"/>
          <w:sz w:val="24"/>
          <w:highlight w:val="none"/>
        </w:rPr>
      </w:pPr>
      <w:bookmarkStart w:id="51" w:name="_Toc9579"/>
      <w:r>
        <w:rPr>
          <w:rFonts w:hint="eastAsia"/>
          <w:color w:val="auto"/>
          <w:sz w:val="24"/>
          <w:highlight w:val="none"/>
        </w:rPr>
        <w:t>附件4 报价明细表（格式）</w:t>
      </w:r>
      <w:bookmarkEnd w:id="51"/>
    </w:p>
    <w:p>
      <w:pPr>
        <w:snapToGrid w:val="0"/>
        <w:spacing w:line="360" w:lineRule="auto"/>
        <w:ind w:firstLine="480" w:firstLineChars="200"/>
        <w:rPr>
          <w:color w:val="auto"/>
          <w:sz w:val="24"/>
          <w:highlight w:val="none"/>
        </w:rPr>
      </w:pPr>
      <w:bookmarkStart w:id="52"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2"/>
    </w:p>
    <w:p>
      <w:pPr>
        <w:snapToGrid w:val="0"/>
        <w:spacing w:line="360" w:lineRule="auto"/>
        <w:ind w:firstLine="480" w:firstLineChars="200"/>
        <w:rPr>
          <w:rFonts w:hint="eastAsia" w:eastAsia="宋体"/>
          <w:color w:val="auto"/>
          <w:sz w:val="24"/>
          <w:highlight w:val="none"/>
          <w:lang w:val="en-US" w:eastAsia="zh-CN"/>
        </w:rPr>
      </w:pPr>
      <w:bookmarkStart w:id="53" w:name="_Toc6234"/>
      <w:r>
        <w:rPr>
          <w:rFonts w:hint="eastAsia"/>
          <w:color w:val="auto"/>
          <w:sz w:val="24"/>
          <w:highlight w:val="none"/>
        </w:rPr>
        <w:t>附件6 商务</w:t>
      </w:r>
      <w:bookmarkEnd w:id="53"/>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4"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4"/>
    </w:p>
    <w:p>
      <w:pPr>
        <w:snapToGrid w:val="0"/>
        <w:spacing w:line="360" w:lineRule="auto"/>
        <w:ind w:firstLine="480" w:firstLineChars="200"/>
        <w:rPr>
          <w:color w:val="auto"/>
          <w:sz w:val="24"/>
          <w:highlight w:val="none"/>
        </w:rPr>
      </w:pPr>
      <w:bookmarkStart w:id="55"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5"/>
    </w:p>
    <w:p>
      <w:pPr>
        <w:snapToGrid w:val="0"/>
        <w:spacing w:line="360" w:lineRule="auto"/>
        <w:ind w:firstLine="480" w:firstLineChars="200"/>
        <w:rPr>
          <w:color w:val="auto"/>
          <w:sz w:val="24"/>
          <w:highlight w:val="none"/>
        </w:rPr>
      </w:pPr>
      <w:bookmarkStart w:id="56" w:name="_Toc31857"/>
      <w:r>
        <w:rPr>
          <w:rFonts w:hint="eastAsia"/>
          <w:color w:val="auto"/>
          <w:sz w:val="24"/>
          <w:highlight w:val="none"/>
        </w:rPr>
        <w:t>附件9 证明文件</w:t>
      </w:r>
      <w:bookmarkEnd w:id="56"/>
    </w:p>
    <w:p>
      <w:pPr>
        <w:snapToGrid w:val="0"/>
        <w:spacing w:line="360" w:lineRule="auto"/>
        <w:ind w:firstLine="480" w:firstLineChars="200"/>
        <w:rPr>
          <w:rFonts w:hint="eastAsia"/>
          <w:color w:val="auto"/>
          <w:sz w:val="24"/>
          <w:highlight w:val="none"/>
        </w:rPr>
      </w:pPr>
      <w:bookmarkStart w:id="57" w:name="_Toc23116"/>
      <w:r>
        <w:rPr>
          <w:rFonts w:hint="eastAsia"/>
          <w:color w:val="auto"/>
          <w:sz w:val="24"/>
          <w:highlight w:val="none"/>
        </w:rPr>
        <w:t>附件10 供应商承诺书（格式）</w:t>
      </w:r>
      <w:bookmarkEnd w:id="57"/>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2"/>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8"/>
        <w:rPr>
          <w:rFonts w:hAnsi="宋体"/>
          <w:b/>
          <w:bCs/>
          <w:color w:val="auto"/>
          <w:highlight w:val="none"/>
        </w:rPr>
      </w:pPr>
    </w:p>
    <w:p>
      <w:pPr>
        <w:pStyle w:val="48"/>
        <w:rPr>
          <w:rFonts w:hAnsi="宋体"/>
          <w:b/>
          <w:bCs/>
          <w:color w:val="auto"/>
          <w:highlight w:val="none"/>
        </w:rPr>
      </w:pPr>
    </w:p>
    <w:p>
      <w:pPr>
        <w:rPr>
          <w:color w:val="auto"/>
          <w:highlight w:val="none"/>
        </w:rPr>
      </w:pPr>
      <w:r>
        <w:rPr>
          <w:rFonts w:hint="eastAsia"/>
          <w:color w:val="auto"/>
          <w:highlight w:val="none"/>
        </w:rPr>
        <w:br w:type="page"/>
      </w:r>
    </w:p>
    <w:p>
      <w:pPr>
        <w:pStyle w:val="4"/>
        <w:rPr>
          <w:color w:val="auto"/>
          <w:highlight w:val="none"/>
        </w:rPr>
      </w:pPr>
    </w:p>
    <w:p>
      <w:pPr>
        <w:pStyle w:val="9"/>
        <w:rPr>
          <w:color w:val="auto"/>
          <w:highlight w:val="none"/>
        </w:rPr>
      </w:pPr>
      <w:bookmarkStart w:id="58" w:name="_Toc31798"/>
      <w:bookmarkStart w:id="59" w:name="_Toc24743"/>
      <w:r>
        <w:rPr>
          <w:rFonts w:hint="eastAsia"/>
          <w:color w:val="auto"/>
          <w:highlight w:val="none"/>
        </w:rPr>
        <w:t>附件1               投标文件封面（格式）</w:t>
      </w:r>
      <w:bookmarkEnd w:id="58"/>
      <w:bookmarkEnd w:id="59"/>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8"/>
        <w:spacing w:line="360" w:lineRule="auto"/>
        <w:rPr>
          <w:rFonts w:hint="eastAsia" w:ascii="宋体" w:hAnsi="宋体" w:eastAsia="宋体" w:cs="宋体"/>
          <w:color w:val="auto"/>
          <w:highlight w:val="none"/>
        </w:rPr>
      </w:pPr>
    </w:p>
    <w:p>
      <w:pPr>
        <w:pStyle w:val="48"/>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9"/>
        <w:rPr>
          <w:color w:val="auto"/>
          <w:highlight w:val="none"/>
        </w:rPr>
      </w:pPr>
      <w:bookmarkStart w:id="60" w:name="_Toc14560"/>
      <w:bookmarkStart w:id="61" w:name="_Toc8818"/>
      <w:r>
        <w:rPr>
          <w:rFonts w:hint="eastAsia"/>
          <w:color w:val="auto"/>
          <w:highlight w:val="none"/>
        </w:rPr>
        <w:t>附件2               投  标  书（格式）</w:t>
      </w:r>
      <w:bookmarkEnd w:id="60"/>
      <w:bookmarkEnd w:id="61"/>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9"/>
        <w:spacing w:before="20" w:after="20"/>
        <w:rPr>
          <w:color w:val="auto"/>
          <w:highlight w:val="none"/>
        </w:rPr>
      </w:pPr>
      <w:bookmarkStart w:id="62" w:name="_Toc7838"/>
      <w:r>
        <w:rPr>
          <w:rFonts w:hint="eastAsia"/>
          <w:color w:val="auto"/>
          <w:highlight w:val="none"/>
        </w:rPr>
        <w:t>附件3               开标一览表</w:t>
      </w:r>
      <w:bookmarkEnd w:id="62"/>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sz w:val="24"/>
                <w:lang w:val="en-US" w:eastAsia="zh-CN"/>
              </w:rPr>
              <w:t>元</w:t>
            </w:r>
            <w:r>
              <w:rPr>
                <w:rFonts w:hint="eastAsia" w:ascii="宋体" w:hAnsi="宋体"/>
                <w:color w:val="auto"/>
                <w:szCs w:val="21"/>
                <w:highlight w:val="none"/>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服务期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1"/>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3" w:name="_Toc11620"/>
      <w:bookmarkStart w:id="64" w:name="_Toc20877"/>
      <w:r>
        <w:rPr>
          <w:rFonts w:hint="eastAsia" w:ascii="宋体" w:hAnsi="宋体"/>
          <w:color w:val="auto"/>
          <w:szCs w:val="21"/>
          <w:highlight w:val="none"/>
        </w:rPr>
        <w:t>投标人（全称并加盖公章）：</w:t>
      </w:r>
      <w:bookmarkEnd w:id="63"/>
      <w:bookmarkEnd w:id="64"/>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65" w:name="_Toc625"/>
      <w:bookmarkStart w:id="66" w:name="_Toc12222"/>
      <w:r>
        <w:rPr>
          <w:rFonts w:hint="eastAsia" w:ascii="宋体" w:hAnsi="宋体"/>
          <w:color w:val="auto"/>
          <w:szCs w:val="21"/>
          <w:highlight w:val="none"/>
        </w:rPr>
        <w:t>法定代表人或其委托代理人（签字）：</w:t>
      </w:r>
      <w:bookmarkEnd w:id="65"/>
      <w:bookmarkEnd w:id="66"/>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67" w:name="_Toc9950"/>
      <w:bookmarkStart w:id="68" w:name="_Toc1330"/>
      <w:r>
        <w:rPr>
          <w:rFonts w:hint="eastAsia" w:ascii="宋体" w:hAnsi="宋体"/>
          <w:color w:val="auto"/>
          <w:szCs w:val="21"/>
          <w:highlight w:val="none"/>
        </w:rPr>
        <w:t>年  月  日</w:t>
      </w:r>
      <w:bookmarkEnd w:id="67"/>
      <w:bookmarkEnd w:id="68"/>
    </w:p>
    <w:p>
      <w:pPr>
        <w:rPr>
          <w:color w:val="auto"/>
          <w:highlight w:val="none"/>
        </w:rPr>
      </w:pPr>
      <w:r>
        <w:rPr>
          <w:color w:val="auto"/>
          <w:highlight w:val="none"/>
        </w:rPr>
        <w:br w:type="page"/>
      </w:r>
    </w:p>
    <w:p>
      <w:pPr>
        <w:rPr>
          <w:color w:val="auto"/>
          <w:highlight w:val="none"/>
        </w:rPr>
      </w:pPr>
    </w:p>
    <w:bookmarkEnd w:id="43"/>
    <w:bookmarkEnd w:id="44"/>
    <w:p>
      <w:pPr>
        <w:pStyle w:val="9"/>
        <w:spacing w:before="20" w:after="20"/>
        <w:rPr>
          <w:color w:val="000000" w:themeColor="text1"/>
          <w:highlight w:val="none"/>
          <w14:textFill>
            <w14:solidFill>
              <w14:schemeClr w14:val="tx1"/>
            </w14:solidFill>
          </w14:textFill>
        </w:rPr>
      </w:pPr>
      <w:bookmarkStart w:id="69" w:name="_Toc24984"/>
      <w:bookmarkStart w:id="70" w:name="_Toc22004"/>
      <w:r>
        <w:rPr>
          <w:rFonts w:hint="eastAsia"/>
          <w:color w:val="000000" w:themeColor="text1"/>
          <w:highlight w:val="none"/>
          <w14:textFill>
            <w14:solidFill>
              <w14:schemeClr w14:val="tx1"/>
            </w14:solidFill>
          </w14:textFill>
        </w:rPr>
        <w:t>附件4               报价明细表</w:t>
      </w:r>
      <w:bookmarkEnd w:id="69"/>
      <w:bookmarkEnd w:id="70"/>
    </w:p>
    <w:p>
      <w:pPr>
        <w:widowControl/>
        <w:wordWrap w:val="0"/>
        <w:snapToGrid w:val="0"/>
        <w:spacing w:before="50" w:after="50"/>
        <w:ind w:left="-3" w:leftChars="-72" w:right="-817" w:rightChars="-389" w:hanging="148" w:hangingChars="62"/>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2"/>
        <w:tblW w:w="9279"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7"/>
        <w:gridCol w:w="2384"/>
        <w:gridCol w:w="1516"/>
        <w:gridCol w:w="1541"/>
        <w:gridCol w:w="1718"/>
        <w:gridCol w:w="12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38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服务名称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71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203"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076"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投标总价(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203"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9"/>
        <w:rPr>
          <w:rFonts w:hint="eastAsia" w:eastAsia="黑体"/>
          <w:color w:val="auto"/>
          <w:highlight w:val="none"/>
          <w:lang w:val="en-US" w:eastAsia="zh-CN"/>
        </w:rPr>
      </w:pPr>
      <w:r>
        <w:rPr>
          <w:rFonts w:hint="eastAsia"/>
          <w:color w:val="auto"/>
          <w:highlight w:val="none"/>
        </w:rPr>
        <w:br w:type="page"/>
      </w:r>
      <w:bookmarkStart w:id="71" w:name="_Toc226"/>
      <w:bookmarkStart w:id="72" w:name="_Toc15804"/>
      <w:r>
        <w:rPr>
          <w:rFonts w:hint="eastAsia"/>
          <w:color w:val="auto"/>
          <w:highlight w:val="none"/>
        </w:rPr>
        <w:t xml:space="preserve">附件5         </w:t>
      </w:r>
      <w:bookmarkEnd w:id="71"/>
      <w:bookmarkEnd w:id="72"/>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3" w:name="_Toc29960"/>
      <w:bookmarkStart w:id="74" w:name="_Toc20420"/>
      <w:r>
        <w:rPr>
          <w:rFonts w:hint="eastAsia" w:ascii="Arial" w:hAnsi="Arial" w:eastAsia="新宋体"/>
          <w:b/>
          <w:color w:val="auto"/>
          <w:sz w:val="28"/>
          <w:highlight w:val="none"/>
        </w:rPr>
        <w:t>附件6               商务响应</w:t>
      </w:r>
      <w:bookmarkEnd w:id="73"/>
      <w:bookmarkEnd w:id="74"/>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2"/>
      </w:pPr>
    </w:p>
    <w:p/>
    <w:p>
      <w:pPr>
        <w:pStyle w:val="9"/>
      </w:pPr>
    </w:p>
    <w:p/>
    <w:p>
      <w:pPr>
        <w:pStyle w:val="9"/>
      </w:pPr>
    </w:p>
    <w:p/>
    <w:p>
      <w:pPr>
        <w:pStyle w:val="9"/>
      </w:pPr>
    </w:p>
    <w:p/>
    <w:p>
      <w:pPr>
        <w:pStyle w:val="9"/>
      </w:pPr>
    </w:p>
    <w:p/>
    <w:p>
      <w:pPr>
        <w:pStyle w:val="9"/>
      </w:pPr>
    </w:p>
    <w:p/>
    <w:p>
      <w:pPr>
        <w:pStyle w:val="9"/>
      </w:pPr>
    </w:p>
    <w:p/>
    <w:p>
      <w:pPr>
        <w:pStyle w:val="9"/>
      </w:pPr>
    </w:p>
    <w:p/>
    <w:p>
      <w:pPr>
        <w:pStyle w:val="9"/>
      </w:pPr>
    </w:p>
    <w:p>
      <w:pPr>
        <w:widowControl/>
        <w:wordWrap w:val="0"/>
        <w:spacing w:line="460" w:lineRule="exact"/>
        <w:jc w:val="left"/>
        <w:outlineLvl w:val="0"/>
        <w:rPr>
          <w:rFonts w:ascii="Arial" w:hAnsi="Arial" w:eastAsia="新宋体"/>
          <w:b/>
          <w:color w:val="auto"/>
          <w:sz w:val="28"/>
          <w:highlight w:val="none"/>
        </w:rPr>
      </w:pPr>
      <w:bookmarkStart w:id="75" w:name="_Toc28621"/>
      <w:bookmarkStart w:id="76" w:name="_Toc31526"/>
      <w:r>
        <w:rPr>
          <w:rFonts w:hint="eastAsia" w:ascii="Arial" w:hAnsi="Arial" w:eastAsia="新宋体"/>
          <w:b/>
          <w:color w:val="auto"/>
          <w:sz w:val="28"/>
          <w:highlight w:val="none"/>
        </w:rPr>
        <w:t>附件7               法定代表人身份证明（格式）</w:t>
      </w:r>
      <w:bookmarkEnd w:id="75"/>
      <w:bookmarkEnd w:id="76"/>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77" w:name="_Toc30519"/>
      <w:bookmarkStart w:id="78" w:name="_Toc13976"/>
      <w:r>
        <w:rPr>
          <w:rFonts w:hint="eastAsia" w:ascii="Arial" w:hAnsi="Arial" w:eastAsia="新宋体"/>
          <w:b/>
          <w:color w:val="auto"/>
          <w:sz w:val="28"/>
          <w:highlight w:val="none"/>
        </w:rPr>
        <w:t>附件8               法定代表人授权书（格式）</w:t>
      </w:r>
      <w:bookmarkEnd w:id="77"/>
      <w:bookmarkEnd w:id="78"/>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79" w:name="_Toc18105"/>
      <w:bookmarkStart w:id="80" w:name="_Toc24693"/>
      <w:r>
        <w:rPr>
          <w:rFonts w:hint="eastAsia" w:ascii="Arial" w:hAnsi="Arial" w:eastAsia="新宋体"/>
          <w:b/>
          <w:color w:val="auto"/>
          <w:sz w:val="28"/>
          <w:highlight w:val="none"/>
        </w:rPr>
        <w:t>附件9               证明文件</w:t>
      </w:r>
      <w:bookmarkEnd w:id="79"/>
      <w:bookmarkEnd w:id="80"/>
    </w:p>
    <w:p>
      <w:pPr>
        <w:pStyle w:val="13"/>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3"/>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3"/>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1" w:name="_Toc17966"/>
    </w:p>
    <w:p>
      <w:pPr>
        <w:pStyle w:val="13"/>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3"/>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3"/>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2" w:name="_Toc12888"/>
      <w:bookmarkStart w:id="83" w:name="_Toc13726"/>
      <w:r>
        <w:rPr>
          <w:rFonts w:hint="eastAsia" w:ascii="宋体" w:hAnsi="宋体" w:cs="Lucida Sans Unicode"/>
          <w:b/>
          <w:color w:val="auto"/>
          <w:kern w:val="0"/>
          <w:sz w:val="28"/>
          <w:szCs w:val="28"/>
          <w:highlight w:val="none"/>
        </w:rPr>
        <w:t xml:space="preserve">附件10        </w:t>
      </w:r>
      <w:bookmarkEnd w:id="81"/>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2"/>
      <w:bookmarkEnd w:id="83"/>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2"/>
        <w:rPr>
          <w:rFonts w:ascii="宋体" w:hAnsi="宋体" w:cs="宋体"/>
          <w:color w:val="auto"/>
          <w:kern w:val="0"/>
          <w:szCs w:val="21"/>
          <w:highlight w:val="none"/>
        </w:rPr>
      </w:pPr>
    </w:p>
    <w:p>
      <w:pPr>
        <w:pStyle w:val="5"/>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4" w:name="_Toc23394"/>
      <w:bookmarkStart w:id="85" w:name="_Toc25094"/>
      <w:r>
        <w:rPr>
          <w:rFonts w:hint="eastAsia" w:ascii="宋体" w:hAnsi="宋体" w:cs="Lucida Sans Unicode"/>
          <w:b/>
          <w:color w:val="auto"/>
          <w:kern w:val="0"/>
          <w:sz w:val="24"/>
          <w:highlight w:val="none"/>
        </w:rPr>
        <w:t>投标人认为有必要的其他资料</w:t>
      </w:r>
      <w:bookmarkEnd w:id="84"/>
      <w:bookmarkEnd w:id="85"/>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ascii="宋体" w:hAnsi="宋体" w:cs="宋体"/>
        <w:color w:val="auto"/>
        <w:szCs w:val="21"/>
        <w:highlight w:val="none"/>
        <w:shd w:val="clear" w:color="auto" w:fill="FFFFFF"/>
        <w:lang w:val="en-US" w:eastAsia="zh-CN"/>
      </w:rPr>
      <w:t>驻马店市儿童（妇女儿童）医院一期建设室外配套工程项目可研报告咨询服务</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rPr>
        <w:rFonts w:hint="eastAsia"/>
      </w:rPr>
    </w:pPr>
    <w:r>
      <w:rPr>
        <w:rFonts w:hint="eastAsia" w:ascii="宋体" w:hAnsi="宋体" w:cs="宋体"/>
        <w:color w:val="auto"/>
        <w:szCs w:val="21"/>
        <w:highlight w:val="none"/>
        <w:shd w:val="clear" w:color="auto" w:fill="FFFFFF"/>
        <w:lang w:val="en-US" w:eastAsia="zh-CN"/>
      </w:rPr>
      <w:t>驻马店市妇女儿童医院一期建设室外配套工程项目可研报告咨询服务</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525212"/>
    <w:rsid w:val="01564054"/>
    <w:rsid w:val="015C0A67"/>
    <w:rsid w:val="017052C2"/>
    <w:rsid w:val="017E6D95"/>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475E56"/>
    <w:rsid w:val="035E4919"/>
    <w:rsid w:val="036A009A"/>
    <w:rsid w:val="03844805"/>
    <w:rsid w:val="03845791"/>
    <w:rsid w:val="03A011E9"/>
    <w:rsid w:val="03AE7F27"/>
    <w:rsid w:val="03BD2BCD"/>
    <w:rsid w:val="03CC058D"/>
    <w:rsid w:val="03E017D2"/>
    <w:rsid w:val="03F77068"/>
    <w:rsid w:val="04416C20"/>
    <w:rsid w:val="047968B1"/>
    <w:rsid w:val="04870542"/>
    <w:rsid w:val="04B30F7A"/>
    <w:rsid w:val="054C0111"/>
    <w:rsid w:val="05545DD3"/>
    <w:rsid w:val="056E2AD6"/>
    <w:rsid w:val="05806815"/>
    <w:rsid w:val="058251D3"/>
    <w:rsid w:val="05850B37"/>
    <w:rsid w:val="05945CCE"/>
    <w:rsid w:val="059D05A4"/>
    <w:rsid w:val="059D5E17"/>
    <w:rsid w:val="05AB0A28"/>
    <w:rsid w:val="05AB0F81"/>
    <w:rsid w:val="05B93D6B"/>
    <w:rsid w:val="05D53002"/>
    <w:rsid w:val="05D75738"/>
    <w:rsid w:val="061E7D14"/>
    <w:rsid w:val="06446B44"/>
    <w:rsid w:val="06560AED"/>
    <w:rsid w:val="066469C9"/>
    <w:rsid w:val="066646A1"/>
    <w:rsid w:val="06983B20"/>
    <w:rsid w:val="069A3B66"/>
    <w:rsid w:val="06B31420"/>
    <w:rsid w:val="06B91765"/>
    <w:rsid w:val="06CA2AD2"/>
    <w:rsid w:val="06CE3071"/>
    <w:rsid w:val="06D33DBA"/>
    <w:rsid w:val="06E13F9F"/>
    <w:rsid w:val="06FB0AC5"/>
    <w:rsid w:val="070D2D5D"/>
    <w:rsid w:val="07111B8D"/>
    <w:rsid w:val="073F0F06"/>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95E80"/>
    <w:rsid w:val="087C4541"/>
    <w:rsid w:val="087E5595"/>
    <w:rsid w:val="08C52D6F"/>
    <w:rsid w:val="08EF0201"/>
    <w:rsid w:val="08F41DE8"/>
    <w:rsid w:val="09737462"/>
    <w:rsid w:val="099156C3"/>
    <w:rsid w:val="09A53F39"/>
    <w:rsid w:val="09A60E13"/>
    <w:rsid w:val="09AB2883"/>
    <w:rsid w:val="09D206F0"/>
    <w:rsid w:val="0A321AC2"/>
    <w:rsid w:val="0A343D4E"/>
    <w:rsid w:val="0A3D5C6E"/>
    <w:rsid w:val="0A3E6D2E"/>
    <w:rsid w:val="0A8455AD"/>
    <w:rsid w:val="0AD13A85"/>
    <w:rsid w:val="0AE0655C"/>
    <w:rsid w:val="0B091954"/>
    <w:rsid w:val="0B637D77"/>
    <w:rsid w:val="0B7006C4"/>
    <w:rsid w:val="0BAC324F"/>
    <w:rsid w:val="0BC11EE9"/>
    <w:rsid w:val="0BF16C73"/>
    <w:rsid w:val="0BF72F1E"/>
    <w:rsid w:val="0C3152C1"/>
    <w:rsid w:val="0C3957A5"/>
    <w:rsid w:val="0C626DA7"/>
    <w:rsid w:val="0C6876AE"/>
    <w:rsid w:val="0C71390F"/>
    <w:rsid w:val="0C720EC8"/>
    <w:rsid w:val="0C942042"/>
    <w:rsid w:val="0C9D50DC"/>
    <w:rsid w:val="0CA5271D"/>
    <w:rsid w:val="0CAC4D10"/>
    <w:rsid w:val="0CC72121"/>
    <w:rsid w:val="0CEE5A21"/>
    <w:rsid w:val="0D05268E"/>
    <w:rsid w:val="0D0646E7"/>
    <w:rsid w:val="0D0C38CA"/>
    <w:rsid w:val="0D206810"/>
    <w:rsid w:val="0DC577E0"/>
    <w:rsid w:val="0DDC6319"/>
    <w:rsid w:val="0DFC1384"/>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821E7D"/>
    <w:rsid w:val="0FCA42ED"/>
    <w:rsid w:val="0FE7592C"/>
    <w:rsid w:val="0FFD20F0"/>
    <w:rsid w:val="10270CA8"/>
    <w:rsid w:val="103E6E57"/>
    <w:rsid w:val="1041497B"/>
    <w:rsid w:val="10425FF6"/>
    <w:rsid w:val="106612B1"/>
    <w:rsid w:val="109010E6"/>
    <w:rsid w:val="10B271F4"/>
    <w:rsid w:val="10B537CC"/>
    <w:rsid w:val="10C8275C"/>
    <w:rsid w:val="10C86D3B"/>
    <w:rsid w:val="10E03539"/>
    <w:rsid w:val="10E82D1F"/>
    <w:rsid w:val="10EE5C94"/>
    <w:rsid w:val="10F5757C"/>
    <w:rsid w:val="10FD1C16"/>
    <w:rsid w:val="113329E7"/>
    <w:rsid w:val="113F294C"/>
    <w:rsid w:val="11437C85"/>
    <w:rsid w:val="1166372C"/>
    <w:rsid w:val="11700D10"/>
    <w:rsid w:val="1178125A"/>
    <w:rsid w:val="118441E0"/>
    <w:rsid w:val="1196056D"/>
    <w:rsid w:val="11D34654"/>
    <w:rsid w:val="12010480"/>
    <w:rsid w:val="120E707F"/>
    <w:rsid w:val="12140954"/>
    <w:rsid w:val="121D0051"/>
    <w:rsid w:val="12413D84"/>
    <w:rsid w:val="127A7D1C"/>
    <w:rsid w:val="12836D8B"/>
    <w:rsid w:val="12AB0349"/>
    <w:rsid w:val="12B66520"/>
    <w:rsid w:val="12CD57F1"/>
    <w:rsid w:val="12CE7AFA"/>
    <w:rsid w:val="12D67466"/>
    <w:rsid w:val="13036052"/>
    <w:rsid w:val="13272A5D"/>
    <w:rsid w:val="13493108"/>
    <w:rsid w:val="13733928"/>
    <w:rsid w:val="13920D68"/>
    <w:rsid w:val="139C16C9"/>
    <w:rsid w:val="13B63CE1"/>
    <w:rsid w:val="13BC6684"/>
    <w:rsid w:val="13C72B3A"/>
    <w:rsid w:val="13DF575E"/>
    <w:rsid w:val="13E470BD"/>
    <w:rsid w:val="13EE3A98"/>
    <w:rsid w:val="142123F7"/>
    <w:rsid w:val="142A11D8"/>
    <w:rsid w:val="144B544C"/>
    <w:rsid w:val="14544F93"/>
    <w:rsid w:val="145B7B45"/>
    <w:rsid w:val="14717443"/>
    <w:rsid w:val="148D52E3"/>
    <w:rsid w:val="14992B90"/>
    <w:rsid w:val="14AF1856"/>
    <w:rsid w:val="14AF19A3"/>
    <w:rsid w:val="14B53957"/>
    <w:rsid w:val="14C53ECE"/>
    <w:rsid w:val="14CF6CB0"/>
    <w:rsid w:val="14E002E6"/>
    <w:rsid w:val="14FC36BD"/>
    <w:rsid w:val="14FF5EA7"/>
    <w:rsid w:val="151E3A0F"/>
    <w:rsid w:val="15477903"/>
    <w:rsid w:val="1557566D"/>
    <w:rsid w:val="15811F1B"/>
    <w:rsid w:val="15A30135"/>
    <w:rsid w:val="15A34015"/>
    <w:rsid w:val="15BB487B"/>
    <w:rsid w:val="15CE086D"/>
    <w:rsid w:val="15E2236F"/>
    <w:rsid w:val="161D09ED"/>
    <w:rsid w:val="162323A3"/>
    <w:rsid w:val="162F30B1"/>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9F2E61"/>
    <w:rsid w:val="17C227C0"/>
    <w:rsid w:val="17EE5BFF"/>
    <w:rsid w:val="18097740"/>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FE3748"/>
    <w:rsid w:val="1A125525"/>
    <w:rsid w:val="1A5F4342"/>
    <w:rsid w:val="1A616E2C"/>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CF456E"/>
    <w:rsid w:val="1BDA6D68"/>
    <w:rsid w:val="1BF14125"/>
    <w:rsid w:val="1C555978"/>
    <w:rsid w:val="1C6554A1"/>
    <w:rsid w:val="1C7971B7"/>
    <w:rsid w:val="1C917D91"/>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DFE6525"/>
    <w:rsid w:val="1E0345E3"/>
    <w:rsid w:val="1E656063"/>
    <w:rsid w:val="1E6B06A5"/>
    <w:rsid w:val="1E7F7D9E"/>
    <w:rsid w:val="1E840DA4"/>
    <w:rsid w:val="1EA5444C"/>
    <w:rsid w:val="1EB350EF"/>
    <w:rsid w:val="1EC21749"/>
    <w:rsid w:val="1EEB7C4E"/>
    <w:rsid w:val="1F072441"/>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0AF022A"/>
    <w:rsid w:val="210F579E"/>
    <w:rsid w:val="212550B5"/>
    <w:rsid w:val="213A4BD8"/>
    <w:rsid w:val="21592B62"/>
    <w:rsid w:val="21747CD2"/>
    <w:rsid w:val="219263AA"/>
    <w:rsid w:val="219E5782"/>
    <w:rsid w:val="21E72B0B"/>
    <w:rsid w:val="221F2D96"/>
    <w:rsid w:val="22246DB1"/>
    <w:rsid w:val="22440067"/>
    <w:rsid w:val="225A6017"/>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4731C4"/>
    <w:rsid w:val="2369313B"/>
    <w:rsid w:val="2377331D"/>
    <w:rsid w:val="237D43DE"/>
    <w:rsid w:val="23940114"/>
    <w:rsid w:val="23B57016"/>
    <w:rsid w:val="23D4764B"/>
    <w:rsid w:val="23EC3718"/>
    <w:rsid w:val="24044EF2"/>
    <w:rsid w:val="2407139D"/>
    <w:rsid w:val="240B04F4"/>
    <w:rsid w:val="242A0646"/>
    <w:rsid w:val="2435301D"/>
    <w:rsid w:val="243D6E1A"/>
    <w:rsid w:val="24607F91"/>
    <w:rsid w:val="246C581B"/>
    <w:rsid w:val="247C52A2"/>
    <w:rsid w:val="24CC106B"/>
    <w:rsid w:val="24D00598"/>
    <w:rsid w:val="24D725E9"/>
    <w:rsid w:val="25045F70"/>
    <w:rsid w:val="250474F1"/>
    <w:rsid w:val="25056E93"/>
    <w:rsid w:val="25092EBA"/>
    <w:rsid w:val="25241020"/>
    <w:rsid w:val="257572C3"/>
    <w:rsid w:val="25790E85"/>
    <w:rsid w:val="25972C60"/>
    <w:rsid w:val="259D1676"/>
    <w:rsid w:val="25A353EB"/>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147D"/>
    <w:rsid w:val="26F1408A"/>
    <w:rsid w:val="26F96584"/>
    <w:rsid w:val="27015370"/>
    <w:rsid w:val="270B421F"/>
    <w:rsid w:val="274E2228"/>
    <w:rsid w:val="27517A93"/>
    <w:rsid w:val="275E53AF"/>
    <w:rsid w:val="276658E8"/>
    <w:rsid w:val="277E30D2"/>
    <w:rsid w:val="27803F2A"/>
    <w:rsid w:val="27A34941"/>
    <w:rsid w:val="27EE3A7B"/>
    <w:rsid w:val="283C23DF"/>
    <w:rsid w:val="283D69F1"/>
    <w:rsid w:val="284C16F5"/>
    <w:rsid w:val="28570AB5"/>
    <w:rsid w:val="288F37CA"/>
    <w:rsid w:val="28C2534B"/>
    <w:rsid w:val="28C5525A"/>
    <w:rsid w:val="28D14B96"/>
    <w:rsid w:val="29020C46"/>
    <w:rsid w:val="290240C7"/>
    <w:rsid w:val="291A2B97"/>
    <w:rsid w:val="29274EE0"/>
    <w:rsid w:val="2969197F"/>
    <w:rsid w:val="29746E87"/>
    <w:rsid w:val="297C03C2"/>
    <w:rsid w:val="299573AB"/>
    <w:rsid w:val="29BE5BD0"/>
    <w:rsid w:val="29C01572"/>
    <w:rsid w:val="29E74CE2"/>
    <w:rsid w:val="2A241B69"/>
    <w:rsid w:val="2A306A36"/>
    <w:rsid w:val="2A5372C6"/>
    <w:rsid w:val="2A5B03D8"/>
    <w:rsid w:val="2A6F6D07"/>
    <w:rsid w:val="2A882500"/>
    <w:rsid w:val="2AB63ABC"/>
    <w:rsid w:val="2B003D00"/>
    <w:rsid w:val="2B074D5E"/>
    <w:rsid w:val="2B100BA9"/>
    <w:rsid w:val="2B1B5825"/>
    <w:rsid w:val="2B1E3AFC"/>
    <w:rsid w:val="2B8D373E"/>
    <w:rsid w:val="2B9E4F56"/>
    <w:rsid w:val="2BDB5A88"/>
    <w:rsid w:val="2BE91C37"/>
    <w:rsid w:val="2BEC3F72"/>
    <w:rsid w:val="2C083572"/>
    <w:rsid w:val="2C185F94"/>
    <w:rsid w:val="2C1F1AC4"/>
    <w:rsid w:val="2C3F3A41"/>
    <w:rsid w:val="2C4431C4"/>
    <w:rsid w:val="2C62059F"/>
    <w:rsid w:val="2C6634FA"/>
    <w:rsid w:val="2CAC022C"/>
    <w:rsid w:val="2CC11807"/>
    <w:rsid w:val="2CF16074"/>
    <w:rsid w:val="2CF81D1B"/>
    <w:rsid w:val="2D3F2453"/>
    <w:rsid w:val="2D835174"/>
    <w:rsid w:val="2D9331F9"/>
    <w:rsid w:val="2D972BAC"/>
    <w:rsid w:val="2DD90B7B"/>
    <w:rsid w:val="2DDD3FC1"/>
    <w:rsid w:val="2DF701D8"/>
    <w:rsid w:val="2DF970A1"/>
    <w:rsid w:val="2E085834"/>
    <w:rsid w:val="2E1034F8"/>
    <w:rsid w:val="2E443652"/>
    <w:rsid w:val="2E505773"/>
    <w:rsid w:val="2E742F70"/>
    <w:rsid w:val="2E9A689E"/>
    <w:rsid w:val="2EC166CD"/>
    <w:rsid w:val="2EDC2A13"/>
    <w:rsid w:val="2EFD7DB9"/>
    <w:rsid w:val="2F1A081D"/>
    <w:rsid w:val="2F1E3DC0"/>
    <w:rsid w:val="2F2D326E"/>
    <w:rsid w:val="2F3112DE"/>
    <w:rsid w:val="2F3B6922"/>
    <w:rsid w:val="2F3D7B25"/>
    <w:rsid w:val="2F506C6D"/>
    <w:rsid w:val="2F51291F"/>
    <w:rsid w:val="2F55758A"/>
    <w:rsid w:val="2F7F15AE"/>
    <w:rsid w:val="2FA54796"/>
    <w:rsid w:val="2FA674E2"/>
    <w:rsid w:val="2FFE7D49"/>
    <w:rsid w:val="3002294D"/>
    <w:rsid w:val="3011153D"/>
    <w:rsid w:val="30142680"/>
    <w:rsid w:val="302A11B1"/>
    <w:rsid w:val="302A5C42"/>
    <w:rsid w:val="30B8125D"/>
    <w:rsid w:val="30BF439A"/>
    <w:rsid w:val="30CF6A37"/>
    <w:rsid w:val="30D250CF"/>
    <w:rsid w:val="31002970"/>
    <w:rsid w:val="311016AD"/>
    <w:rsid w:val="3136622A"/>
    <w:rsid w:val="3139422E"/>
    <w:rsid w:val="31496359"/>
    <w:rsid w:val="31700E4B"/>
    <w:rsid w:val="3172683C"/>
    <w:rsid w:val="31A359FC"/>
    <w:rsid w:val="31AD0D61"/>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61A77"/>
    <w:rsid w:val="35461A22"/>
    <w:rsid w:val="35483CC9"/>
    <w:rsid w:val="35A815CB"/>
    <w:rsid w:val="35AA1B9C"/>
    <w:rsid w:val="35DB09A6"/>
    <w:rsid w:val="36080591"/>
    <w:rsid w:val="3609472F"/>
    <w:rsid w:val="3667099E"/>
    <w:rsid w:val="369B4CF0"/>
    <w:rsid w:val="36D62629"/>
    <w:rsid w:val="36D76172"/>
    <w:rsid w:val="36E833BB"/>
    <w:rsid w:val="36EB1E1B"/>
    <w:rsid w:val="36F17F0D"/>
    <w:rsid w:val="371F3098"/>
    <w:rsid w:val="3735197D"/>
    <w:rsid w:val="373756A2"/>
    <w:rsid w:val="375E0DA6"/>
    <w:rsid w:val="378B61A6"/>
    <w:rsid w:val="37B90F0B"/>
    <w:rsid w:val="37CD3F98"/>
    <w:rsid w:val="37DF75BA"/>
    <w:rsid w:val="37E148E2"/>
    <w:rsid w:val="37F848EE"/>
    <w:rsid w:val="38304889"/>
    <w:rsid w:val="38382675"/>
    <w:rsid w:val="383B7B0D"/>
    <w:rsid w:val="3851700B"/>
    <w:rsid w:val="385246B6"/>
    <w:rsid w:val="3876113B"/>
    <w:rsid w:val="38A53DB7"/>
    <w:rsid w:val="38BF3388"/>
    <w:rsid w:val="38CC268D"/>
    <w:rsid w:val="38DF1FDA"/>
    <w:rsid w:val="38EC2960"/>
    <w:rsid w:val="392536E2"/>
    <w:rsid w:val="39465F15"/>
    <w:rsid w:val="396453C5"/>
    <w:rsid w:val="39922CCF"/>
    <w:rsid w:val="39A65327"/>
    <w:rsid w:val="39A65C9B"/>
    <w:rsid w:val="39BC5ED6"/>
    <w:rsid w:val="39CA5389"/>
    <w:rsid w:val="39EB39E0"/>
    <w:rsid w:val="39EF02D4"/>
    <w:rsid w:val="3A11342A"/>
    <w:rsid w:val="3A153110"/>
    <w:rsid w:val="3A2507C0"/>
    <w:rsid w:val="3A393FA7"/>
    <w:rsid w:val="3A3A5A22"/>
    <w:rsid w:val="3A524858"/>
    <w:rsid w:val="3A64203E"/>
    <w:rsid w:val="3A663D00"/>
    <w:rsid w:val="3A7428D0"/>
    <w:rsid w:val="3A923AE4"/>
    <w:rsid w:val="3AA50E25"/>
    <w:rsid w:val="3AC566E3"/>
    <w:rsid w:val="3AD6747A"/>
    <w:rsid w:val="3B312338"/>
    <w:rsid w:val="3B3D0FF2"/>
    <w:rsid w:val="3B521A18"/>
    <w:rsid w:val="3B8D2B96"/>
    <w:rsid w:val="3B923660"/>
    <w:rsid w:val="3BCA44BE"/>
    <w:rsid w:val="3C061F3A"/>
    <w:rsid w:val="3C0A04F9"/>
    <w:rsid w:val="3C495480"/>
    <w:rsid w:val="3C6F0167"/>
    <w:rsid w:val="3C71667B"/>
    <w:rsid w:val="3C914F3B"/>
    <w:rsid w:val="3CC17F13"/>
    <w:rsid w:val="3CE320A3"/>
    <w:rsid w:val="3CE9196C"/>
    <w:rsid w:val="3CF15105"/>
    <w:rsid w:val="3D0C04B9"/>
    <w:rsid w:val="3D1414C5"/>
    <w:rsid w:val="3D1C763E"/>
    <w:rsid w:val="3D201AA5"/>
    <w:rsid w:val="3D2B37EA"/>
    <w:rsid w:val="3D2F7FF3"/>
    <w:rsid w:val="3D3D1507"/>
    <w:rsid w:val="3D62085B"/>
    <w:rsid w:val="3D7B4622"/>
    <w:rsid w:val="3D942E29"/>
    <w:rsid w:val="3DA53531"/>
    <w:rsid w:val="3DB54E0C"/>
    <w:rsid w:val="3DB900C1"/>
    <w:rsid w:val="3DE91725"/>
    <w:rsid w:val="3DF159B1"/>
    <w:rsid w:val="3E1A106E"/>
    <w:rsid w:val="3E36303B"/>
    <w:rsid w:val="3E526044"/>
    <w:rsid w:val="3E6C2B3A"/>
    <w:rsid w:val="3E8C5311"/>
    <w:rsid w:val="3E8E7E55"/>
    <w:rsid w:val="3EB61473"/>
    <w:rsid w:val="3EC950E9"/>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F2DE9"/>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C799E"/>
    <w:rsid w:val="42800B9B"/>
    <w:rsid w:val="42A06B6C"/>
    <w:rsid w:val="42A27996"/>
    <w:rsid w:val="42AA04E2"/>
    <w:rsid w:val="42EA5650"/>
    <w:rsid w:val="431408DA"/>
    <w:rsid w:val="4331401E"/>
    <w:rsid w:val="43591DDA"/>
    <w:rsid w:val="435A0DF2"/>
    <w:rsid w:val="436C42E1"/>
    <w:rsid w:val="436E4DEB"/>
    <w:rsid w:val="437C210F"/>
    <w:rsid w:val="43847F02"/>
    <w:rsid w:val="438F113C"/>
    <w:rsid w:val="439E7EFB"/>
    <w:rsid w:val="43B1568A"/>
    <w:rsid w:val="43BD7F58"/>
    <w:rsid w:val="43D43ECA"/>
    <w:rsid w:val="43DD452F"/>
    <w:rsid w:val="43DE6CD4"/>
    <w:rsid w:val="43E51150"/>
    <w:rsid w:val="43EF28BB"/>
    <w:rsid w:val="43EF2D90"/>
    <w:rsid w:val="43EF56D3"/>
    <w:rsid w:val="44095C00"/>
    <w:rsid w:val="440A6FD2"/>
    <w:rsid w:val="444946CA"/>
    <w:rsid w:val="444B3F54"/>
    <w:rsid w:val="4476661F"/>
    <w:rsid w:val="447E3AC5"/>
    <w:rsid w:val="448E5DEE"/>
    <w:rsid w:val="44A90BAA"/>
    <w:rsid w:val="44B24A20"/>
    <w:rsid w:val="44BC0BEE"/>
    <w:rsid w:val="44BF6C07"/>
    <w:rsid w:val="44C55A88"/>
    <w:rsid w:val="44FB1C9C"/>
    <w:rsid w:val="454F1836"/>
    <w:rsid w:val="45887B45"/>
    <w:rsid w:val="458B66DF"/>
    <w:rsid w:val="45940F0E"/>
    <w:rsid w:val="45AC5DBA"/>
    <w:rsid w:val="45C647AF"/>
    <w:rsid w:val="45DD529D"/>
    <w:rsid w:val="45E57886"/>
    <w:rsid w:val="46003076"/>
    <w:rsid w:val="46026F63"/>
    <w:rsid w:val="46177E29"/>
    <w:rsid w:val="46205B7F"/>
    <w:rsid w:val="465D501C"/>
    <w:rsid w:val="466367DB"/>
    <w:rsid w:val="4667066F"/>
    <w:rsid w:val="46686D18"/>
    <w:rsid w:val="46C3037C"/>
    <w:rsid w:val="46FF15E0"/>
    <w:rsid w:val="4700581C"/>
    <w:rsid w:val="4702516A"/>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7A4350"/>
    <w:rsid w:val="4A7E2497"/>
    <w:rsid w:val="4A896826"/>
    <w:rsid w:val="4ABF5E17"/>
    <w:rsid w:val="4AD965C1"/>
    <w:rsid w:val="4AE01A66"/>
    <w:rsid w:val="4AE104D6"/>
    <w:rsid w:val="4AED707B"/>
    <w:rsid w:val="4B015D61"/>
    <w:rsid w:val="4B0B7979"/>
    <w:rsid w:val="4B520DF4"/>
    <w:rsid w:val="4B603107"/>
    <w:rsid w:val="4B9802B0"/>
    <w:rsid w:val="4B9E65BE"/>
    <w:rsid w:val="4B9F33A8"/>
    <w:rsid w:val="4BA80AFD"/>
    <w:rsid w:val="4BB033BA"/>
    <w:rsid w:val="4BB469AD"/>
    <w:rsid w:val="4BC06040"/>
    <w:rsid w:val="4BF441D2"/>
    <w:rsid w:val="4C1C2A09"/>
    <w:rsid w:val="4C694192"/>
    <w:rsid w:val="4C7964D9"/>
    <w:rsid w:val="4C9269F6"/>
    <w:rsid w:val="4CC84335"/>
    <w:rsid w:val="4CE9350A"/>
    <w:rsid w:val="4CF773C7"/>
    <w:rsid w:val="4D297BF3"/>
    <w:rsid w:val="4D2D0EAF"/>
    <w:rsid w:val="4D7F0082"/>
    <w:rsid w:val="4D952FD9"/>
    <w:rsid w:val="4D970662"/>
    <w:rsid w:val="4DB33393"/>
    <w:rsid w:val="4DBC3CE3"/>
    <w:rsid w:val="4DCF1E0D"/>
    <w:rsid w:val="4DD632D9"/>
    <w:rsid w:val="4DE05D9E"/>
    <w:rsid w:val="4DE05DF9"/>
    <w:rsid w:val="4DE44800"/>
    <w:rsid w:val="4DEE0709"/>
    <w:rsid w:val="4DF92CF4"/>
    <w:rsid w:val="4DFC14EA"/>
    <w:rsid w:val="4DFF6815"/>
    <w:rsid w:val="4E0A3427"/>
    <w:rsid w:val="4E304B5D"/>
    <w:rsid w:val="4E611B8B"/>
    <w:rsid w:val="4E682F8C"/>
    <w:rsid w:val="4E6A7BB7"/>
    <w:rsid w:val="4F0773B4"/>
    <w:rsid w:val="4F307BB1"/>
    <w:rsid w:val="4F3D562D"/>
    <w:rsid w:val="4F5C4EE0"/>
    <w:rsid w:val="4F6E1972"/>
    <w:rsid w:val="4F943166"/>
    <w:rsid w:val="4FBA02A1"/>
    <w:rsid w:val="4FE7106E"/>
    <w:rsid w:val="50053943"/>
    <w:rsid w:val="50374A3C"/>
    <w:rsid w:val="50550E55"/>
    <w:rsid w:val="509F43E4"/>
    <w:rsid w:val="50A54D3E"/>
    <w:rsid w:val="50F1402B"/>
    <w:rsid w:val="50FD2AD9"/>
    <w:rsid w:val="51097D9A"/>
    <w:rsid w:val="51237D2E"/>
    <w:rsid w:val="5153540D"/>
    <w:rsid w:val="515B06D0"/>
    <w:rsid w:val="51996737"/>
    <w:rsid w:val="51B408B8"/>
    <w:rsid w:val="51CC0868"/>
    <w:rsid w:val="51D5340F"/>
    <w:rsid w:val="52382F2A"/>
    <w:rsid w:val="52386E3D"/>
    <w:rsid w:val="523A7DD1"/>
    <w:rsid w:val="523B7711"/>
    <w:rsid w:val="5271774C"/>
    <w:rsid w:val="52DE008D"/>
    <w:rsid w:val="52EE341E"/>
    <w:rsid w:val="52F37FE6"/>
    <w:rsid w:val="52FC1CA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5E1D0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F01FA1"/>
    <w:rsid w:val="56130B60"/>
    <w:rsid w:val="56990B7C"/>
    <w:rsid w:val="569E1126"/>
    <w:rsid w:val="56B80DEB"/>
    <w:rsid w:val="56E0560F"/>
    <w:rsid w:val="56E06E61"/>
    <w:rsid w:val="56F653FE"/>
    <w:rsid w:val="575B7AFD"/>
    <w:rsid w:val="57660D3F"/>
    <w:rsid w:val="57D1153D"/>
    <w:rsid w:val="57FA3774"/>
    <w:rsid w:val="58084A3C"/>
    <w:rsid w:val="58174FC3"/>
    <w:rsid w:val="582772A7"/>
    <w:rsid w:val="58531B77"/>
    <w:rsid w:val="585D2975"/>
    <w:rsid w:val="585F64F9"/>
    <w:rsid w:val="587E3341"/>
    <w:rsid w:val="58CF56D8"/>
    <w:rsid w:val="58D31010"/>
    <w:rsid w:val="58D6741E"/>
    <w:rsid w:val="58E62E0E"/>
    <w:rsid w:val="58EA3D0E"/>
    <w:rsid w:val="58F71269"/>
    <w:rsid w:val="58FE045E"/>
    <w:rsid w:val="59561946"/>
    <w:rsid w:val="59670F51"/>
    <w:rsid w:val="596A44F9"/>
    <w:rsid w:val="596C19BB"/>
    <w:rsid w:val="59790BDB"/>
    <w:rsid w:val="597E3F42"/>
    <w:rsid w:val="598653AC"/>
    <w:rsid w:val="59AC3C86"/>
    <w:rsid w:val="59D42FDA"/>
    <w:rsid w:val="59DA4E01"/>
    <w:rsid w:val="59F64E82"/>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F03D58"/>
    <w:rsid w:val="5BF20AFB"/>
    <w:rsid w:val="5C1A6BB2"/>
    <w:rsid w:val="5C5355FE"/>
    <w:rsid w:val="5C6F4105"/>
    <w:rsid w:val="5CBB7F6F"/>
    <w:rsid w:val="5CC248CE"/>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520DD"/>
    <w:rsid w:val="603814FF"/>
    <w:rsid w:val="604109A8"/>
    <w:rsid w:val="605D2617"/>
    <w:rsid w:val="60616CDC"/>
    <w:rsid w:val="60624E53"/>
    <w:rsid w:val="606319E5"/>
    <w:rsid w:val="607B3C50"/>
    <w:rsid w:val="608B6567"/>
    <w:rsid w:val="60B46AEE"/>
    <w:rsid w:val="60FF21D9"/>
    <w:rsid w:val="613021B3"/>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EE4692"/>
    <w:rsid w:val="63FD622D"/>
    <w:rsid w:val="642A355D"/>
    <w:rsid w:val="643F32F9"/>
    <w:rsid w:val="64582686"/>
    <w:rsid w:val="64673C87"/>
    <w:rsid w:val="64A251DD"/>
    <w:rsid w:val="650242F0"/>
    <w:rsid w:val="65365B2B"/>
    <w:rsid w:val="653F447E"/>
    <w:rsid w:val="65542778"/>
    <w:rsid w:val="655829AF"/>
    <w:rsid w:val="656B70C3"/>
    <w:rsid w:val="6574177A"/>
    <w:rsid w:val="658F4798"/>
    <w:rsid w:val="659B1EBA"/>
    <w:rsid w:val="65B461E9"/>
    <w:rsid w:val="65B71508"/>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C4383B"/>
    <w:rsid w:val="67D35E1A"/>
    <w:rsid w:val="67F35317"/>
    <w:rsid w:val="680201B7"/>
    <w:rsid w:val="68362BFB"/>
    <w:rsid w:val="683F1130"/>
    <w:rsid w:val="684456A1"/>
    <w:rsid w:val="685E1363"/>
    <w:rsid w:val="687731D1"/>
    <w:rsid w:val="6878475E"/>
    <w:rsid w:val="688E1089"/>
    <w:rsid w:val="68A026F3"/>
    <w:rsid w:val="68AF6C13"/>
    <w:rsid w:val="690E07C7"/>
    <w:rsid w:val="69236A65"/>
    <w:rsid w:val="692E469B"/>
    <w:rsid w:val="69315C48"/>
    <w:rsid w:val="694019EC"/>
    <w:rsid w:val="69584DB4"/>
    <w:rsid w:val="696C3D80"/>
    <w:rsid w:val="698A5EE4"/>
    <w:rsid w:val="69C24462"/>
    <w:rsid w:val="69C811ED"/>
    <w:rsid w:val="69D33070"/>
    <w:rsid w:val="69E97E75"/>
    <w:rsid w:val="69FB5D9E"/>
    <w:rsid w:val="6A1A3007"/>
    <w:rsid w:val="6A1E645E"/>
    <w:rsid w:val="6A417049"/>
    <w:rsid w:val="6A7903E5"/>
    <w:rsid w:val="6AA03032"/>
    <w:rsid w:val="6AA86FEC"/>
    <w:rsid w:val="6ADA6AC4"/>
    <w:rsid w:val="6ADB11D6"/>
    <w:rsid w:val="6B1A2C3C"/>
    <w:rsid w:val="6B31644D"/>
    <w:rsid w:val="6B486C86"/>
    <w:rsid w:val="6B554C72"/>
    <w:rsid w:val="6B847AD7"/>
    <w:rsid w:val="6B9A2DF9"/>
    <w:rsid w:val="6BAC4619"/>
    <w:rsid w:val="6BCD2823"/>
    <w:rsid w:val="6BDD15DD"/>
    <w:rsid w:val="6BDF2966"/>
    <w:rsid w:val="6BE86A5F"/>
    <w:rsid w:val="6C234DED"/>
    <w:rsid w:val="6C29198B"/>
    <w:rsid w:val="6C3A67D1"/>
    <w:rsid w:val="6C3D2D5C"/>
    <w:rsid w:val="6C4800AA"/>
    <w:rsid w:val="6C4D28F8"/>
    <w:rsid w:val="6C573E9C"/>
    <w:rsid w:val="6C5C23DC"/>
    <w:rsid w:val="6C6D1126"/>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52ACD"/>
    <w:rsid w:val="6DFC0B44"/>
    <w:rsid w:val="6E0458E7"/>
    <w:rsid w:val="6E212037"/>
    <w:rsid w:val="6E3B221B"/>
    <w:rsid w:val="6E475779"/>
    <w:rsid w:val="6E7764EF"/>
    <w:rsid w:val="6E97670A"/>
    <w:rsid w:val="6EAD447C"/>
    <w:rsid w:val="6EAE5472"/>
    <w:rsid w:val="6ECD7F59"/>
    <w:rsid w:val="6EED7C80"/>
    <w:rsid w:val="6EF773A4"/>
    <w:rsid w:val="6F2F2D9E"/>
    <w:rsid w:val="6F4147D9"/>
    <w:rsid w:val="6F5B0D5A"/>
    <w:rsid w:val="6F5C35EA"/>
    <w:rsid w:val="6F6B6A15"/>
    <w:rsid w:val="6F947E4B"/>
    <w:rsid w:val="6FA30BDA"/>
    <w:rsid w:val="6FB21D4C"/>
    <w:rsid w:val="6FB80698"/>
    <w:rsid w:val="701021F4"/>
    <w:rsid w:val="7024611F"/>
    <w:rsid w:val="70637B96"/>
    <w:rsid w:val="70797317"/>
    <w:rsid w:val="7099044B"/>
    <w:rsid w:val="709D518F"/>
    <w:rsid w:val="70C759D3"/>
    <w:rsid w:val="70CF2B23"/>
    <w:rsid w:val="70D70CB1"/>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D7197"/>
    <w:rsid w:val="72AF6F7E"/>
    <w:rsid w:val="72CD226C"/>
    <w:rsid w:val="73047904"/>
    <w:rsid w:val="734C1A6A"/>
    <w:rsid w:val="735C5949"/>
    <w:rsid w:val="73737DA5"/>
    <w:rsid w:val="73740A39"/>
    <w:rsid w:val="73887B3E"/>
    <w:rsid w:val="73892412"/>
    <w:rsid w:val="73AF2114"/>
    <w:rsid w:val="73E96BCA"/>
    <w:rsid w:val="73EE4A6E"/>
    <w:rsid w:val="741048BC"/>
    <w:rsid w:val="742E78D4"/>
    <w:rsid w:val="74317498"/>
    <w:rsid w:val="74335A84"/>
    <w:rsid w:val="743B1D01"/>
    <w:rsid w:val="74676A28"/>
    <w:rsid w:val="747E40B6"/>
    <w:rsid w:val="74AC3224"/>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F09AA"/>
    <w:rsid w:val="764F3FCC"/>
    <w:rsid w:val="7650339F"/>
    <w:rsid w:val="76603C9A"/>
    <w:rsid w:val="76BB1CAB"/>
    <w:rsid w:val="76C04050"/>
    <w:rsid w:val="76E65049"/>
    <w:rsid w:val="77021803"/>
    <w:rsid w:val="77076007"/>
    <w:rsid w:val="77413F7E"/>
    <w:rsid w:val="7758241F"/>
    <w:rsid w:val="777A7D22"/>
    <w:rsid w:val="77835654"/>
    <w:rsid w:val="7797109C"/>
    <w:rsid w:val="779A2A38"/>
    <w:rsid w:val="77B4450A"/>
    <w:rsid w:val="77B46E73"/>
    <w:rsid w:val="77E37A12"/>
    <w:rsid w:val="77FE3468"/>
    <w:rsid w:val="78250553"/>
    <w:rsid w:val="78546F0C"/>
    <w:rsid w:val="786874F7"/>
    <w:rsid w:val="786D10FC"/>
    <w:rsid w:val="78EE1C79"/>
    <w:rsid w:val="78FA66FA"/>
    <w:rsid w:val="79424F6E"/>
    <w:rsid w:val="797239CC"/>
    <w:rsid w:val="79831473"/>
    <w:rsid w:val="7999527A"/>
    <w:rsid w:val="79AF76C5"/>
    <w:rsid w:val="79C25EE1"/>
    <w:rsid w:val="79CE2967"/>
    <w:rsid w:val="79EA664C"/>
    <w:rsid w:val="79F9627A"/>
    <w:rsid w:val="7A2F3BBF"/>
    <w:rsid w:val="7A2F459A"/>
    <w:rsid w:val="7A322A39"/>
    <w:rsid w:val="7A517022"/>
    <w:rsid w:val="7A6F5001"/>
    <w:rsid w:val="7A7B08FF"/>
    <w:rsid w:val="7AA2343E"/>
    <w:rsid w:val="7AD60EB8"/>
    <w:rsid w:val="7ADA73A4"/>
    <w:rsid w:val="7AE66B99"/>
    <w:rsid w:val="7B0A3BCA"/>
    <w:rsid w:val="7B345AA9"/>
    <w:rsid w:val="7B4048C1"/>
    <w:rsid w:val="7B73082F"/>
    <w:rsid w:val="7BC62E00"/>
    <w:rsid w:val="7BE35E2A"/>
    <w:rsid w:val="7BF66C24"/>
    <w:rsid w:val="7BFA1CC7"/>
    <w:rsid w:val="7BFB70B3"/>
    <w:rsid w:val="7C0251DA"/>
    <w:rsid w:val="7C1052F2"/>
    <w:rsid w:val="7C2668D9"/>
    <w:rsid w:val="7C32497F"/>
    <w:rsid w:val="7C3C69AE"/>
    <w:rsid w:val="7C691974"/>
    <w:rsid w:val="7C8A6570"/>
    <w:rsid w:val="7C8B7390"/>
    <w:rsid w:val="7C9B0D0E"/>
    <w:rsid w:val="7CA42B03"/>
    <w:rsid w:val="7CD2318A"/>
    <w:rsid w:val="7CD2702A"/>
    <w:rsid w:val="7CD34C42"/>
    <w:rsid w:val="7CDE3FF9"/>
    <w:rsid w:val="7CE26EBF"/>
    <w:rsid w:val="7CEE3130"/>
    <w:rsid w:val="7D1F6674"/>
    <w:rsid w:val="7D480B34"/>
    <w:rsid w:val="7D777A3E"/>
    <w:rsid w:val="7D9005BC"/>
    <w:rsid w:val="7D9F0AD0"/>
    <w:rsid w:val="7DD12BB7"/>
    <w:rsid w:val="7DFF0955"/>
    <w:rsid w:val="7E0B750E"/>
    <w:rsid w:val="7E1939E8"/>
    <w:rsid w:val="7E261DFF"/>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1"/>
    <w:basedOn w:val="1"/>
    <w:next w:val="1"/>
    <w:qFormat/>
    <w:uiPriority w:val="0"/>
    <w:pPr>
      <w:keepNext/>
      <w:keepLines/>
      <w:spacing w:before="340" w:after="330" w:line="576" w:lineRule="auto"/>
      <w:outlineLvl w:val="0"/>
    </w:pPr>
    <w:rPr>
      <w:b/>
      <w:bCs/>
      <w:kern w:val="44"/>
      <w:sz w:val="44"/>
      <w:szCs w:val="44"/>
    </w:rPr>
  </w:style>
  <w:style w:type="paragraph" w:styleId="9">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10">
    <w:name w:val="heading 3"/>
    <w:basedOn w:val="1"/>
    <w:next w:val="1"/>
    <w:qFormat/>
    <w:uiPriority w:val="0"/>
    <w:pPr>
      <w:keepNext/>
      <w:keepLines/>
      <w:spacing w:before="260" w:after="260" w:line="416" w:lineRule="auto"/>
      <w:outlineLvl w:val="2"/>
    </w:pPr>
    <w:rPr>
      <w:b/>
      <w:bCs/>
      <w:sz w:val="32"/>
      <w:szCs w:val="32"/>
    </w:rPr>
  </w:style>
  <w:style w:type="paragraph" w:styleId="11">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qFormat/>
    <w:uiPriority w:val="0"/>
    <w:pPr>
      <w:spacing w:line="360" w:lineRule="auto"/>
      <w:ind w:firstLine="420" w:firstLineChars="100"/>
    </w:pPr>
    <w:rPr>
      <w:szCs w:val="21"/>
    </w:rPr>
  </w:style>
  <w:style w:type="paragraph" w:styleId="3">
    <w:name w:val="Body Text"/>
    <w:basedOn w:val="1"/>
    <w:next w:val="4"/>
    <w:link w:val="73"/>
    <w:qFormat/>
    <w:uiPriority w:val="0"/>
  </w:style>
  <w:style w:type="paragraph" w:styleId="4">
    <w:name w:val="Body Text 2"/>
    <w:basedOn w:val="1"/>
    <w:next w:val="3"/>
    <w:qFormat/>
    <w:uiPriority w:val="0"/>
    <w:pPr>
      <w:spacing w:line="480" w:lineRule="auto"/>
    </w:pPr>
  </w:style>
  <w:style w:type="paragraph" w:styleId="5">
    <w:name w:val="Body Text First Indent 2"/>
    <w:basedOn w:val="6"/>
    <w:next w:val="1"/>
    <w:qFormat/>
    <w:uiPriority w:val="0"/>
    <w:pPr>
      <w:ind w:firstLine="420" w:firstLineChars="200"/>
    </w:pPr>
  </w:style>
  <w:style w:type="paragraph" w:styleId="6">
    <w:name w:val="Body Text Indent"/>
    <w:basedOn w:val="1"/>
    <w:next w:val="7"/>
    <w:qFormat/>
    <w:uiPriority w:val="0"/>
    <w:pPr>
      <w:widowControl/>
      <w:spacing w:beforeAutospacing="1" w:afterAutospacing="1"/>
      <w:jc w:val="left"/>
    </w:pPr>
    <w:rPr>
      <w:rFonts w:ascii="宋体" w:hAnsi="宋体" w:cs="宋体"/>
      <w:kern w:val="0"/>
      <w:sz w:val="24"/>
    </w:rPr>
  </w:style>
  <w:style w:type="paragraph" w:customStyle="1" w:styleId="7">
    <w:name w:val="目录 51"/>
    <w:next w:val="1"/>
    <w:qFormat/>
    <w:uiPriority w:val="0"/>
    <w:pPr>
      <w:wordWrap w:val="0"/>
      <w:ind w:left="1700"/>
      <w:jc w:val="both"/>
    </w:pPr>
    <w:rPr>
      <w:rFonts w:ascii="Calibri" w:hAnsi="Calibri" w:eastAsia="Calibri" w:cs="Times New Roman"/>
      <w:sz w:val="21"/>
      <w:lang w:val="en-US" w:eastAsia="zh-CN" w:bidi="ar-SA"/>
    </w:rPr>
  </w:style>
  <w:style w:type="paragraph" w:styleId="12">
    <w:name w:val="List Number"/>
    <w:basedOn w:val="1"/>
    <w:qFormat/>
    <w:uiPriority w:val="0"/>
    <w:pPr>
      <w:widowControl/>
      <w:spacing w:beforeAutospacing="1" w:afterAutospacing="1"/>
      <w:jc w:val="left"/>
    </w:pPr>
    <w:rPr>
      <w:rFonts w:ascii="宋体" w:hAnsi="宋体" w:cs="宋体"/>
      <w:kern w:val="0"/>
      <w:sz w:val="24"/>
    </w:rPr>
  </w:style>
  <w:style w:type="paragraph" w:styleId="13">
    <w:name w:val="Normal Indent"/>
    <w:basedOn w:val="1"/>
    <w:qFormat/>
    <w:uiPriority w:val="0"/>
    <w:pPr>
      <w:widowControl/>
      <w:spacing w:beforeAutospacing="1" w:afterAutospacing="1"/>
      <w:jc w:val="left"/>
    </w:pPr>
    <w:rPr>
      <w:rFonts w:ascii="宋体" w:hAnsi="宋体" w:cs="宋体"/>
      <w:kern w:val="0"/>
      <w:sz w:val="24"/>
    </w:rPr>
  </w:style>
  <w:style w:type="paragraph" w:styleId="14">
    <w:name w:val="Document Map"/>
    <w:basedOn w:val="1"/>
    <w:link w:val="75"/>
    <w:qFormat/>
    <w:uiPriority w:val="0"/>
    <w:rPr>
      <w:rFonts w:ascii="宋体" w:hAnsi="Calibri"/>
      <w:sz w:val="18"/>
      <w:szCs w:val="18"/>
    </w:rPr>
  </w:style>
  <w:style w:type="paragraph" w:styleId="15">
    <w:name w:val="annotation text"/>
    <w:basedOn w:val="1"/>
    <w:qFormat/>
    <w:uiPriority w:val="0"/>
    <w:pPr>
      <w:jc w:val="left"/>
    </w:pPr>
  </w:style>
  <w:style w:type="paragraph" w:styleId="16">
    <w:name w:val="Body Text 3"/>
    <w:basedOn w:val="1"/>
    <w:qFormat/>
    <w:uiPriority w:val="0"/>
    <w:rPr>
      <w:sz w:val="16"/>
      <w:szCs w:val="16"/>
    </w:rPr>
  </w:style>
  <w:style w:type="paragraph" w:styleId="17">
    <w:name w:val="List 2"/>
    <w:basedOn w:val="1"/>
    <w:qFormat/>
    <w:uiPriority w:val="0"/>
    <w:pPr>
      <w:ind w:left="100" w:leftChars="200" w:hanging="200" w:hangingChars="200"/>
    </w:pPr>
  </w:style>
  <w:style w:type="paragraph" w:styleId="18">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qFormat/>
    <w:uiPriority w:val="0"/>
    <w:pPr>
      <w:tabs>
        <w:tab w:val="left" w:pos="709"/>
        <w:tab w:val="right" w:leader="dot" w:pos="8789"/>
      </w:tabs>
      <w:spacing w:line="400" w:lineRule="atLeast"/>
    </w:pPr>
    <w:rPr>
      <w:rFonts w:ascii="宋体"/>
      <w:kern w:val="0"/>
      <w:szCs w:val="20"/>
    </w:rPr>
  </w:style>
  <w:style w:type="paragraph" w:styleId="20">
    <w:name w:val="Plain Text"/>
    <w:basedOn w:val="1"/>
    <w:qFormat/>
    <w:uiPriority w:val="0"/>
    <w:pPr>
      <w:widowControl/>
      <w:spacing w:beforeAutospacing="1" w:afterAutospacing="1"/>
      <w:jc w:val="left"/>
    </w:pPr>
    <w:rPr>
      <w:rFonts w:ascii="宋体" w:hAnsi="宋体" w:cs="宋体"/>
      <w:kern w:val="0"/>
      <w:sz w:val="24"/>
    </w:rPr>
  </w:style>
  <w:style w:type="paragraph" w:styleId="21">
    <w:name w:val="Date"/>
    <w:basedOn w:val="1"/>
    <w:next w:val="1"/>
    <w:qFormat/>
    <w:uiPriority w:val="0"/>
    <w:pPr>
      <w:ind w:left="100" w:leftChars="2500"/>
    </w:pPr>
    <w:rPr>
      <w:rFonts w:ascii="宋体" w:hAnsi="宋体"/>
      <w:sz w:val="28"/>
    </w:rPr>
  </w:style>
  <w:style w:type="paragraph" w:styleId="22">
    <w:name w:val="Body Text Indent 2"/>
    <w:basedOn w:val="1"/>
    <w:qFormat/>
    <w:uiPriority w:val="0"/>
    <w:pPr>
      <w:spacing w:line="480" w:lineRule="auto"/>
      <w:ind w:left="420" w:leftChars="200"/>
    </w:p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envelope return"/>
    <w:basedOn w:val="1"/>
    <w:unhideWhenUsed/>
    <w:qFormat/>
    <w:uiPriority w:val="99"/>
    <w:pPr>
      <w:snapToGrid w:val="0"/>
    </w:pPr>
    <w:rPr>
      <w:rFonts w:ascii="Arial" w:hAnsi="Arial"/>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style>
  <w:style w:type="paragraph" w:styleId="27">
    <w:name w:val="List"/>
    <w:basedOn w:val="1"/>
    <w:qFormat/>
    <w:uiPriority w:val="0"/>
    <w:pPr>
      <w:ind w:left="200" w:hanging="200" w:hangingChars="200"/>
    </w:pPr>
  </w:style>
  <w:style w:type="paragraph" w:styleId="28">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qFormat/>
    <w:uiPriority w:val="99"/>
    <w:pPr>
      <w:spacing w:before="100" w:beforeAutospacing="1" w:after="100" w:afterAutospacing="1"/>
      <w:jc w:val="left"/>
    </w:pPr>
    <w:rPr>
      <w:kern w:val="0"/>
      <w:sz w:val="24"/>
    </w:rPr>
  </w:style>
  <w:style w:type="paragraph" w:styleId="31">
    <w:name w:val="Title"/>
    <w:basedOn w:val="1"/>
    <w:qFormat/>
    <w:uiPriority w:val="0"/>
    <w:pPr>
      <w:jc w:val="center"/>
      <w:outlineLvl w:val="0"/>
    </w:pPr>
    <w:rPr>
      <w:rFonts w:ascii="Arial" w:hAnsi="Arial" w:cs="Arial"/>
      <w:b/>
      <w:bCs/>
      <w:sz w:val="32"/>
      <w:szCs w:val="32"/>
    </w:r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5"/>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4"/>
    <w:link w:val="3"/>
    <w:qFormat/>
    <w:uiPriority w:val="0"/>
  </w:style>
  <w:style w:type="character" w:customStyle="1" w:styleId="74">
    <w:name w:val="apple-converted-space"/>
    <w:basedOn w:val="34"/>
    <w:qFormat/>
    <w:uiPriority w:val="0"/>
  </w:style>
  <w:style w:type="character" w:customStyle="1" w:styleId="75">
    <w:name w:val="文档结构图 Char"/>
    <w:link w:val="14"/>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3"/>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4"/>
    <w:qFormat/>
    <w:uiPriority w:val="0"/>
  </w:style>
  <w:style w:type="table" w:customStyle="1" w:styleId="89">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14721</Words>
  <Characters>15405</Characters>
  <Lines>50</Lines>
  <Paragraphs>68</Paragraphs>
  <TotalTime>3</TotalTime>
  <ScaleCrop>false</ScaleCrop>
  <LinksUpToDate>false</LinksUpToDate>
  <CharactersWithSpaces>16306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WPS_1660177687</cp:lastModifiedBy>
  <cp:lastPrinted>2021-09-30T00:46:00Z</cp:lastPrinted>
  <dcterms:modified xsi:type="dcterms:W3CDTF">2022-09-19T09:50:42Z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BABF91824EC1475297DB676B0F545D5A</vt:lpwstr>
  </property>
</Properties>
</file>