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lang w:eastAsia="zh-CN"/>
        </w:rPr>
        <w:t>驻马店市中心医院院区灯光亮化更换及维修项目</w:t>
      </w: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1"/>
        <w:rPr>
          <w:rFonts w:hint="eastAsia"/>
          <w:color w:val="auto"/>
        </w:rPr>
      </w:pPr>
    </w:p>
    <w:p>
      <w:pPr>
        <w:pStyle w:val="59"/>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2022</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09</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lang w:eastAsia="zh-CN"/>
        </w:rPr>
        <w:t>驻马店市中心医院院区灯光亮化更换及维修项目</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eastAsia="zh-CN"/>
        </w:rPr>
        <w:t>驻马店市中心医院院区灯光亮化更换及维修项目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驻马店市中心医院院区灯光亮化更换及维修项目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30万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27913"/>
      <w:bookmarkStart w:id="5" w:name="_Toc26079"/>
      <w:bookmarkStart w:id="6" w:name="_Toc21071"/>
      <w:bookmarkStart w:id="7" w:name="_Toc24040"/>
      <w:bookmarkStart w:id="8" w:name="_Toc1952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质量要求：符合现行国家质量要求和行业有关标准</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6、标段：共</w:t>
      </w:r>
      <w:r>
        <w:rPr>
          <w:rFonts w:hint="eastAsia" w:ascii="宋体" w:hAnsi="宋体" w:cs="宋体"/>
          <w:color w:val="auto"/>
          <w:szCs w:val="21"/>
          <w:highlight w:val="none"/>
          <w:shd w:val="clear" w:color="auto" w:fill="FFFFFF"/>
          <w:lang w:val="en-US" w:eastAsia="zh-CN"/>
        </w:rPr>
        <w:t>一</w:t>
      </w:r>
      <w:r>
        <w:rPr>
          <w:rFonts w:hint="eastAsia" w:ascii="宋体" w:hAnsi="宋体" w:eastAsia="宋体" w:cs="宋体"/>
          <w:color w:val="auto"/>
          <w:szCs w:val="21"/>
          <w:highlight w:val="none"/>
          <w:shd w:val="clear" w:color="auto" w:fill="FFFFFF"/>
          <w:lang w:val="en-US" w:eastAsia="zh-CN"/>
        </w:rPr>
        <w:t>个标段</w:t>
      </w:r>
      <w:r>
        <w:rPr>
          <w:rFonts w:hint="eastAsia" w:ascii="宋体" w:hAnsi="宋体" w:cs="宋体"/>
          <w:color w:val="auto"/>
          <w:szCs w:val="21"/>
          <w:highlight w:val="none"/>
          <w:shd w:val="clear" w:color="auto" w:fill="FFFFFF"/>
          <w:lang w:val="en-US" w:eastAsia="zh-CN"/>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23626"/>
      <w:bookmarkStart w:id="10" w:name="_Toc16639"/>
      <w:bookmarkStart w:id="11" w:name="_Toc27704"/>
      <w:bookmarkStart w:id="12"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ascii="宋体" w:hAnsi="宋体" w:eastAsia="宋体" w:cs="宋体"/>
          <w:b w:val="0"/>
          <w:bCs w:val="0"/>
          <w:color w:val="auto"/>
          <w:kern w:val="2"/>
          <w:sz w:val="21"/>
          <w:szCs w:val="21"/>
          <w:shd w:val="clear" w:color="auto" w:fill="FFFFFF"/>
          <w:lang w:val="en-US" w:eastAsia="zh-CN" w:bidi="ar-SA"/>
        </w:rPr>
      </w:pPr>
      <w:bookmarkStart w:id="13" w:name="_Toc9562"/>
      <w:bookmarkStart w:id="14" w:name="_Toc23395"/>
      <w:bookmarkStart w:id="15" w:name="_Toc30971"/>
      <w:bookmarkStart w:id="16" w:name="_Toc30643"/>
      <w:bookmarkStart w:id="17" w:name="_Toc7823"/>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2、供应商应提供2021年度经审计的财务报告或者其基本开户银行出具的资信证明；</w:t>
      </w:r>
      <w:r>
        <w:rPr>
          <w:rFonts w:hint="eastAsia" w:ascii="宋体" w:hAnsi="宋体" w:eastAsia="宋体" w:cs="宋体"/>
          <w:bCs/>
          <w:color w:val="auto"/>
          <w:sz w:val="21"/>
          <w:szCs w:val="21"/>
          <w:lang w:val="zh-CN" w:eastAsia="zh-CN"/>
        </w:rPr>
        <w:t>202</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val="zh-CN" w:eastAsia="zh-CN"/>
        </w:rPr>
        <w:t>年</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lang w:val="zh-CN" w:eastAsia="zh-CN"/>
        </w:rPr>
        <w:t>月以来</w:t>
      </w:r>
      <w:r>
        <w:rPr>
          <w:rFonts w:hint="eastAsia" w:ascii="宋体" w:hAnsi="宋体" w:eastAsia="宋体" w:cs="宋体"/>
          <w:b w:val="0"/>
          <w:bCs w:val="0"/>
          <w:color w:val="auto"/>
          <w:kern w:val="2"/>
          <w:sz w:val="21"/>
          <w:szCs w:val="21"/>
          <w:shd w:val="clear" w:color="auto" w:fill="FFFFFF"/>
          <w:lang w:val="en-US" w:eastAsia="zh-CN" w:bidi="ar-SA"/>
        </w:rPr>
        <w:t>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auto"/>
          <w:szCs w:val="21"/>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19</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2.凡报名成功的供应商无故不来参与投标的列入我院黑名单，一年内不得参与我院任何采购活动。中标供应商缴纳相应服务费。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1150105437</w:t>
      </w:r>
      <w:r>
        <w:rPr>
          <w:rFonts w:hint="eastAsia" w:ascii="宋体" w:hAnsi="宋体" w:eastAsia="宋体" w:cs="宋体"/>
          <w:color w:val="auto"/>
          <w:kern w:val="0"/>
          <w:sz w:val="21"/>
          <w:szCs w:val="21"/>
          <w:shd w:val="clear" w:color="auto" w:fill="FFFFFF"/>
          <w:lang w:val="en-US" w:eastAsia="zh-CN" w:bidi="ar-SA"/>
        </w:rPr>
        <w:t>@qq.com并标明XX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5869"/>
      <w:bookmarkStart w:id="19" w:name="_Toc15111"/>
      <w:bookmarkStart w:id="20" w:name="_Toc15135"/>
      <w:bookmarkStart w:id="21" w:name="_Toc10738"/>
      <w:bookmarkStart w:id="22"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30918"/>
      <w:bookmarkStart w:id="24" w:name="_Toc6523"/>
      <w:bookmarkStart w:id="25" w:name="_Toc20287"/>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604"/>
      <w:bookmarkStart w:id="30" w:name="_Toc31928"/>
      <w:bookmarkStart w:id="31" w:name="_Toc27370"/>
      <w:bookmarkStart w:id="32" w:name="_Toc16291"/>
      <w:bookmarkStart w:id="33" w:name="_Toc2427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王女士</w:t>
      </w:r>
    </w:p>
    <w:p>
      <w:pPr>
        <w:widowControl/>
        <w:snapToGrid w:val="0"/>
        <w:spacing w:before="0" w:beforeAutospacing="0" w:after="0" w:afterAutospacing="0" w:line="360" w:lineRule="auto"/>
        <w:ind w:firstLine="420" w:firstLineChars="200"/>
        <w:jc w:val="left"/>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：18639627370</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2</w:t>
      </w:r>
      <w:r>
        <w:rPr>
          <w:rFonts w:hint="default"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吴先生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：18939661675</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31"/>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29"/>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22年0</w:t>
      </w:r>
      <w:r>
        <w:rPr>
          <w:rFonts w:hint="eastAsia" w:ascii="宋体" w:hAnsi="宋体" w:cs="宋体"/>
          <w:color w:val="auto"/>
          <w:kern w:val="0"/>
          <w:sz w:val="21"/>
          <w:szCs w:val="21"/>
          <w:highlight w:val="none"/>
          <w:shd w:val="clear" w:color="auto" w:fill="FFFFFF"/>
          <w:lang w:val="en-US" w:eastAsia="zh-CN" w:bidi="ar-SA"/>
        </w:rPr>
        <w:t>9</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14</w:t>
      </w:r>
      <w:r>
        <w:rPr>
          <w:rFonts w:hint="eastAsia" w:ascii="宋体" w:hAnsi="宋体" w:eastAsia="宋体" w:cs="宋体"/>
          <w:color w:val="auto"/>
          <w:kern w:val="0"/>
          <w:sz w:val="21"/>
          <w:szCs w:val="21"/>
          <w:highlight w:val="none"/>
          <w:shd w:val="clear" w:color="auto" w:fill="FFFFFF"/>
          <w:lang w:val="en-US" w:eastAsia="zh-CN" w:bidi="ar-SA"/>
        </w:rPr>
        <w:t>日</w:t>
      </w:r>
    </w:p>
    <w:p>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23610"/>
      <w:bookmarkStart w:id="39" w:name="_Toc9989"/>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2"/>
          <w:szCs w:val="22"/>
          <w:highlight w:val="none"/>
          <w:lang w:eastAsia="zh-CN"/>
        </w:rPr>
        <w:t>一、</w:t>
      </w:r>
      <w:r>
        <w:rPr>
          <w:rFonts w:hint="eastAsia" w:ascii="宋体" w:hAnsi="宋体" w:cs="宋体"/>
          <w:color w:val="auto"/>
          <w:sz w:val="22"/>
          <w:szCs w:val="22"/>
          <w:highlight w:val="none"/>
        </w:rPr>
        <w:t>项目名称：</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8"/>
          <w:lang w:eastAsia="zh-CN"/>
        </w:rPr>
        <w:t>驻马店市中心医院院区灯光亮化更换及维修项目</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kern w:val="2"/>
          <w:sz w:val="21"/>
          <w:szCs w:val="21"/>
          <w:highlight w:val="none"/>
          <w:lang w:val="en-US" w:eastAsia="zh-CN" w:bidi="ar-SA"/>
        </w:rPr>
        <w:t xml:space="preserve">                                                         </w:t>
      </w:r>
    </w:p>
    <w:tbl>
      <w:tblPr>
        <w:tblStyle w:val="33"/>
        <w:tblW w:w="9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744"/>
        <w:gridCol w:w="1256"/>
        <w:gridCol w:w="1163"/>
        <w:gridCol w:w="1256"/>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053"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hint="default" w:ascii="宋体" w:hAnsi="宋体" w:eastAsia="宋体" w:cs="宋体"/>
                <w:b/>
                <w:bCs/>
                <w:color w:val="auto"/>
                <w:sz w:val="21"/>
                <w:szCs w:val="21"/>
                <w:lang w:val="en-US" w:eastAsia="zh-CN"/>
              </w:rPr>
            </w:pPr>
            <w:r>
              <w:rPr>
                <w:rFonts w:hint="eastAsia" w:cs="宋体"/>
                <w:b/>
                <w:bCs/>
                <w:color w:val="auto"/>
                <w:sz w:val="21"/>
                <w:szCs w:val="21"/>
                <w:lang w:val="en-US" w:eastAsia="zh-CN"/>
              </w:rPr>
              <w:t>序号</w:t>
            </w:r>
          </w:p>
        </w:tc>
        <w:tc>
          <w:tcPr>
            <w:tcW w:w="1744"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w:t>
            </w:r>
          </w:p>
        </w:tc>
        <w:tc>
          <w:tcPr>
            <w:tcW w:w="1256"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数量或规模</w:t>
            </w:r>
          </w:p>
        </w:tc>
        <w:tc>
          <w:tcPr>
            <w:tcW w:w="1163"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资金预算</w:t>
            </w:r>
            <w:r>
              <w:rPr>
                <w:rFonts w:hint="eastAsia" w:ascii="宋体" w:hAnsi="宋体" w:eastAsia="宋体" w:cs="宋体"/>
                <w:b/>
                <w:bCs/>
                <w:color w:val="auto"/>
                <w:sz w:val="21"/>
                <w:szCs w:val="21"/>
                <w:lang w:eastAsia="zh-CN"/>
              </w:rPr>
              <w:t>（</w:t>
            </w:r>
            <w:r>
              <w:rPr>
                <w:rFonts w:hint="eastAsia" w:cs="宋体"/>
                <w:b/>
                <w:bCs/>
                <w:color w:val="auto"/>
                <w:sz w:val="21"/>
                <w:szCs w:val="21"/>
                <w:lang w:val="en-US" w:eastAsia="zh-CN"/>
              </w:rPr>
              <w:t>万</w:t>
            </w:r>
            <w:r>
              <w:rPr>
                <w:rFonts w:hint="eastAsia" w:ascii="宋体" w:hAnsi="宋体" w:eastAsia="宋体" w:cs="宋体"/>
                <w:b/>
                <w:bCs/>
                <w:color w:val="auto"/>
                <w:sz w:val="21"/>
                <w:szCs w:val="21"/>
                <w:lang w:eastAsia="zh-CN"/>
              </w:rPr>
              <w:t>元）</w:t>
            </w:r>
          </w:p>
        </w:tc>
        <w:tc>
          <w:tcPr>
            <w:tcW w:w="1256"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资金来源</w:t>
            </w:r>
          </w:p>
        </w:tc>
        <w:tc>
          <w:tcPr>
            <w:tcW w:w="2681"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53" w:type="dxa"/>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w:t>
            </w:r>
          </w:p>
        </w:tc>
        <w:tc>
          <w:tcPr>
            <w:tcW w:w="1744"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color w:val="auto"/>
                <w:sz w:val="18"/>
                <w:szCs w:val="18"/>
                <w:lang w:val="en-US" w:eastAsia="zh-CN"/>
              </w:rPr>
            </w:pPr>
            <w:r>
              <w:rPr>
                <w:rFonts w:hint="eastAsia"/>
                <w:sz w:val="21"/>
                <w:szCs w:val="21"/>
                <w:u w:val="none"/>
                <w:lang w:val="en-US" w:eastAsia="zh-CN"/>
              </w:rPr>
              <w:t>院区灯光亮化更换及维修</w:t>
            </w:r>
          </w:p>
        </w:tc>
        <w:tc>
          <w:tcPr>
            <w:tcW w:w="1256"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center"/>
              <w:rPr>
                <w:rFonts w:hint="eastAsia" w:ascii="宋体" w:hAnsi="宋体" w:eastAsia="宋体" w:cs="宋体"/>
                <w:color w:val="auto"/>
                <w:sz w:val="18"/>
                <w:szCs w:val="18"/>
                <w:lang w:val="en-US" w:eastAsia="zh-CN"/>
              </w:rPr>
            </w:pPr>
            <w:r>
              <w:rPr>
                <w:rFonts w:hint="eastAsia" w:ascii="宋体" w:hAnsi="宋体"/>
                <w:sz w:val="21"/>
                <w:szCs w:val="21"/>
                <w:lang w:val="en-US" w:eastAsia="zh-CN"/>
              </w:rPr>
              <w:t>各院区发光牌</w:t>
            </w:r>
          </w:p>
        </w:tc>
        <w:tc>
          <w:tcPr>
            <w:tcW w:w="1163"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color w:val="auto"/>
                <w:sz w:val="18"/>
                <w:szCs w:val="18"/>
                <w:lang w:val="en-US" w:eastAsia="zh-CN"/>
              </w:rPr>
            </w:pPr>
            <w:r>
              <w:rPr>
                <w:rFonts w:hint="eastAsia" w:ascii="宋体" w:hAnsi="宋体"/>
                <w:sz w:val="21"/>
                <w:szCs w:val="21"/>
                <w:lang w:val="en-US" w:eastAsia="zh-CN"/>
              </w:rPr>
              <w:t>30</w:t>
            </w:r>
          </w:p>
        </w:tc>
        <w:tc>
          <w:tcPr>
            <w:tcW w:w="1256"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color w:val="auto"/>
                <w:sz w:val="18"/>
                <w:szCs w:val="18"/>
                <w:lang w:val="en-US" w:eastAsia="zh-CN"/>
              </w:rPr>
            </w:pPr>
            <w:r>
              <w:rPr>
                <w:rFonts w:hint="eastAsia" w:ascii="宋体" w:hAnsi="宋体"/>
                <w:sz w:val="21"/>
                <w:szCs w:val="21"/>
              </w:rPr>
              <w:t>自筹</w:t>
            </w:r>
          </w:p>
        </w:tc>
        <w:tc>
          <w:tcPr>
            <w:tcW w:w="2681" w:type="dxa"/>
            <w:vMerge w:val="restart"/>
            <w:tcBorders>
              <w:top w:val="single" w:color="auto" w:sz="4" w:space="0"/>
              <w:left w:val="nil"/>
              <w:right w:val="single" w:color="auto" w:sz="4" w:space="0"/>
            </w:tcBorders>
            <w:vAlign w:val="center"/>
          </w:tcPr>
          <w:p>
            <w:pPr>
              <w:pStyle w:val="14"/>
              <w:jc w:val="center"/>
              <w:rPr>
                <w:rFonts w:hint="eastAsia" w:ascii="宋体" w:hAnsi="宋体" w:eastAsia="宋体"/>
                <w:sz w:val="21"/>
                <w:szCs w:val="21"/>
                <w:lang w:eastAsia="zh-CN"/>
              </w:rPr>
            </w:pPr>
            <w:r>
              <w:rPr>
                <w:rFonts w:hint="eastAsia"/>
                <w:sz w:val="21"/>
                <w:szCs w:val="21"/>
                <w:lang w:eastAsia="zh-CN"/>
              </w:rPr>
              <w:t>招一家供应商，服务期一年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53"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b/>
                <w:bCs/>
                <w:sz w:val="21"/>
                <w:szCs w:val="21"/>
              </w:rPr>
              <w:t>合计</w:t>
            </w:r>
          </w:p>
        </w:tc>
        <w:tc>
          <w:tcPr>
            <w:tcW w:w="1744"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sz w:val="21"/>
                <w:szCs w:val="21"/>
                <w:lang w:eastAsia="zh-CN"/>
              </w:rPr>
            </w:pPr>
          </w:p>
        </w:tc>
        <w:tc>
          <w:tcPr>
            <w:tcW w:w="1256"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sz w:val="21"/>
                <w:szCs w:val="21"/>
                <w:lang w:val="en-US" w:eastAsia="zh-CN"/>
              </w:rPr>
            </w:pPr>
          </w:p>
        </w:tc>
        <w:tc>
          <w:tcPr>
            <w:tcW w:w="1163" w:type="dxa"/>
            <w:tcBorders>
              <w:top w:val="single" w:color="auto" w:sz="4" w:space="0"/>
              <w:left w:val="nil"/>
              <w:bottom w:val="single" w:color="auto" w:sz="4" w:space="0"/>
              <w:right w:val="single" w:color="auto" w:sz="4" w:space="0"/>
            </w:tcBorders>
            <w:vAlign w:val="center"/>
          </w:tcPr>
          <w:p>
            <w:pPr>
              <w:pStyle w:val="14"/>
              <w:jc w:val="center"/>
              <w:rPr>
                <w:rFonts w:hint="default" w:ascii="宋体" w:hAnsi="宋体" w:eastAsia="宋体" w:cs="宋体"/>
                <w:sz w:val="21"/>
                <w:szCs w:val="21"/>
                <w:lang w:val="en-US" w:eastAsia="zh-CN"/>
              </w:rPr>
            </w:pPr>
            <w:r>
              <w:rPr>
                <w:rFonts w:hint="eastAsia" w:cs="宋体"/>
                <w:sz w:val="21"/>
                <w:szCs w:val="21"/>
                <w:lang w:val="en-US" w:eastAsia="zh-CN"/>
              </w:rPr>
              <w:t>30</w:t>
            </w:r>
            <w:bookmarkStart w:id="91" w:name="_GoBack"/>
            <w:bookmarkEnd w:id="91"/>
          </w:p>
        </w:tc>
        <w:tc>
          <w:tcPr>
            <w:tcW w:w="1256"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sz w:val="21"/>
                <w:szCs w:val="21"/>
                <w:lang w:eastAsia="zh-CN"/>
              </w:rPr>
            </w:pPr>
          </w:p>
        </w:tc>
        <w:tc>
          <w:tcPr>
            <w:tcW w:w="2681" w:type="dxa"/>
            <w:vMerge w:val="continue"/>
            <w:tcBorders>
              <w:left w:val="nil"/>
              <w:bottom w:val="single" w:color="auto" w:sz="4" w:space="0"/>
              <w:right w:val="single" w:color="auto" w:sz="4" w:space="0"/>
            </w:tcBorders>
            <w:vAlign w:val="center"/>
          </w:tcPr>
          <w:p>
            <w:pPr>
              <w:pStyle w:val="14"/>
              <w:jc w:val="center"/>
              <w:rPr>
                <w:rFonts w:hint="eastAsia" w:ascii="宋体" w:hAnsi="宋体" w:eastAsia="宋体" w:cs="宋体"/>
                <w:sz w:val="21"/>
                <w:szCs w:val="21"/>
                <w:lang w:eastAsia="zh-CN"/>
              </w:rPr>
            </w:pPr>
          </w:p>
        </w:tc>
      </w:tr>
    </w:tbl>
    <w:p>
      <w:pPr>
        <w:pStyle w:val="14"/>
        <w:numPr>
          <w:ilvl w:val="0"/>
          <w:numId w:val="0"/>
        </w:numPr>
        <w:spacing w:after="0"/>
        <w:jc w:val="left"/>
        <w:rPr>
          <w:rFonts w:hint="eastAsia" w:ascii="宋体" w:hAnsi="宋体" w:eastAsia="宋体" w:cs="宋体"/>
          <w:color w:val="auto"/>
          <w:kern w:val="2"/>
          <w:sz w:val="22"/>
          <w:szCs w:val="22"/>
          <w:highlight w:val="none"/>
          <w:lang w:val="en-US" w:eastAsia="zh-CN" w:bidi="ar-SA"/>
        </w:rPr>
      </w:pPr>
    </w:p>
    <w:p>
      <w:pPr>
        <w:pStyle w:val="14"/>
        <w:numPr>
          <w:ilvl w:val="0"/>
          <w:numId w:val="1"/>
        </w:numPr>
        <w:spacing w:after="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详细技术要求、参数及产品资料等：</w:t>
      </w:r>
    </w:p>
    <w:tbl>
      <w:tblPr>
        <w:tblStyle w:val="33"/>
        <w:tblW w:w="9098" w:type="dxa"/>
        <w:tblInd w:w="0" w:type="dxa"/>
        <w:tblLayout w:type="fixed"/>
        <w:tblCellMar>
          <w:top w:w="0" w:type="dxa"/>
          <w:left w:w="0" w:type="dxa"/>
          <w:bottom w:w="0" w:type="dxa"/>
          <w:right w:w="0" w:type="dxa"/>
        </w:tblCellMar>
      </w:tblPr>
      <w:tblGrid>
        <w:gridCol w:w="872"/>
        <w:gridCol w:w="2826"/>
        <w:gridCol w:w="2306"/>
        <w:gridCol w:w="1200"/>
        <w:gridCol w:w="1894"/>
      </w:tblGrid>
      <w:tr>
        <w:tblPrEx>
          <w:tblCellMar>
            <w:top w:w="0" w:type="dxa"/>
            <w:left w:w="0" w:type="dxa"/>
            <w:bottom w:w="0" w:type="dxa"/>
            <w:right w:w="0" w:type="dxa"/>
          </w:tblCellMar>
        </w:tblPrEx>
        <w:trPr>
          <w:trHeight w:val="866" w:hRule="atLeast"/>
        </w:trPr>
        <w:tc>
          <w:tcPr>
            <w:tcW w:w="909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sz w:val="36"/>
                <w:szCs w:val="36"/>
                <w:lang w:eastAsia="zh-CN"/>
              </w:rPr>
            </w:pPr>
            <w:r>
              <w:rPr>
                <w:rFonts w:hint="eastAsia" w:ascii="宋体" w:hAnsi="宋体" w:cs="宋体"/>
                <w:b/>
                <w:color w:val="000000"/>
                <w:kern w:val="0"/>
                <w:sz w:val="32"/>
                <w:szCs w:val="32"/>
                <w:lang w:eastAsia="zh-CN"/>
              </w:rPr>
              <w:t>院区灯光亮化</w:t>
            </w:r>
            <w:r>
              <w:rPr>
                <w:rFonts w:hint="eastAsia" w:ascii="宋体" w:hAnsi="宋体" w:cs="宋体"/>
                <w:b/>
                <w:color w:val="000000"/>
                <w:kern w:val="0"/>
                <w:sz w:val="32"/>
                <w:szCs w:val="32"/>
                <w:lang w:val="en-US" w:eastAsia="zh-CN"/>
              </w:rPr>
              <w:t>更换及</w:t>
            </w:r>
            <w:r>
              <w:rPr>
                <w:rFonts w:hint="eastAsia" w:ascii="宋体" w:hAnsi="宋体" w:cs="宋体"/>
                <w:b/>
                <w:color w:val="000000"/>
                <w:kern w:val="0"/>
                <w:sz w:val="32"/>
                <w:szCs w:val="32"/>
                <w:lang w:eastAsia="zh-CN"/>
              </w:rPr>
              <w:t>维修项目</w:t>
            </w:r>
            <w:r>
              <w:rPr>
                <w:rFonts w:hint="eastAsia" w:ascii="宋体" w:hAnsi="宋体" w:cs="宋体"/>
                <w:b/>
                <w:color w:val="000000"/>
                <w:kern w:val="0"/>
                <w:sz w:val="32"/>
                <w:szCs w:val="32"/>
                <w:lang w:val="en-US" w:eastAsia="zh-CN"/>
              </w:rPr>
              <w:t>参数</w:t>
            </w:r>
          </w:p>
        </w:tc>
      </w:tr>
      <w:tr>
        <w:tblPrEx>
          <w:tblCellMar>
            <w:top w:w="0" w:type="dxa"/>
            <w:left w:w="0" w:type="dxa"/>
            <w:bottom w:w="0" w:type="dxa"/>
            <w:right w:w="0" w:type="dxa"/>
          </w:tblCellMar>
        </w:tblPrEx>
        <w:trPr>
          <w:trHeight w:val="521"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名称</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材质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单位</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eastAsia="zh-CN"/>
              </w:rPr>
            </w:pPr>
            <w:r>
              <w:rPr>
                <w:rFonts w:hint="eastAsia" w:ascii="宋体" w:hAnsi="宋体" w:cs="宋体"/>
                <w:b/>
                <w:color w:val="000000"/>
                <w:kern w:val="0"/>
                <w:sz w:val="22"/>
                <w:szCs w:val="22"/>
                <w:lang w:eastAsia="zh-CN"/>
              </w:rPr>
              <w:t>控制价</w:t>
            </w:r>
          </w:p>
        </w:tc>
      </w:tr>
      <w:tr>
        <w:tblPrEx>
          <w:tblCellMar>
            <w:top w:w="0" w:type="dxa"/>
            <w:left w:w="0" w:type="dxa"/>
            <w:bottom w:w="0" w:type="dxa"/>
            <w:right w:w="0" w:type="dxa"/>
          </w:tblCellMar>
        </w:tblPrEx>
        <w:trPr>
          <w:trHeight w:val="692"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单色电源</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kern w:val="0"/>
                <w:sz w:val="22"/>
                <w:szCs w:val="22"/>
                <w:lang w:val="en-US" w:eastAsia="zh-CN"/>
              </w:rPr>
              <w:t>铝壳  5v40A</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200元</w:t>
            </w:r>
          </w:p>
        </w:tc>
      </w:tr>
      <w:tr>
        <w:tblPrEx>
          <w:tblCellMar>
            <w:top w:w="0" w:type="dxa"/>
            <w:left w:w="0" w:type="dxa"/>
            <w:bottom w:w="0" w:type="dxa"/>
            <w:right w:w="0" w:type="dxa"/>
          </w:tblCellMar>
        </w:tblPrEx>
        <w:trPr>
          <w:trHeight w:val="581"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全彩屏电源</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rPr>
              <w:t xml:space="preserve"> 铝壳 12V40A</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280元</w:t>
            </w:r>
          </w:p>
        </w:tc>
      </w:tr>
      <w:tr>
        <w:tblPrEx>
          <w:tblCellMar>
            <w:top w:w="0" w:type="dxa"/>
            <w:left w:w="0" w:type="dxa"/>
            <w:bottom w:w="0" w:type="dxa"/>
            <w:right w:w="0" w:type="dxa"/>
          </w:tblCellMar>
        </w:tblPrEx>
        <w:trPr>
          <w:trHeight w:val="67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发光字电源</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铝壳 12V40A</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台</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280元</w:t>
            </w:r>
          </w:p>
        </w:tc>
      </w:tr>
      <w:tr>
        <w:tblPrEx>
          <w:tblCellMar>
            <w:top w:w="0" w:type="dxa"/>
            <w:left w:w="0" w:type="dxa"/>
            <w:bottom w:w="0" w:type="dxa"/>
            <w:right w:w="0" w:type="dxa"/>
          </w:tblCellMar>
        </w:tblPrEx>
        <w:trPr>
          <w:trHeight w:val="657"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F5.0单元板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130元</w:t>
            </w:r>
          </w:p>
        </w:tc>
      </w:tr>
      <w:tr>
        <w:tblPrEx>
          <w:tblCellMar>
            <w:top w:w="0" w:type="dxa"/>
            <w:left w:w="0" w:type="dxa"/>
            <w:bottom w:w="0" w:type="dxa"/>
            <w:right w:w="0" w:type="dxa"/>
          </w:tblCellMar>
        </w:tblPrEx>
        <w:trPr>
          <w:trHeight w:val="569"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5</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LED</w:t>
            </w:r>
            <w:r>
              <w:rPr>
                <w:rFonts w:hint="eastAsia" w:ascii="宋体" w:hAnsi="宋体" w:cs="宋体"/>
                <w:color w:val="000000"/>
                <w:kern w:val="0"/>
                <w:sz w:val="22"/>
                <w:szCs w:val="22"/>
                <w:lang w:eastAsia="zh-CN"/>
              </w:rPr>
              <w:t>单色显示屏</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P4.75单元板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160元</w:t>
            </w:r>
          </w:p>
        </w:tc>
      </w:tr>
      <w:tr>
        <w:tblPrEx>
          <w:tblCellMar>
            <w:top w:w="0" w:type="dxa"/>
            <w:left w:w="0" w:type="dxa"/>
            <w:bottom w:w="0" w:type="dxa"/>
            <w:right w:w="0" w:type="dxa"/>
          </w:tblCellMar>
        </w:tblPrEx>
        <w:trPr>
          <w:trHeight w:val="506"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P10单元板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both"/>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110元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7</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LED</w:t>
            </w:r>
            <w:r>
              <w:rPr>
                <w:rFonts w:hint="eastAsia" w:ascii="宋体" w:hAnsi="宋体" w:cs="宋体"/>
                <w:color w:val="000000"/>
                <w:sz w:val="22"/>
                <w:szCs w:val="22"/>
                <w:lang w:eastAsia="zh-CN"/>
              </w:rPr>
              <w:t>全彩显示屏屏</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P2.0单元板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300元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8</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08接收卡</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210元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9</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12接收卡</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320元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10</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视频接收器</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台</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2000元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11</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不锈钢包边发光字</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亚克力面板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480元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12</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both"/>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LED数码管</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110元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13</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亚克力包边发光字</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亚克力面板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420元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14</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烤漆LED发光字</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烤漆镀锌板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370元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15</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不锈钢框架</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不锈钢方管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300元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16</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镀锌角铁框架</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镀锌角铁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260元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17</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铝朔板门头招牌</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铝朔板</w:t>
            </w:r>
            <w:r>
              <w:rPr>
                <w:rFonts w:hint="eastAsia" w:ascii="宋体" w:hAnsi="宋体" w:cs="宋体"/>
                <w:color w:val="000000"/>
                <w:sz w:val="22"/>
                <w:szCs w:val="22"/>
                <w:lang w:val="en-US" w:eastAsia="zh-CN"/>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400元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18</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Pvc字</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PVC面板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170元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19</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无边字</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eastAsia="zh-CN"/>
              </w:rPr>
              <w:t>亚克力面板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480元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LED发光灯箱</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铝型材UV软膜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480元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LED射灯</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个</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370元</w:t>
            </w:r>
          </w:p>
        </w:tc>
      </w:tr>
      <w:tr>
        <w:tblPrEx>
          <w:tblCellMar>
            <w:top w:w="0" w:type="dxa"/>
            <w:left w:w="0" w:type="dxa"/>
            <w:bottom w:w="0" w:type="dxa"/>
            <w:right w:w="0" w:type="dxa"/>
          </w:tblCellMar>
        </w:tblPrEx>
        <w:trPr>
          <w:trHeight w:val="502"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 xml:space="preserve"> 德力西LED配电定时系统</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1200元</w:t>
            </w:r>
          </w:p>
        </w:tc>
      </w:tr>
    </w:tbl>
    <w:p>
      <w:pPr>
        <w:snapToGrid/>
        <w:spacing w:before="0" w:beforeAutospacing="0" w:after="0" w:afterAutospacing="0" w:line="360" w:lineRule="auto"/>
        <w:jc w:val="both"/>
        <w:textAlignment w:val="baseline"/>
        <w:rPr>
          <w:rFonts w:hint="eastAsia"/>
          <w:lang w:val="en-US" w:eastAsia="zh-CN"/>
        </w:rPr>
      </w:pPr>
      <w:r>
        <w:rPr>
          <w:rFonts w:hint="eastAsia" w:ascii="宋体" w:hAnsi="宋体" w:cs="宋体"/>
          <w:b/>
          <w:bCs/>
          <w:color w:val="auto"/>
          <w:kern w:val="2"/>
          <w:sz w:val="22"/>
          <w:szCs w:val="28"/>
          <w:lang w:val="en-US" w:eastAsia="zh-CN" w:bidi="ar-SA"/>
        </w:rPr>
        <w:t>三、售后服务条件及交货日期（或工期）：质保期不少于一年</w:t>
      </w:r>
    </w:p>
    <w:bookmarkEnd w:id="35"/>
    <w:bookmarkEnd w:id="36"/>
    <w:p>
      <w:pPr>
        <w:snapToGrid w:val="0"/>
        <w:spacing w:line="360" w:lineRule="auto"/>
        <w:jc w:val="center"/>
        <w:rPr>
          <w:rFonts w:hint="eastAsia"/>
          <w:b/>
          <w:bCs/>
          <w:color w:val="auto"/>
          <w:sz w:val="30"/>
          <w:szCs w:val="30"/>
          <w:highlight w:val="none"/>
        </w:rPr>
      </w:pPr>
    </w:p>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pStyle w:val="31"/>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color w:val="auto"/>
              </w:rPr>
            </w:pPr>
            <w:r>
              <w:rPr>
                <w:rFonts w:hint="eastAsia"/>
                <w:color w:val="auto"/>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color w:val="auto"/>
                <w:lang w:val="en-US" w:eastAsia="zh-CN"/>
              </w:rPr>
              <w:t>2</w:t>
            </w:r>
            <w:r>
              <w:rPr>
                <w:rFonts w:hint="eastAsia"/>
                <w:color w:val="auto"/>
              </w:rPr>
              <w:t>、</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color w:val="auto"/>
              </w:rPr>
            </w:pPr>
            <w:r>
              <w:rPr>
                <w:rFonts w:hint="eastAsia"/>
                <w:color w:val="auto"/>
                <w:lang w:val="en-US" w:eastAsia="zh-CN"/>
              </w:rPr>
              <w:t>3</w:t>
            </w:r>
            <w:r>
              <w:rPr>
                <w:rFonts w:hint="eastAsia"/>
                <w:color w:val="auto"/>
              </w:rPr>
              <w:t>、供应商应根据</w:t>
            </w:r>
            <w:r>
              <w:rPr>
                <w:rFonts w:hint="eastAsia"/>
                <w:color w:val="auto"/>
                <w:lang w:eastAsia="zh-CN"/>
              </w:rPr>
              <w:t>采购</w:t>
            </w:r>
            <w:r>
              <w:rPr>
                <w:rFonts w:hint="eastAsia"/>
                <w:color w:val="auto"/>
              </w:rPr>
              <w:t>文件的要求提供技术响应表、商务响应表等内容以对</w:t>
            </w:r>
            <w:r>
              <w:rPr>
                <w:rFonts w:hint="eastAsia"/>
                <w:color w:val="auto"/>
                <w:lang w:eastAsia="zh-CN"/>
              </w:rPr>
              <w:t>采购</w:t>
            </w:r>
            <w:r>
              <w:rPr>
                <w:rFonts w:hint="eastAsia"/>
                <w:color w:val="auto"/>
              </w:rPr>
              <w:t>文件作出响应。</w:t>
            </w:r>
          </w:p>
        </w:tc>
      </w:tr>
    </w:tbl>
    <w:p>
      <w:pPr>
        <w:rPr>
          <w:color w:val="auto"/>
          <w:highlight w:val="none"/>
        </w:rPr>
      </w:pPr>
    </w:p>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cs="宋体"/>
                <w:color w:val="auto"/>
                <w:lang w:eastAsia="zh-CN"/>
              </w:rPr>
              <w:t>驻马店市中心医院院区灯光亮化更换及维修项目</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30万</w:t>
            </w:r>
            <w:r>
              <w:rPr>
                <w:rFonts w:hint="eastAsia" w:ascii="宋体" w:hAnsi="宋体" w:eastAsia="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30万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w:t>
      </w:r>
      <w:r>
        <w:rPr>
          <w:rFonts w:hint="eastAsia" w:ascii="宋体" w:hAnsi="宋体" w:cs="宋体"/>
          <w:color w:val="auto"/>
          <w:kern w:val="2"/>
          <w:sz w:val="21"/>
          <w:szCs w:val="24"/>
          <w:lang w:val="en-US" w:eastAsia="zh-CN" w:bidi="ar-SA"/>
        </w:rPr>
        <w:t>1</w:t>
      </w:r>
      <w:r>
        <w:rPr>
          <w:rFonts w:hint="eastAsia" w:ascii="宋体" w:hAnsi="宋体" w:eastAsia="宋体" w:cs="宋体"/>
          <w:color w:val="auto"/>
          <w:kern w:val="2"/>
          <w:sz w:val="21"/>
          <w:szCs w:val="24"/>
          <w:lang w:val="en-US" w:eastAsia="zh-CN" w:bidi="ar-SA"/>
        </w:rPr>
        <w:t>年度经审计的财务报告或者其基本开户银行出具的资信证明；采购活动前三个月中任意一个月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 xml:space="preserve">5 </w:t>
      </w:r>
      <w:r>
        <w:rPr>
          <w:rFonts w:hint="eastAsia"/>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lang w:eastAsia="zh-CN"/>
              </w:rPr>
              <w:t>第二章  采购需求</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cs="宋体"/>
                <w:b w:val="0"/>
                <w:bCs w:val="0"/>
                <w:color w:val="auto"/>
                <w:kern w:val="0"/>
                <w:sz w:val="21"/>
                <w:szCs w:val="21"/>
                <w:highlight w:val="none"/>
                <w:lang w:val="en-US" w:eastAsia="zh-CN"/>
              </w:rPr>
              <w:t>的响应</w:t>
            </w:r>
            <w:r>
              <w:rPr>
                <w:rFonts w:hint="eastAsia" w:ascii="宋体" w:hAnsi="宋体" w:eastAsia="宋体" w:cs="宋体"/>
                <w:b w:val="0"/>
                <w:bCs w:val="0"/>
                <w:color w:val="auto"/>
                <w:kern w:val="0"/>
                <w:sz w:val="21"/>
                <w:szCs w:val="21"/>
                <w:highlight w:val="none"/>
                <w:lang w:eastAsia="zh-CN"/>
              </w:rPr>
              <w:t>、性能及产品功能等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51"/>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1"/>
        <w:rPr>
          <w:color w:val="auto"/>
        </w:rPr>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附件11 供应商信用承诺函（格式）</w:t>
      </w:r>
    </w:p>
    <w:p>
      <w:pPr>
        <w:pStyle w:val="31"/>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2"/>
        <w:rPr>
          <w:rFonts w:ascii="宋体" w:hAnsi="宋体" w:cs="宋体"/>
          <w:b/>
          <w:bCs/>
          <w:color w:val="auto"/>
          <w:kern w:val="0"/>
          <w:sz w:val="24"/>
          <w:highlight w:val="none"/>
        </w:rPr>
      </w:pPr>
    </w:p>
    <w:p>
      <w:pPr>
        <w:pStyle w:val="51"/>
        <w:rPr>
          <w:rFonts w:hAnsi="宋体"/>
          <w:b/>
          <w:bCs/>
          <w:color w:val="auto"/>
          <w:highlight w:val="none"/>
        </w:rPr>
      </w:pPr>
    </w:p>
    <w:p>
      <w:pPr>
        <w:pStyle w:val="51"/>
        <w:rPr>
          <w:rFonts w:hAnsi="宋体"/>
          <w:b/>
          <w:bCs/>
          <w:color w:val="auto"/>
          <w:highlight w:val="none"/>
        </w:rPr>
      </w:pPr>
    </w:p>
    <w:p>
      <w:pPr>
        <w:rPr>
          <w:color w:val="auto"/>
          <w:highlight w:val="none"/>
        </w:rPr>
      </w:pPr>
      <w:r>
        <w:rPr>
          <w:rFonts w:hint="eastAsia"/>
          <w:color w:val="auto"/>
          <w:highlight w:val="none"/>
        </w:rPr>
        <w:br w:type="page"/>
      </w:r>
    </w:p>
    <w:p>
      <w:pPr>
        <w:pStyle w:val="13"/>
        <w:rPr>
          <w:color w:val="auto"/>
          <w:highlight w:val="none"/>
        </w:rPr>
      </w:pPr>
    </w:p>
    <w:p>
      <w:pPr>
        <w:pStyle w:val="4"/>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1"/>
        <w:spacing w:line="360" w:lineRule="auto"/>
        <w:rPr>
          <w:rFonts w:hint="eastAsia" w:ascii="宋体" w:hAnsi="宋体" w:eastAsia="宋体" w:cs="宋体"/>
          <w:color w:val="auto"/>
          <w:highlight w:val="none"/>
        </w:rPr>
      </w:pPr>
    </w:p>
    <w:p>
      <w:pPr>
        <w:pStyle w:val="51"/>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4"/>
        <w:spacing w:before="20" w:after="20"/>
        <w:rPr>
          <w:color w:val="auto"/>
          <w:highlight w:val="none"/>
        </w:rPr>
      </w:pPr>
      <w:bookmarkStart w:id="74" w:name="_Toc22004"/>
      <w:bookmarkStart w:id="75" w:name="_Toc2498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3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4"/>
        <w:rPr>
          <w:color w:val="auto"/>
          <w:highlight w:val="none"/>
        </w:rPr>
      </w:pPr>
      <w:r>
        <w:rPr>
          <w:rFonts w:hint="eastAsia"/>
          <w:color w:val="auto"/>
          <w:highlight w:val="none"/>
        </w:rPr>
        <w:br w:type="page"/>
      </w:r>
      <w:bookmarkStart w:id="76" w:name="_Toc226"/>
      <w:bookmarkStart w:id="77" w:name="_Toc15804"/>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outlineLvl w:val="9"/>
        <w:rPr>
          <w:rFonts w:cs="宋体"/>
          <w:b/>
          <w:color w:val="auto"/>
          <w:kern w:val="0"/>
          <w:sz w:val="24"/>
          <w:highlight w:val="none"/>
        </w:rPr>
      </w:pPr>
    </w:p>
    <w:p>
      <w:pPr>
        <w:widowControl/>
        <w:wordWrap w:val="0"/>
        <w:spacing w:line="460" w:lineRule="exact"/>
        <w:jc w:val="left"/>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color w:val="auto"/>
        </w:rPr>
      </w:pPr>
    </w:p>
    <w:p>
      <w:pPr>
        <w:outlineLvl w:val="9"/>
        <w:rPr>
          <w:rFonts w:cs="宋体"/>
          <w:b/>
          <w:color w:val="auto"/>
          <w:kern w:val="0"/>
          <w:sz w:val="24"/>
          <w:highlight w:val="none"/>
        </w:rPr>
      </w:pPr>
      <w:r>
        <w:rPr>
          <w:rFonts w:cs="宋体"/>
          <w:b/>
          <w:color w:val="auto"/>
          <w:kern w:val="0"/>
          <w:sz w:val="24"/>
          <w:highlight w:val="none"/>
        </w:rPr>
        <w:br w:type="page"/>
      </w:r>
    </w:p>
    <w:p>
      <w:pPr>
        <w:pStyle w:val="31"/>
        <w:rPr>
          <w:color w:val="auto"/>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1"/>
        <w:rPr>
          <w:rFonts w:hint="eastAsia" w:ascii="宋体" w:hAnsi="宋体" w:eastAsia="宋体" w:cs="宋体"/>
          <w:sz w:val="24"/>
          <w:szCs w:val="24"/>
        </w:rPr>
      </w:pPr>
    </w:p>
    <w:p>
      <w:pPr>
        <w:pStyle w:val="3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pStyle w:val="3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pStyle w:val="3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pStyle w:val="3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rPr>
      </w:pPr>
    </w:p>
    <w:p>
      <w:pPr>
        <w:pStyle w:val="49"/>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rPr>
        <w:rFonts w:hint="eastAsia" w:ascii="宋体" w:hAnsi="宋体" w:cs="宋体"/>
        <w:color w:val="auto"/>
        <w:lang w:eastAsia="zh-CN"/>
      </w:rPr>
      <w:t>驻马店市中心医院院区灯光亮化更换及维修项目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hint="eastAsia" w:eastAsia="宋体"/>
        <w:lang w:val="en-US" w:eastAsia="zh-CN"/>
      </w:rPr>
    </w:pPr>
    <w:r>
      <w:rPr>
        <w:rFonts w:hint="eastAsia"/>
      </w:rPr>
      <w:t xml:space="preserve">                            </w:t>
    </w:r>
    <w:r>
      <w:rPr>
        <w:rFonts w:hint="eastAsia" w:ascii="宋体" w:hAnsi="宋体" w:cs="宋体"/>
        <w:color w:val="auto"/>
        <w:lang w:eastAsia="zh-CN"/>
      </w:rPr>
      <w:t>驻马店市中心医院院区灯光亮化更换及维修项目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AE3751F5"/>
    <w:multiLevelType w:val="singleLevel"/>
    <w:tmpl w:val="AE3751F5"/>
    <w:lvl w:ilvl="0" w:tentative="0">
      <w:start w:val="2"/>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697C"/>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BF6D42"/>
    <w:rsid w:val="09D206F0"/>
    <w:rsid w:val="0A321AC2"/>
    <w:rsid w:val="0A343D4E"/>
    <w:rsid w:val="0A3E6D2E"/>
    <w:rsid w:val="0A6C3DC0"/>
    <w:rsid w:val="0AD13A85"/>
    <w:rsid w:val="0AE033D9"/>
    <w:rsid w:val="0B091954"/>
    <w:rsid w:val="0B167AE8"/>
    <w:rsid w:val="0B1A1257"/>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3F3A0E"/>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750987"/>
    <w:rsid w:val="137C7BCD"/>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647475"/>
    <w:rsid w:val="16726180"/>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F67868"/>
    <w:rsid w:val="18F71640"/>
    <w:rsid w:val="190B2D88"/>
    <w:rsid w:val="190E6B63"/>
    <w:rsid w:val="19123928"/>
    <w:rsid w:val="19194264"/>
    <w:rsid w:val="19420786"/>
    <w:rsid w:val="19427EC0"/>
    <w:rsid w:val="195711D7"/>
    <w:rsid w:val="195D2A3F"/>
    <w:rsid w:val="198310E9"/>
    <w:rsid w:val="198D747A"/>
    <w:rsid w:val="19A15638"/>
    <w:rsid w:val="1A125525"/>
    <w:rsid w:val="1A514E33"/>
    <w:rsid w:val="1A5F4342"/>
    <w:rsid w:val="1A8C5D82"/>
    <w:rsid w:val="1A994988"/>
    <w:rsid w:val="1A9B546C"/>
    <w:rsid w:val="1AA3511F"/>
    <w:rsid w:val="1AAE3B54"/>
    <w:rsid w:val="1AC10987"/>
    <w:rsid w:val="1B0C5B32"/>
    <w:rsid w:val="1B0D3E82"/>
    <w:rsid w:val="1B1652AB"/>
    <w:rsid w:val="1B181CD5"/>
    <w:rsid w:val="1B265306"/>
    <w:rsid w:val="1B4F2450"/>
    <w:rsid w:val="1B8C18B7"/>
    <w:rsid w:val="1BB73AE1"/>
    <w:rsid w:val="1BDA6D68"/>
    <w:rsid w:val="1C555978"/>
    <w:rsid w:val="1C6554A1"/>
    <w:rsid w:val="1C7971B7"/>
    <w:rsid w:val="1CD402EC"/>
    <w:rsid w:val="1CF02333"/>
    <w:rsid w:val="1D0C33A2"/>
    <w:rsid w:val="1D113E6E"/>
    <w:rsid w:val="1D114E5E"/>
    <w:rsid w:val="1D1F0050"/>
    <w:rsid w:val="1D2222DC"/>
    <w:rsid w:val="1D545FFC"/>
    <w:rsid w:val="1D5B3CDE"/>
    <w:rsid w:val="1D6E2950"/>
    <w:rsid w:val="1D98209B"/>
    <w:rsid w:val="1DA23746"/>
    <w:rsid w:val="1DAA14B9"/>
    <w:rsid w:val="1DD04513"/>
    <w:rsid w:val="1E4C5F8A"/>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10F579E"/>
    <w:rsid w:val="212550B5"/>
    <w:rsid w:val="21484F14"/>
    <w:rsid w:val="21592B62"/>
    <w:rsid w:val="21747CD2"/>
    <w:rsid w:val="219E5782"/>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6016AA"/>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0B7C95"/>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0E71CC"/>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2A5C42"/>
    <w:rsid w:val="3075258E"/>
    <w:rsid w:val="30BF439A"/>
    <w:rsid w:val="30CB1B61"/>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96649"/>
    <w:rsid w:val="33CC3D88"/>
    <w:rsid w:val="33D76F4A"/>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5FA60C0"/>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04606D"/>
    <w:rsid w:val="3906718E"/>
    <w:rsid w:val="392536E2"/>
    <w:rsid w:val="39465F15"/>
    <w:rsid w:val="396453C5"/>
    <w:rsid w:val="39922CCF"/>
    <w:rsid w:val="39A65327"/>
    <w:rsid w:val="39A65C9B"/>
    <w:rsid w:val="39BC5ED6"/>
    <w:rsid w:val="39EB39E0"/>
    <w:rsid w:val="39EF02D4"/>
    <w:rsid w:val="3A11342A"/>
    <w:rsid w:val="3A153110"/>
    <w:rsid w:val="3A2507C0"/>
    <w:rsid w:val="3A297E52"/>
    <w:rsid w:val="3A393FA7"/>
    <w:rsid w:val="3A64203E"/>
    <w:rsid w:val="3A663D00"/>
    <w:rsid w:val="3A7428D0"/>
    <w:rsid w:val="3A923AE4"/>
    <w:rsid w:val="3AA50E25"/>
    <w:rsid w:val="3AC566E3"/>
    <w:rsid w:val="3AD6747A"/>
    <w:rsid w:val="3B3D0FF2"/>
    <w:rsid w:val="3B48756F"/>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ECD4837"/>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F433E"/>
    <w:rsid w:val="41B7239D"/>
    <w:rsid w:val="41E47AD6"/>
    <w:rsid w:val="41FF3845"/>
    <w:rsid w:val="421104A9"/>
    <w:rsid w:val="42143B88"/>
    <w:rsid w:val="42164586"/>
    <w:rsid w:val="422143B7"/>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CF375F"/>
    <w:rsid w:val="4CE9350A"/>
    <w:rsid w:val="4CF632F0"/>
    <w:rsid w:val="4D297BF3"/>
    <w:rsid w:val="4D2D0EAF"/>
    <w:rsid w:val="4D63401A"/>
    <w:rsid w:val="4D7F0082"/>
    <w:rsid w:val="4D952FD9"/>
    <w:rsid w:val="4D970662"/>
    <w:rsid w:val="4DB33393"/>
    <w:rsid w:val="4DCF1E0D"/>
    <w:rsid w:val="4DD632D9"/>
    <w:rsid w:val="4DE05DF9"/>
    <w:rsid w:val="4DE44800"/>
    <w:rsid w:val="4DEE0709"/>
    <w:rsid w:val="4DFC14EA"/>
    <w:rsid w:val="4DFF6815"/>
    <w:rsid w:val="4E0A3427"/>
    <w:rsid w:val="4E27036A"/>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9003B1"/>
    <w:rsid w:val="52DE008D"/>
    <w:rsid w:val="52EE341E"/>
    <w:rsid w:val="52F37FE6"/>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E0DA2"/>
    <w:rsid w:val="542E2BC2"/>
    <w:rsid w:val="54352A96"/>
    <w:rsid w:val="54425CFB"/>
    <w:rsid w:val="54447390"/>
    <w:rsid w:val="545E1D01"/>
    <w:rsid w:val="54935B8F"/>
    <w:rsid w:val="54CC6227"/>
    <w:rsid w:val="54D10F9B"/>
    <w:rsid w:val="551D586C"/>
    <w:rsid w:val="55200298"/>
    <w:rsid w:val="55335E1B"/>
    <w:rsid w:val="554B7EF0"/>
    <w:rsid w:val="556F3D99"/>
    <w:rsid w:val="55860894"/>
    <w:rsid w:val="55B02DF1"/>
    <w:rsid w:val="55DC290C"/>
    <w:rsid w:val="55F01FA1"/>
    <w:rsid w:val="56990B7C"/>
    <w:rsid w:val="569E1126"/>
    <w:rsid w:val="56AC249A"/>
    <w:rsid w:val="56B80DEB"/>
    <w:rsid w:val="56E06E61"/>
    <w:rsid w:val="56F653FE"/>
    <w:rsid w:val="575B7AFD"/>
    <w:rsid w:val="57660D3F"/>
    <w:rsid w:val="57706F91"/>
    <w:rsid w:val="57D1153D"/>
    <w:rsid w:val="57FA3774"/>
    <w:rsid w:val="58084A3C"/>
    <w:rsid w:val="585D2975"/>
    <w:rsid w:val="587E3341"/>
    <w:rsid w:val="58CF56D8"/>
    <w:rsid w:val="58D31010"/>
    <w:rsid w:val="58D6741E"/>
    <w:rsid w:val="58EA3D0E"/>
    <w:rsid w:val="58F71269"/>
    <w:rsid w:val="58FE045E"/>
    <w:rsid w:val="590F448D"/>
    <w:rsid w:val="59561946"/>
    <w:rsid w:val="59670F51"/>
    <w:rsid w:val="596A44F9"/>
    <w:rsid w:val="596C19BB"/>
    <w:rsid w:val="59790BDB"/>
    <w:rsid w:val="598653AC"/>
    <w:rsid w:val="59AB52AC"/>
    <w:rsid w:val="59AC3C86"/>
    <w:rsid w:val="59D42FDA"/>
    <w:rsid w:val="59DA4E01"/>
    <w:rsid w:val="59F64E82"/>
    <w:rsid w:val="5A10435C"/>
    <w:rsid w:val="5A2654CC"/>
    <w:rsid w:val="5A323A44"/>
    <w:rsid w:val="5A395E66"/>
    <w:rsid w:val="5A484352"/>
    <w:rsid w:val="5A5321A5"/>
    <w:rsid w:val="5A74522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349B4"/>
    <w:rsid w:val="5BF03D58"/>
    <w:rsid w:val="5C0F0D26"/>
    <w:rsid w:val="5C1A6BB2"/>
    <w:rsid w:val="5C5355FE"/>
    <w:rsid w:val="5C6F4105"/>
    <w:rsid w:val="5C7A4EE2"/>
    <w:rsid w:val="5CBB7F6F"/>
    <w:rsid w:val="5CCE3A33"/>
    <w:rsid w:val="5D7C3F11"/>
    <w:rsid w:val="5D9D49E0"/>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970898"/>
    <w:rsid w:val="61A90D68"/>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BD41A6"/>
    <w:rsid w:val="63EE4692"/>
    <w:rsid w:val="63FD622D"/>
    <w:rsid w:val="64035FDE"/>
    <w:rsid w:val="643F32F9"/>
    <w:rsid w:val="64582686"/>
    <w:rsid w:val="64673C87"/>
    <w:rsid w:val="64964373"/>
    <w:rsid w:val="64A251DD"/>
    <w:rsid w:val="64AF4418"/>
    <w:rsid w:val="64DB63AB"/>
    <w:rsid w:val="650242F0"/>
    <w:rsid w:val="65542778"/>
    <w:rsid w:val="655829AF"/>
    <w:rsid w:val="656B70C3"/>
    <w:rsid w:val="658F4798"/>
    <w:rsid w:val="659B1EBA"/>
    <w:rsid w:val="65B461E9"/>
    <w:rsid w:val="65BE39A8"/>
    <w:rsid w:val="65FB3FBE"/>
    <w:rsid w:val="66247D11"/>
    <w:rsid w:val="66736112"/>
    <w:rsid w:val="667F5B5B"/>
    <w:rsid w:val="66897C79"/>
    <w:rsid w:val="6694262A"/>
    <w:rsid w:val="669609C2"/>
    <w:rsid w:val="66990381"/>
    <w:rsid w:val="66B31B01"/>
    <w:rsid w:val="66CE1E80"/>
    <w:rsid w:val="66E362F9"/>
    <w:rsid w:val="66E47FD9"/>
    <w:rsid w:val="67071922"/>
    <w:rsid w:val="671626D9"/>
    <w:rsid w:val="673B73C0"/>
    <w:rsid w:val="675608B6"/>
    <w:rsid w:val="67754402"/>
    <w:rsid w:val="677D54ED"/>
    <w:rsid w:val="67AC6886"/>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9C6026"/>
    <w:rsid w:val="72A17C99"/>
    <w:rsid w:val="72AF6F7E"/>
    <w:rsid w:val="72C576C8"/>
    <w:rsid w:val="73047904"/>
    <w:rsid w:val="734C1A6A"/>
    <w:rsid w:val="735C5949"/>
    <w:rsid w:val="73737DA5"/>
    <w:rsid w:val="73851FDD"/>
    <w:rsid w:val="73887B3E"/>
    <w:rsid w:val="73892412"/>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07B65"/>
    <w:rsid w:val="77B4450A"/>
    <w:rsid w:val="77B46E73"/>
    <w:rsid w:val="77E37A12"/>
    <w:rsid w:val="77FE3468"/>
    <w:rsid w:val="78546F0C"/>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qFormat/>
    <w:uiPriority w:val="0"/>
    <w:rPr>
      <w:rFonts w:ascii="宋体" w:hAnsi="Calibri"/>
      <w:sz w:val="18"/>
      <w:szCs w:val="18"/>
    </w:rPr>
  </w:style>
  <w:style w:type="paragraph" w:styleId="10">
    <w:name w:val="annotation text"/>
    <w:basedOn w:val="1"/>
    <w:qFormat/>
    <w:uiPriority w:val="0"/>
    <w:pPr>
      <w:jc w:val="left"/>
    </w:pPr>
  </w:style>
  <w:style w:type="paragraph" w:styleId="11">
    <w:name w:val="Body Text 3"/>
    <w:basedOn w:val="1"/>
    <w:qFormat/>
    <w:uiPriority w:val="0"/>
    <w:rPr>
      <w:sz w:val="16"/>
      <w:szCs w:val="16"/>
    </w:rPr>
  </w:style>
  <w:style w:type="paragraph" w:styleId="12">
    <w:name w:val="Body Text"/>
    <w:basedOn w:val="1"/>
    <w:next w:val="13"/>
    <w:link w:val="73"/>
    <w:qFormat/>
    <w:uiPriority w:val="0"/>
  </w:style>
  <w:style w:type="paragraph" w:styleId="13">
    <w:name w:val="Body Text 2"/>
    <w:basedOn w:val="1"/>
    <w:next w:val="12"/>
    <w:qFormat/>
    <w:uiPriority w:val="0"/>
    <w:pPr>
      <w:spacing w:line="480" w:lineRule="auto"/>
    </w:p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customStyle="1" w:styleId="15">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w:basedOn w:val="12"/>
    <w:next w:val="32"/>
    <w:qFormat/>
    <w:uiPriority w:val="0"/>
    <w:pPr>
      <w:spacing w:line="360" w:lineRule="auto"/>
      <w:ind w:firstLine="420" w:firstLineChars="100"/>
    </w:pPr>
    <w:rPr>
      <w:szCs w:val="21"/>
    </w:rPr>
  </w:style>
  <w:style w:type="paragraph" w:styleId="32">
    <w:name w:val="Body Text First Indent 2"/>
    <w:basedOn w:val="14"/>
    <w:next w:val="1"/>
    <w:qFormat/>
    <w:uiPriority w:val="0"/>
    <w:pPr>
      <w:ind w:firstLine="420" w:firstLineChars="200"/>
    </w:p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Default"/>
    <w:next w:val="52"/>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2">
    <w:name w:val="大标题"/>
    <w:basedOn w:val="1"/>
    <w:next w:val="32"/>
    <w:qFormat/>
    <w:uiPriority w:val="0"/>
    <w:pPr>
      <w:jc w:val="center"/>
    </w:pPr>
    <w:rPr>
      <w:rFonts w:ascii="Arial" w:hAnsi="Arial"/>
      <w:b/>
      <w:sz w:val="28"/>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5"/>
    <w:link w:val="12"/>
    <w:qFormat/>
    <w:uiPriority w:val="0"/>
  </w:style>
  <w:style w:type="character" w:customStyle="1" w:styleId="74">
    <w:name w:val="apple-converted-space"/>
    <w:basedOn w:val="35"/>
    <w:qFormat/>
    <w:uiPriority w:val="0"/>
  </w:style>
  <w:style w:type="character" w:customStyle="1" w:styleId="75">
    <w:name w:val="文档结构图 Char"/>
    <w:link w:val="9"/>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2"/>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14743</Words>
  <Characters>15513</Characters>
  <Lines>50</Lines>
  <Paragraphs>68</Paragraphs>
  <TotalTime>0</TotalTime>
  <ScaleCrop>false</ScaleCrop>
  <LinksUpToDate>false</LinksUpToDate>
  <CharactersWithSpaces>16434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WPS_1660177687</cp:lastModifiedBy>
  <cp:lastPrinted>2021-09-30T00:46:00Z</cp:lastPrinted>
  <dcterms:modified xsi:type="dcterms:W3CDTF">2022-09-14T09:36:52Z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562A285641654D2EA086C4325B3B203C</vt:lpwstr>
  </property>
</Properties>
</file>