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18"/>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Fonts w:hint="eastAsia" w:ascii="宋体" w:hAnsi="宋体" w:eastAsia="宋体" w:cs="宋体"/>
          <w:b/>
          <w:bCs/>
          <w:color w:val="auto"/>
          <w:sz w:val="48"/>
          <w:szCs w:val="48"/>
          <w:lang w:val="en-US" w:eastAsia="zh-CN"/>
        </w:rPr>
      </w:pPr>
      <w:bookmarkStart w:id="0" w:name="_Toc22804073"/>
      <w:bookmarkEnd w:id="0"/>
      <w:bookmarkStart w:id="1" w:name="_Toc22953395"/>
      <w:bookmarkEnd w:id="1"/>
    </w:p>
    <w:p>
      <w:pPr>
        <w:pStyle w:val="18"/>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Fonts w:hint="eastAsia" w:ascii="宋体" w:hAnsi="宋体" w:eastAsia="宋体" w:cs="宋体"/>
          <w:b/>
          <w:bCs/>
          <w:color w:val="auto"/>
          <w:sz w:val="48"/>
          <w:szCs w:val="48"/>
          <w:lang w:val="en-US" w:eastAsia="zh-CN"/>
        </w:rPr>
      </w:pPr>
      <w:r>
        <w:rPr>
          <w:rFonts w:hint="eastAsia" w:ascii="黑体" w:hAnsi="黑体" w:eastAsia="黑体" w:cs="宋体"/>
          <w:bCs/>
          <w:color w:val="auto"/>
          <w:kern w:val="0"/>
          <w:sz w:val="48"/>
          <w:szCs w:val="48"/>
          <w:lang w:eastAsia="zh-CN"/>
        </w:rPr>
        <w:t>驻马店市中心医院新生儿经鼻高流量呼吸湿化治疗仪采购项目</w:t>
      </w:r>
    </w:p>
    <w:p>
      <w:pPr>
        <w:pStyle w:val="18"/>
        <w:bidi w:val="0"/>
        <w:jc w:val="center"/>
        <w:rPr>
          <w:rStyle w:val="43"/>
          <w:rFonts w:hint="eastAsia" w:ascii="宋体" w:hAnsi="宋体" w:eastAsia="宋体" w:cs="宋体"/>
          <w:b/>
          <w:bCs/>
          <w:color w:val="auto"/>
          <w:sz w:val="48"/>
          <w:szCs w:val="48"/>
        </w:rPr>
      </w:pPr>
    </w:p>
    <w:p>
      <w:pPr>
        <w:pStyle w:val="18"/>
        <w:bidi w:val="0"/>
        <w:jc w:val="center"/>
        <w:rPr>
          <w:rStyle w:val="43"/>
          <w:rFonts w:hint="eastAsia" w:ascii="宋体" w:hAnsi="宋体" w:eastAsia="宋体" w:cs="宋体"/>
          <w:b/>
          <w:bCs/>
          <w:color w:val="auto"/>
          <w:sz w:val="48"/>
          <w:szCs w:val="48"/>
        </w:rPr>
      </w:pPr>
    </w:p>
    <w:p>
      <w:pPr>
        <w:pStyle w:val="18"/>
        <w:bidi w:val="0"/>
        <w:jc w:val="center"/>
        <w:rPr>
          <w:rStyle w:val="43"/>
          <w:rFonts w:hint="eastAsia" w:ascii="宋体" w:hAnsi="宋体" w:eastAsia="宋体" w:cs="宋体"/>
          <w:b/>
          <w:bCs/>
          <w:color w:val="auto"/>
          <w:sz w:val="48"/>
          <w:szCs w:val="48"/>
        </w:rPr>
      </w:pPr>
    </w:p>
    <w:p>
      <w:pPr>
        <w:pStyle w:val="18"/>
        <w:bidi w:val="0"/>
        <w:jc w:val="center"/>
        <w:rPr>
          <w:rStyle w:val="43"/>
          <w:rFonts w:hint="eastAsia" w:ascii="宋体" w:hAnsi="宋体" w:eastAsia="宋体" w:cs="宋体"/>
          <w:b/>
          <w:bCs/>
          <w:color w:val="auto"/>
          <w:sz w:val="48"/>
          <w:szCs w:val="48"/>
        </w:rPr>
      </w:pPr>
    </w:p>
    <w:p>
      <w:pPr>
        <w:pStyle w:val="18"/>
        <w:bidi w:val="0"/>
        <w:jc w:val="center"/>
        <w:rPr>
          <w:rStyle w:val="43"/>
          <w:rFonts w:hint="eastAsia" w:ascii="宋体" w:hAnsi="宋体" w:eastAsia="宋体" w:cs="宋体"/>
          <w:b/>
          <w:bCs/>
          <w:color w:val="auto"/>
          <w:szCs w:val="44"/>
        </w:rPr>
      </w:pPr>
      <w:r>
        <w:rPr>
          <w:rStyle w:val="43"/>
          <w:rFonts w:hint="eastAsia" w:cs="宋体"/>
          <w:b/>
          <w:bCs/>
          <w:color w:val="auto"/>
          <w:sz w:val="72"/>
          <w:szCs w:val="72"/>
          <w:lang w:val="en-US" w:eastAsia="zh-CN"/>
        </w:rPr>
        <w:t>采购</w:t>
      </w:r>
      <w:r>
        <w:rPr>
          <w:rStyle w:val="43"/>
          <w:rFonts w:hint="eastAsia" w:ascii="宋体" w:hAnsi="宋体" w:eastAsia="宋体" w:cs="宋体"/>
          <w:b/>
          <w:bCs/>
          <w:color w:val="auto"/>
          <w:sz w:val="72"/>
          <w:szCs w:val="72"/>
        </w:rPr>
        <w:t>文件</w:t>
      </w:r>
    </w:p>
    <w:p>
      <w:pPr>
        <w:tabs>
          <w:tab w:val="left" w:pos="2700"/>
          <w:tab w:val="left" w:pos="2880"/>
          <w:tab w:val="left" w:pos="3060"/>
          <w:tab w:val="left" w:pos="7560"/>
        </w:tabs>
        <w:snapToGrid w:val="0"/>
        <w:spacing w:line="360" w:lineRule="auto"/>
        <w:ind w:firstLine="1928" w:firstLineChars="600"/>
        <w:jc w:val="both"/>
        <w:rPr>
          <w:rFonts w:hint="eastAsia" w:ascii="宋体" w:hAnsi="宋体" w:eastAsia="宋体" w:cs="宋体"/>
          <w:b/>
          <w:bCs/>
          <w:color w:val="auto"/>
          <w:spacing w:val="-10"/>
          <w:sz w:val="34"/>
          <w:szCs w:val="34"/>
          <w:lang w:val="en-US" w:eastAsia="zh-CN"/>
        </w:rPr>
      </w:pPr>
    </w:p>
    <w:p>
      <w:pPr>
        <w:snapToGrid w:val="0"/>
        <w:spacing w:line="380" w:lineRule="exact"/>
        <w:jc w:val="center"/>
        <w:rPr>
          <w:rFonts w:hint="eastAsia" w:ascii="宋体" w:hAnsi="宋体" w:eastAsia="宋体" w:cs="宋体"/>
          <w:b/>
          <w:color w:val="auto"/>
          <w:sz w:val="32"/>
          <w:szCs w:val="32"/>
        </w:rPr>
      </w:pPr>
    </w:p>
    <w:p>
      <w:pPr>
        <w:pStyle w:val="29"/>
        <w:rPr>
          <w:rFonts w:hint="eastAsia"/>
          <w:color w:val="auto"/>
        </w:rPr>
      </w:pPr>
    </w:p>
    <w:p>
      <w:pPr>
        <w:pStyle w:val="57"/>
        <w:rPr>
          <w:rFonts w:hint="eastAsia" w:ascii="宋体" w:hAnsi="宋体" w:eastAsia="宋体" w:cs="宋体"/>
          <w:bCs/>
          <w:color w:val="auto"/>
          <w:sz w:val="2"/>
          <w:szCs w:val="2"/>
        </w:rPr>
      </w:pPr>
    </w:p>
    <w:p>
      <w:pPr>
        <w:rPr>
          <w:rFonts w:hint="eastAsia" w:ascii="宋体" w:hAnsi="宋体" w:eastAsia="宋体" w:cs="宋体"/>
          <w:bCs/>
          <w:color w:val="auto"/>
          <w:sz w:val="2"/>
          <w:szCs w:val="2"/>
        </w:rPr>
      </w:pPr>
    </w:p>
    <w:p>
      <w:pPr>
        <w:spacing w:line="20" w:lineRule="exact"/>
        <w:rPr>
          <w:rFonts w:hint="eastAsia" w:ascii="宋体" w:hAnsi="宋体" w:eastAsia="宋体" w:cs="宋体"/>
          <w:bCs/>
          <w:color w:val="auto"/>
          <w:sz w:val="2"/>
          <w:szCs w:val="2"/>
        </w:rPr>
      </w:pPr>
    </w:p>
    <w:p>
      <w:pPr>
        <w:tabs>
          <w:tab w:val="left" w:pos="2700"/>
          <w:tab w:val="left" w:pos="2880"/>
          <w:tab w:val="left" w:pos="3060"/>
          <w:tab w:val="left" w:pos="7560"/>
        </w:tabs>
        <w:snapToGrid w:val="0"/>
        <w:spacing w:line="480" w:lineRule="auto"/>
        <w:ind w:firstLine="1928" w:firstLineChars="600"/>
        <w:rPr>
          <w:rFonts w:hint="eastAsia" w:ascii="宋体" w:hAnsi="宋体" w:eastAsia="宋体" w:cs="宋体"/>
          <w:b/>
          <w:bCs/>
          <w:color w:val="auto"/>
          <w:spacing w:val="-10"/>
          <w:sz w:val="34"/>
          <w:szCs w:val="34"/>
          <w:lang w:val="en-US" w:eastAsia="zh-CN"/>
        </w:rPr>
      </w:pPr>
    </w:p>
    <w:p>
      <w:pPr>
        <w:tabs>
          <w:tab w:val="left" w:pos="2700"/>
          <w:tab w:val="left" w:pos="2880"/>
          <w:tab w:val="left" w:pos="3060"/>
          <w:tab w:val="left" w:pos="7560"/>
        </w:tabs>
        <w:snapToGrid w:val="0"/>
        <w:spacing w:line="480" w:lineRule="auto"/>
        <w:ind w:firstLine="1928" w:firstLineChars="600"/>
        <w:rPr>
          <w:rFonts w:hint="eastAsia" w:ascii="宋体" w:hAnsi="宋体" w:eastAsia="宋体" w:cs="宋体"/>
          <w:b/>
          <w:bCs/>
          <w:color w:val="auto"/>
          <w:spacing w:val="-10"/>
          <w:sz w:val="34"/>
          <w:szCs w:val="34"/>
          <w:lang w:val="en-US" w:eastAsia="zh-CN"/>
        </w:rPr>
      </w:pPr>
    </w:p>
    <w:p>
      <w:pPr>
        <w:tabs>
          <w:tab w:val="left" w:pos="2700"/>
          <w:tab w:val="left" w:pos="2880"/>
          <w:tab w:val="left" w:pos="3060"/>
          <w:tab w:val="left" w:pos="7560"/>
        </w:tabs>
        <w:snapToGrid w:val="0"/>
        <w:spacing w:line="480" w:lineRule="auto"/>
        <w:ind w:left="0" w:leftChars="0" w:firstLine="0" w:firstLineChars="0"/>
        <w:jc w:val="center"/>
        <w:rPr>
          <w:rFonts w:hint="eastAsia" w:ascii="宋体" w:hAnsi="宋体" w:eastAsia="宋体" w:cs="宋体"/>
          <w:b/>
          <w:bCs/>
          <w:color w:val="auto"/>
          <w:spacing w:val="-10"/>
          <w:sz w:val="34"/>
          <w:szCs w:val="34"/>
          <w:lang w:val="en-US" w:eastAsia="zh-CN"/>
        </w:rPr>
      </w:pPr>
    </w:p>
    <w:p>
      <w:pPr>
        <w:tabs>
          <w:tab w:val="left" w:pos="2700"/>
          <w:tab w:val="left" w:pos="2880"/>
          <w:tab w:val="left" w:pos="3060"/>
          <w:tab w:val="left" w:pos="7560"/>
        </w:tabs>
        <w:snapToGrid w:val="0"/>
        <w:spacing w:line="480" w:lineRule="auto"/>
        <w:ind w:left="0" w:leftChars="0" w:firstLine="0" w:firstLineChars="0"/>
        <w:jc w:val="center"/>
        <w:rPr>
          <w:rFonts w:hint="eastAsia" w:ascii="宋体" w:hAnsi="宋体" w:eastAsia="宋体" w:cs="宋体"/>
          <w:b/>
          <w:bCs/>
          <w:color w:val="auto"/>
          <w:spacing w:val="80"/>
          <w:sz w:val="34"/>
          <w:szCs w:val="34"/>
        </w:rPr>
      </w:pPr>
      <w:r>
        <w:rPr>
          <w:rFonts w:hint="eastAsia" w:ascii="宋体" w:hAnsi="宋体" w:eastAsia="宋体" w:cs="宋体"/>
          <w:b/>
          <w:bCs/>
          <w:color w:val="auto"/>
          <w:spacing w:val="-10"/>
          <w:sz w:val="34"/>
          <w:szCs w:val="34"/>
          <w:lang w:val="en-US" w:eastAsia="zh-CN"/>
        </w:rPr>
        <w:t>采 购</w:t>
      </w:r>
      <w:r>
        <w:rPr>
          <w:rFonts w:hint="eastAsia" w:ascii="宋体" w:hAnsi="宋体" w:eastAsia="宋体" w:cs="宋体"/>
          <w:b/>
          <w:bCs/>
          <w:color w:val="auto"/>
          <w:spacing w:val="-10"/>
          <w:sz w:val="34"/>
          <w:szCs w:val="34"/>
        </w:rPr>
        <w:t xml:space="preserve"> 人：驻马店市中心医院</w:t>
      </w:r>
    </w:p>
    <w:p>
      <w:pPr>
        <w:tabs>
          <w:tab w:val="left" w:pos="2505"/>
          <w:tab w:val="center" w:pos="4535"/>
        </w:tabs>
        <w:snapToGrid w:val="0"/>
        <w:spacing w:line="480" w:lineRule="auto"/>
        <w:jc w:val="center"/>
        <w:rPr>
          <w:rFonts w:hint="eastAsia" w:ascii="宋体" w:hAnsi="宋体" w:eastAsia="宋体" w:cs="宋体"/>
          <w:b/>
          <w:color w:val="auto"/>
          <w:sz w:val="36"/>
          <w:szCs w:val="36"/>
        </w:rPr>
        <w:sectPr>
          <w:pgSz w:w="11923" w:h="16838"/>
          <w:pgMar w:top="1304" w:right="1417" w:bottom="992" w:left="1417" w:header="720" w:footer="720" w:gutter="0"/>
          <w:pgNumType w:fmt="decimal" w:start="1"/>
          <w:cols w:space="720" w:num="1"/>
          <w:docGrid w:type="lines" w:linePitch="312" w:charSpace="0"/>
        </w:sectPr>
      </w:pPr>
      <w:r>
        <w:rPr>
          <w:rFonts w:hint="eastAsia" w:ascii="宋体" w:hAnsi="宋体" w:eastAsia="宋体" w:cs="宋体"/>
          <w:b/>
          <w:bCs/>
          <w:color w:val="auto"/>
          <w:spacing w:val="40"/>
          <w:sz w:val="34"/>
          <w:szCs w:val="34"/>
          <w:lang w:val="en-US" w:eastAsia="zh-CN"/>
        </w:rPr>
        <w:t>2022</w:t>
      </w:r>
      <w:r>
        <w:rPr>
          <w:rFonts w:hint="eastAsia" w:ascii="宋体" w:hAnsi="宋体" w:eastAsia="宋体" w:cs="宋体"/>
          <w:b/>
          <w:bCs/>
          <w:color w:val="auto"/>
          <w:spacing w:val="40"/>
          <w:sz w:val="34"/>
          <w:szCs w:val="34"/>
        </w:rPr>
        <w:t>年</w:t>
      </w:r>
      <w:r>
        <w:rPr>
          <w:rFonts w:hint="eastAsia" w:ascii="宋体" w:hAnsi="宋体" w:cs="宋体"/>
          <w:b/>
          <w:bCs/>
          <w:color w:val="auto"/>
          <w:spacing w:val="40"/>
          <w:sz w:val="34"/>
          <w:szCs w:val="34"/>
          <w:lang w:val="en-US" w:eastAsia="zh-CN"/>
        </w:rPr>
        <w:t>08</w:t>
      </w:r>
      <w:r>
        <w:rPr>
          <w:rFonts w:hint="eastAsia" w:ascii="宋体" w:hAnsi="宋体" w:eastAsia="宋体" w:cs="宋体"/>
          <w:b/>
          <w:bCs/>
          <w:color w:val="auto"/>
          <w:spacing w:val="40"/>
          <w:sz w:val="34"/>
          <w:szCs w:val="34"/>
        </w:rPr>
        <w:t>月</w:t>
      </w:r>
    </w:p>
    <w:p>
      <w:pPr>
        <w:rPr>
          <w:rFonts w:ascii="宋体" w:hAnsi="宋体"/>
          <w:bCs/>
          <w:color w:val="auto"/>
          <w:sz w:val="24"/>
          <w:highlight w:val="none"/>
        </w:rPr>
      </w:pPr>
    </w:p>
    <w:p>
      <w:pPr>
        <w:jc w:val="center"/>
        <w:rPr>
          <w:rFonts w:ascii="宋体" w:hAnsi="宋体" w:cs="宋体"/>
          <w:b/>
          <w:bCs/>
          <w:color w:val="auto"/>
          <w:sz w:val="36"/>
          <w:szCs w:val="36"/>
          <w:highlight w:val="none"/>
        </w:rPr>
      </w:pPr>
      <w:r>
        <w:rPr>
          <w:rFonts w:hint="eastAsia" w:ascii="宋体" w:hAnsi="宋体" w:cs="宋体"/>
          <w:b/>
          <w:bCs/>
          <w:color w:val="auto"/>
          <w:sz w:val="36"/>
          <w:szCs w:val="36"/>
          <w:highlight w:val="none"/>
        </w:rPr>
        <w:t>目录</w:t>
      </w:r>
    </w:p>
    <w:p>
      <w:pPr>
        <w:pStyle w:val="51"/>
        <w:rPr>
          <w:color w:val="auto"/>
          <w:highlight w:val="none"/>
        </w:rPr>
      </w:pPr>
    </w:p>
    <w:p>
      <w:pPr>
        <w:pStyle w:val="23"/>
        <w:tabs>
          <w:tab w:val="right" w:leader="dot" w:pos="8958"/>
        </w:tabs>
        <w:snapToGrid w:val="0"/>
        <w:spacing w:line="480" w:lineRule="auto"/>
        <w:rPr>
          <w:rFonts w:ascii="宋体" w:hAnsi="宋体" w:cs="宋体"/>
          <w:color w:val="auto"/>
          <w:szCs w:val="21"/>
          <w:highlight w:val="none"/>
        </w:rPr>
      </w:pPr>
      <w:r>
        <w:rPr>
          <w:rFonts w:hint="eastAsia" w:ascii="宋体" w:hAnsi="宋体" w:cs="宋体"/>
          <w:b/>
          <w:bCs/>
          <w:color w:val="auto"/>
          <w:sz w:val="32"/>
          <w:szCs w:val="32"/>
          <w:highlight w:val="none"/>
        </w:rPr>
        <w:fldChar w:fldCharType="begin"/>
      </w:r>
      <w:r>
        <w:rPr>
          <w:rFonts w:hint="eastAsia" w:ascii="宋体" w:hAnsi="宋体" w:cs="宋体"/>
          <w:b/>
          <w:bCs/>
          <w:color w:val="auto"/>
          <w:sz w:val="32"/>
          <w:szCs w:val="32"/>
          <w:highlight w:val="none"/>
        </w:rPr>
        <w:instrText xml:space="preserve">TOC \o "1-1" \h \u </w:instrText>
      </w:r>
      <w:r>
        <w:rPr>
          <w:rFonts w:hint="eastAsia" w:ascii="宋体" w:hAnsi="宋体" w:cs="宋体"/>
          <w:b/>
          <w:bCs/>
          <w:color w:val="auto"/>
          <w:sz w:val="32"/>
          <w:szCs w:val="32"/>
          <w:highlight w:val="none"/>
        </w:rPr>
        <w:fldChar w:fldCharType="separate"/>
      </w:r>
      <w:r>
        <w:rPr>
          <w:color w:val="auto"/>
          <w:highlight w:val="none"/>
        </w:rPr>
        <w:fldChar w:fldCharType="begin"/>
      </w:r>
      <w:r>
        <w:rPr>
          <w:color w:val="auto"/>
          <w:highlight w:val="none"/>
        </w:rPr>
        <w:instrText xml:space="preserve"> HYPERLINK \l "_Toc9075" </w:instrText>
      </w:r>
      <w:r>
        <w:rPr>
          <w:color w:val="auto"/>
          <w:highlight w:val="none"/>
        </w:rPr>
        <w:fldChar w:fldCharType="separate"/>
      </w:r>
      <w:r>
        <w:rPr>
          <w:rFonts w:hint="eastAsia" w:ascii="宋体" w:hAnsi="宋体" w:cs="宋体"/>
          <w:color w:val="auto"/>
          <w:szCs w:val="21"/>
          <w:highlight w:val="none"/>
        </w:rPr>
        <w:t>第一章  招 标 公 告</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_Toc9075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2</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23"/>
        <w:tabs>
          <w:tab w:val="right" w:leader="dot" w:pos="8958"/>
        </w:tabs>
        <w:snapToGrid w:val="0"/>
        <w:spacing w:line="480" w:lineRule="auto"/>
        <w:rPr>
          <w:rFonts w:ascii="宋体" w:hAnsi="宋体" w:cs="宋体"/>
          <w:color w:val="auto"/>
          <w:szCs w:val="21"/>
          <w:highlight w:val="none"/>
        </w:rPr>
      </w:pPr>
      <w:r>
        <w:rPr>
          <w:color w:val="auto"/>
          <w:highlight w:val="none"/>
        </w:rPr>
        <w:fldChar w:fldCharType="begin"/>
      </w:r>
      <w:r>
        <w:rPr>
          <w:color w:val="auto"/>
          <w:highlight w:val="none"/>
        </w:rPr>
        <w:instrText xml:space="preserve"> HYPERLINK \l "_Toc25063" </w:instrText>
      </w:r>
      <w:r>
        <w:rPr>
          <w:color w:val="auto"/>
          <w:highlight w:val="none"/>
        </w:rPr>
        <w:fldChar w:fldCharType="separate"/>
      </w:r>
      <w:r>
        <w:rPr>
          <w:rFonts w:hint="eastAsia" w:ascii="宋体" w:hAnsi="宋体" w:cs="宋体"/>
          <w:color w:val="auto"/>
          <w:szCs w:val="21"/>
          <w:highlight w:val="none"/>
        </w:rPr>
        <w:t xml:space="preserve">第二章  </w:t>
      </w:r>
      <w:r>
        <w:rPr>
          <w:rFonts w:hint="eastAsia" w:ascii="宋体" w:hAnsi="宋体" w:cs="宋体"/>
          <w:color w:val="auto"/>
          <w:szCs w:val="21"/>
          <w:highlight w:val="none"/>
          <w:lang w:eastAsia="zh-CN"/>
        </w:rPr>
        <w:t>采购</w:t>
      </w:r>
      <w:r>
        <w:rPr>
          <w:rFonts w:hint="eastAsia" w:ascii="宋体" w:hAnsi="宋体" w:cs="宋体"/>
          <w:color w:val="auto"/>
          <w:szCs w:val="21"/>
          <w:highlight w:val="none"/>
        </w:rPr>
        <w:t>需求</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_Toc25063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4</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23"/>
        <w:tabs>
          <w:tab w:val="right" w:leader="dot" w:pos="8958"/>
        </w:tabs>
        <w:snapToGrid w:val="0"/>
        <w:spacing w:line="480" w:lineRule="auto"/>
        <w:rPr>
          <w:rFonts w:ascii="宋体" w:hAnsi="宋体" w:cs="宋体"/>
          <w:color w:val="auto"/>
          <w:szCs w:val="21"/>
          <w:highlight w:val="none"/>
        </w:rPr>
      </w:pPr>
      <w:r>
        <w:rPr>
          <w:color w:val="auto"/>
          <w:highlight w:val="none"/>
        </w:rPr>
        <w:fldChar w:fldCharType="begin"/>
      </w:r>
      <w:r>
        <w:rPr>
          <w:color w:val="auto"/>
          <w:highlight w:val="none"/>
        </w:rPr>
        <w:instrText xml:space="preserve"> HYPERLINK \l "_Toc14504" </w:instrText>
      </w:r>
      <w:r>
        <w:rPr>
          <w:color w:val="auto"/>
          <w:highlight w:val="none"/>
        </w:rPr>
        <w:fldChar w:fldCharType="separate"/>
      </w:r>
      <w:r>
        <w:rPr>
          <w:rFonts w:hint="eastAsia" w:ascii="宋体" w:hAnsi="宋体" w:cs="宋体"/>
          <w:color w:val="auto"/>
          <w:szCs w:val="21"/>
          <w:highlight w:val="none"/>
        </w:rPr>
        <w:t>第三章  投标人须知</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_Toc14504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7</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23"/>
        <w:tabs>
          <w:tab w:val="right" w:leader="dot" w:pos="8958"/>
        </w:tabs>
        <w:snapToGrid w:val="0"/>
        <w:spacing w:line="480" w:lineRule="auto"/>
        <w:rPr>
          <w:rFonts w:ascii="宋体" w:hAnsi="宋体" w:cs="宋体"/>
          <w:color w:val="auto"/>
          <w:szCs w:val="21"/>
          <w:highlight w:val="none"/>
        </w:rPr>
      </w:pPr>
      <w:r>
        <w:rPr>
          <w:color w:val="auto"/>
          <w:highlight w:val="none"/>
        </w:rPr>
        <w:fldChar w:fldCharType="begin"/>
      </w:r>
      <w:r>
        <w:rPr>
          <w:color w:val="auto"/>
          <w:highlight w:val="none"/>
        </w:rPr>
        <w:instrText xml:space="preserve"> HYPERLINK \l "_Toc9022" </w:instrText>
      </w:r>
      <w:r>
        <w:rPr>
          <w:color w:val="auto"/>
          <w:highlight w:val="none"/>
        </w:rPr>
        <w:fldChar w:fldCharType="separate"/>
      </w:r>
      <w:r>
        <w:rPr>
          <w:rFonts w:hint="eastAsia" w:ascii="宋体" w:hAnsi="宋体" w:cs="宋体"/>
          <w:color w:val="auto"/>
          <w:kern w:val="0"/>
          <w:szCs w:val="21"/>
          <w:highlight w:val="none"/>
        </w:rPr>
        <w:t>第四章  评标办法及评分标准</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_Toc9022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17</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23"/>
        <w:tabs>
          <w:tab w:val="right" w:leader="dot" w:pos="8958"/>
        </w:tabs>
        <w:snapToGrid w:val="0"/>
        <w:spacing w:line="480" w:lineRule="auto"/>
        <w:rPr>
          <w:rFonts w:ascii="宋体" w:hAnsi="宋体" w:cs="宋体"/>
          <w:color w:val="auto"/>
          <w:szCs w:val="21"/>
          <w:highlight w:val="none"/>
        </w:rPr>
      </w:pPr>
      <w:r>
        <w:rPr>
          <w:color w:val="auto"/>
          <w:highlight w:val="none"/>
        </w:rPr>
        <w:fldChar w:fldCharType="begin"/>
      </w:r>
      <w:r>
        <w:rPr>
          <w:color w:val="auto"/>
          <w:highlight w:val="none"/>
        </w:rPr>
        <w:instrText xml:space="preserve"> HYPERLINK \l "_Toc28988" </w:instrText>
      </w:r>
      <w:r>
        <w:rPr>
          <w:color w:val="auto"/>
          <w:highlight w:val="none"/>
        </w:rPr>
        <w:fldChar w:fldCharType="separate"/>
      </w:r>
      <w:r>
        <w:rPr>
          <w:rFonts w:hint="eastAsia" w:ascii="宋体" w:hAnsi="宋体" w:cs="宋体"/>
          <w:color w:val="auto"/>
          <w:szCs w:val="21"/>
          <w:highlight w:val="none"/>
        </w:rPr>
        <w:t>第五章  采购合同（主要条款）</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_Toc28988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18</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23"/>
        <w:tabs>
          <w:tab w:val="right" w:leader="dot" w:pos="8958"/>
        </w:tabs>
        <w:snapToGrid w:val="0"/>
        <w:spacing w:line="480" w:lineRule="auto"/>
        <w:rPr>
          <w:rFonts w:ascii="宋体" w:hAnsi="宋体" w:cs="宋体"/>
          <w:b/>
          <w:bCs/>
          <w:color w:val="auto"/>
          <w:sz w:val="32"/>
          <w:szCs w:val="32"/>
          <w:highlight w:val="none"/>
        </w:rPr>
      </w:pPr>
      <w:r>
        <w:rPr>
          <w:color w:val="auto"/>
          <w:highlight w:val="none"/>
        </w:rPr>
        <w:fldChar w:fldCharType="begin"/>
      </w:r>
      <w:r>
        <w:rPr>
          <w:color w:val="auto"/>
          <w:highlight w:val="none"/>
        </w:rPr>
        <w:instrText xml:space="preserve"> HYPERLINK \l "_Toc2638" </w:instrText>
      </w:r>
      <w:r>
        <w:rPr>
          <w:color w:val="auto"/>
          <w:highlight w:val="none"/>
        </w:rPr>
        <w:fldChar w:fldCharType="separate"/>
      </w:r>
      <w:r>
        <w:rPr>
          <w:rFonts w:hint="eastAsia" w:ascii="宋体" w:hAnsi="宋体" w:cs="宋体"/>
          <w:color w:val="auto"/>
          <w:szCs w:val="21"/>
          <w:highlight w:val="none"/>
        </w:rPr>
        <w:t>第六章  投标文件格式</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_Toc2638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19</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81"/>
        <w:tabs>
          <w:tab w:val="right" w:leader="dot" w:pos="8300"/>
        </w:tabs>
        <w:snapToGrid w:val="0"/>
        <w:spacing w:line="480" w:lineRule="auto"/>
        <w:rPr>
          <w:rFonts w:ascii="宋体" w:hAnsi="宋体" w:cs="宋体"/>
          <w:color w:val="auto"/>
          <w:sz w:val="32"/>
          <w:szCs w:val="32"/>
          <w:highlight w:val="none"/>
        </w:rPr>
      </w:pPr>
      <w:r>
        <w:rPr>
          <w:rFonts w:hint="eastAsia" w:ascii="宋体" w:hAnsi="宋体" w:cs="宋体"/>
          <w:b/>
          <w:bCs/>
          <w:color w:val="auto"/>
          <w:sz w:val="32"/>
          <w:szCs w:val="32"/>
          <w:highlight w:val="none"/>
        </w:rPr>
        <w:fldChar w:fldCharType="end"/>
      </w:r>
    </w:p>
    <w:p>
      <w:pPr>
        <w:spacing w:line="440" w:lineRule="exact"/>
        <w:rPr>
          <w:rFonts w:ascii="宋体" w:hAnsi="宋体"/>
          <w:b/>
          <w:color w:val="auto"/>
          <w:sz w:val="32"/>
          <w:szCs w:val="32"/>
          <w:highlight w:val="none"/>
        </w:rPr>
      </w:pPr>
    </w:p>
    <w:p>
      <w:pPr>
        <w:spacing w:line="360" w:lineRule="auto"/>
        <w:ind w:firstLine="2409" w:firstLineChars="600"/>
        <w:rPr>
          <w:rFonts w:ascii="宋体" w:hAnsi="宋体"/>
          <w:b/>
          <w:color w:val="auto"/>
          <w:sz w:val="40"/>
          <w:szCs w:val="40"/>
          <w:highlight w:val="none"/>
        </w:rPr>
        <w:sectPr>
          <w:headerReference r:id="rId3" w:type="default"/>
          <w:footerReference r:id="rId4" w:type="default"/>
          <w:pgSz w:w="11906" w:h="16838"/>
          <w:pgMar w:top="1417" w:right="1474" w:bottom="1417" w:left="1474" w:header="851" w:footer="624" w:gutter="0"/>
          <w:pgNumType w:fmt="decimal" w:start="1"/>
          <w:cols w:space="720" w:num="1"/>
          <w:docGrid w:type="lines" w:linePitch="319" w:charSpace="0"/>
        </w:sectPr>
      </w:pPr>
    </w:p>
    <w:p>
      <w:pPr>
        <w:spacing w:line="360" w:lineRule="auto"/>
        <w:jc w:val="center"/>
        <w:outlineLvl w:val="0"/>
        <w:rPr>
          <w:rFonts w:ascii="宋体" w:hAnsi="宋体"/>
          <w:b/>
          <w:color w:val="auto"/>
          <w:sz w:val="32"/>
          <w:szCs w:val="32"/>
          <w:highlight w:val="none"/>
        </w:rPr>
      </w:pPr>
      <w:bookmarkStart w:id="2" w:name="_Toc9075"/>
      <w:r>
        <w:rPr>
          <w:rFonts w:hint="eastAsia" w:ascii="宋体" w:hAnsi="宋体"/>
          <w:b/>
          <w:color w:val="auto"/>
          <w:sz w:val="32"/>
          <w:szCs w:val="32"/>
          <w:highlight w:val="none"/>
        </w:rPr>
        <w:t xml:space="preserve">第一章  </w:t>
      </w:r>
      <w:r>
        <w:rPr>
          <w:rFonts w:hint="eastAsia" w:ascii="宋体" w:hAnsi="宋体"/>
          <w:b/>
          <w:color w:val="auto"/>
          <w:sz w:val="32"/>
          <w:szCs w:val="32"/>
          <w:highlight w:val="none"/>
          <w:lang w:val="en-US" w:eastAsia="zh-CN"/>
        </w:rPr>
        <w:t>竞争性磋商采购</w:t>
      </w:r>
      <w:r>
        <w:rPr>
          <w:rFonts w:hint="eastAsia" w:ascii="宋体" w:hAnsi="宋体"/>
          <w:b/>
          <w:color w:val="auto"/>
          <w:sz w:val="32"/>
          <w:szCs w:val="32"/>
          <w:highlight w:val="none"/>
        </w:rPr>
        <w:t>公告</w:t>
      </w:r>
      <w:bookmarkEnd w:id="2"/>
    </w:p>
    <w:p>
      <w:pPr>
        <w:keepNext w:val="0"/>
        <w:keepLines w:val="0"/>
        <w:pageBreakBefore w:val="0"/>
        <w:widowControl/>
        <w:kinsoku/>
        <w:wordWrap/>
        <w:overflowPunct/>
        <w:topLinePunct w:val="0"/>
        <w:autoSpaceDE/>
        <w:autoSpaceDN/>
        <w:bidi w:val="0"/>
        <w:adjustRightInd w:val="0"/>
        <w:snapToGrid w:val="0"/>
        <w:spacing w:after="157" w:afterLines="50" w:line="360" w:lineRule="auto"/>
        <w:jc w:val="center"/>
        <w:textAlignment w:val="auto"/>
        <w:rPr>
          <w:rFonts w:hint="eastAsia" w:ascii="黑体" w:hAnsi="黑体" w:eastAsia="黑体" w:cs="宋体"/>
          <w:bCs/>
          <w:color w:val="auto"/>
          <w:kern w:val="0"/>
          <w:sz w:val="28"/>
          <w:szCs w:val="28"/>
          <w:u w:val="none"/>
          <w:lang w:val="en-US" w:eastAsia="zh-CN"/>
        </w:rPr>
      </w:pPr>
      <w:r>
        <w:rPr>
          <w:rFonts w:hint="eastAsia" w:ascii="黑体" w:hAnsi="黑体" w:eastAsia="黑体" w:cs="宋体"/>
          <w:bCs/>
          <w:color w:val="auto"/>
          <w:kern w:val="0"/>
          <w:sz w:val="28"/>
          <w:szCs w:val="28"/>
          <w:lang w:eastAsia="zh-CN"/>
        </w:rPr>
        <w:t>驻马店市中心医院新生儿经鼻高流量呼吸湿化治疗仪采购项目</w:t>
      </w:r>
    </w:p>
    <w:p>
      <w:pPr>
        <w:keepNext w:val="0"/>
        <w:keepLines w:val="0"/>
        <w:pageBreakBefore w:val="0"/>
        <w:widowControl/>
        <w:kinsoku/>
        <w:wordWrap/>
        <w:overflowPunct/>
        <w:topLinePunct w:val="0"/>
        <w:autoSpaceDE/>
        <w:autoSpaceDN/>
        <w:bidi w:val="0"/>
        <w:adjustRightInd w:val="0"/>
        <w:snapToGrid w:val="0"/>
        <w:spacing w:after="157" w:afterLines="50" w:line="360" w:lineRule="auto"/>
        <w:jc w:val="center"/>
        <w:textAlignment w:val="auto"/>
        <w:rPr>
          <w:rFonts w:hint="eastAsia" w:ascii="黑体" w:hAnsi="黑体" w:eastAsia="黑体" w:cs="宋体"/>
          <w:bCs/>
          <w:color w:val="auto"/>
          <w:kern w:val="0"/>
          <w:sz w:val="28"/>
          <w:szCs w:val="28"/>
        </w:rPr>
      </w:pPr>
      <w:r>
        <w:rPr>
          <w:rFonts w:hint="eastAsia" w:ascii="黑体" w:hAnsi="黑体" w:eastAsia="黑体" w:cs="宋体"/>
          <w:bCs/>
          <w:color w:val="auto"/>
          <w:kern w:val="0"/>
          <w:sz w:val="28"/>
          <w:szCs w:val="28"/>
          <w:u w:val="none"/>
          <w:lang w:val="en-US" w:eastAsia="zh-CN"/>
        </w:rPr>
        <w:t>竞争性磋商</w:t>
      </w:r>
      <w:r>
        <w:rPr>
          <w:rFonts w:hint="eastAsia" w:ascii="黑体" w:hAnsi="黑体" w:eastAsia="黑体" w:cs="宋体"/>
          <w:bCs/>
          <w:color w:val="auto"/>
          <w:kern w:val="0"/>
          <w:sz w:val="28"/>
          <w:szCs w:val="28"/>
        </w:rPr>
        <w:t>公告</w:t>
      </w:r>
    </w:p>
    <w:p>
      <w:pPr>
        <w:snapToGrid w:val="0"/>
        <w:spacing w:line="360" w:lineRule="auto"/>
        <w:ind w:firstLine="420" w:firstLineChars="200"/>
        <w:rPr>
          <w:rFonts w:ascii="宋体" w:hAnsi="宋体" w:eastAsia="宋体" w:cs="宋体"/>
          <w:color w:val="auto"/>
          <w:szCs w:val="21"/>
        </w:rPr>
      </w:pPr>
      <w:r>
        <w:rPr>
          <w:rFonts w:hint="eastAsia" w:ascii="宋体" w:hAnsi="宋体" w:eastAsia="宋体" w:cs="宋体"/>
          <w:color w:val="auto"/>
        </w:rPr>
        <w:t>驻马店市中心医院现对</w:t>
      </w:r>
      <w:r>
        <w:rPr>
          <w:rFonts w:hint="eastAsia" w:ascii="宋体" w:hAnsi="宋体" w:eastAsia="宋体" w:cs="宋体"/>
          <w:color w:val="auto"/>
          <w:u w:val="single"/>
        </w:rPr>
        <w:t xml:space="preserve"> </w:t>
      </w:r>
      <w:r>
        <w:rPr>
          <w:rFonts w:hint="eastAsia" w:ascii="宋体" w:hAnsi="宋体" w:cs="宋体"/>
          <w:color w:val="auto"/>
          <w:u w:val="single"/>
          <w:lang w:eastAsia="zh-CN"/>
        </w:rPr>
        <w:t>驻马店市中心医院新生儿经鼻高流量呼吸湿化治疗仪采购</w:t>
      </w:r>
      <w:r>
        <w:rPr>
          <w:rFonts w:hint="eastAsia" w:ascii="宋体" w:hAnsi="宋体" w:eastAsia="宋体" w:cs="宋体"/>
          <w:color w:val="auto"/>
          <w:u w:val="single"/>
          <w:lang w:val="en-US" w:eastAsia="zh-CN"/>
        </w:rPr>
        <w:t xml:space="preserve"> </w:t>
      </w:r>
      <w:r>
        <w:rPr>
          <w:rFonts w:hint="eastAsia" w:ascii="宋体" w:hAnsi="宋体" w:eastAsia="宋体" w:cs="宋体"/>
          <w:i w:val="0"/>
          <w:iCs w:val="0"/>
          <w:color w:val="auto"/>
          <w:u w:val="none"/>
          <w:lang w:val="en-US" w:eastAsia="zh-CN"/>
        </w:rPr>
        <w:t>项目</w:t>
      </w:r>
      <w:r>
        <w:rPr>
          <w:rFonts w:hint="eastAsia" w:ascii="宋体" w:hAnsi="宋体" w:eastAsia="宋体" w:cs="宋体"/>
          <w:color w:val="auto"/>
        </w:rPr>
        <w:t>进行院内</w:t>
      </w:r>
      <w:r>
        <w:rPr>
          <w:rFonts w:hint="eastAsia" w:ascii="宋体" w:hAnsi="宋体" w:eastAsia="宋体" w:cs="宋体"/>
          <w:color w:val="auto"/>
          <w:lang w:val="en-US" w:eastAsia="zh-CN"/>
        </w:rPr>
        <w:t>竞争性磋商</w:t>
      </w:r>
      <w:r>
        <w:rPr>
          <w:rFonts w:hint="eastAsia" w:ascii="宋体" w:hAnsi="宋体" w:eastAsia="宋体" w:cs="宋体"/>
          <w:color w:val="auto"/>
        </w:rPr>
        <w:t>采购，欢迎符合资格条件的供应商前来</w:t>
      </w:r>
      <w:r>
        <w:rPr>
          <w:rFonts w:hint="eastAsia" w:ascii="宋体" w:hAnsi="宋体" w:eastAsia="宋体" w:cs="宋体"/>
          <w:color w:val="auto"/>
          <w:lang w:val="en-US" w:eastAsia="zh-CN"/>
        </w:rPr>
        <w:t>报名并</w:t>
      </w:r>
      <w:r>
        <w:rPr>
          <w:rFonts w:hint="eastAsia" w:ascii="宋体" w:hAnsi="宋体" w:eastAsia="宋体" w:cs="宋体"/>
          <w:color w:val="auto"/>
          <w:szCs w:val="21"/>
        </w:rPr>
        <w:t>获取</w:t>
      </w:r>
      <w:r>
        <w:rPr>
          <w:rFonts w:hint="eastAsia" w:ascii="宋体" w:hAnsi="宋体" w:eastAsia="宋体" w:cs="宋体"/>
          <w:color w:val="auto"/>
          <w:szCs w:val="21"/>
          <w:lang w:val="en-US" w:eastAsia="zh-CN"/>
        </w:rPr>
        <w:t>采购</w:t>
      </w:r>
      <w:r>
        <w:rPr>
          <w:rFonts w:hint="eastAsia" w:ascii="宋体" w:hAnsi="宋体" w:eastAsia="宋体" w:cs="宋体"/>
          <w:color w:val="auto"/>
          <w:szCs w:val="21"/>
        </w:rPr>
        <w:t>文件。</w:t>
      </w:r>
    </w:p>
    <w:p>
      <w:pPr>
        <w:keepNext w:val="0"/>
        <w:keepLines w:val="0"/>
        <w:widowControl/>
        <w:snapToGrid w:val="0"/>
        <w:spacing w:before="0" w:after="0" w:line="360" w:lineRule="auto"/>
        <w:jc w:val="left"/>
        <w:outlineLvl w:val="1"/>
        <w:rPr>
          <w:rFonts w:ascii="宋体" w:hAnsi="宋体" w:eastAsia="宋体" w:cs="宋体"/>
          <w:b/>
          <w:bCs/>
          <w:color w:val="auto"/>
          <w:kern w:val="2"/>
          <w:sz w:val="21"/>
          <w:szCs w:val="21"/>
          <w:shd w:val="clear" w:color="auto" w:fill="FFFFFF"/>
          <w:lang w:val="en-US" w:eastAsia="zh-CN" w:bidi="ar-SA"/>
        </w:rPr>
      </w:pPr>
      <w:r>
        <w:rPr>
          <w:rFonts w:hint="eastAsia" w:ascii="宋体" w:hAnsi="宋体" w:eastAsia="宋体" w:cs="宋体"/>
          <w:b/>
          <w:bCs/>
          <w:color w:val="auto"/>
          <w:kern w:val="2"/>
          <w:sz w:val="21"/>
          <w:szCs w:val="21"/>
          <w:shd w:val="clear" w:color="auto" w:fill="FFFFFF"/>
          <w:lang w:val="en-US" w:eastAsia="zh-CN" w:bidi="ar-SA"/>
        </w:rPr>
        <w:t>一、项目基本情况</w:t>
      </w:r>
    </w:p>
    <w:p>
      <w:pPr>
        <w:widowControl/>
        <w:tabs>
          <w:tab w:val="left" w:pos="840"/>
        </w:tabs>
        <w:snapToGrid w:val="0"/>
        <w:spacing w:line="360" w:lineRule="auto"/>
        <w:ind w:firstLine="420" w:firstLineChars="200"/>
        <w:jc w:val="left"/>
        <w:rPr>
          <w:rFonts w:hint="eastAsia" w:ascii="宋体" w:hAnsi="宋体" w:eastAsia="宋体" w:cs="宋体"/>
          <w:color w:val="auto"/>
          <w:szCs w:val="21"/>
          <w:highlight w:val="none"/>
          <w:shd w:val="clear" w:color="auto" w:fill="FFFFFF"/>
          <w:lang w:eastAsia="zh-CN"/>
        </w:rPr>
      </w:pPr>
      <w:r>
        <w:rPr>
          <w:rFonts w:hint="eastAsia" w:ascii="宋体" w:hAnsi="宋体" w:eastAsia="宋体" w:cs="宋体"/>
          <w:color w:val="auto"/>
          <w:szCs w:val="21"/>
          <w:highlight w:val="none"/>
          <w:shd w:val="clear" w:color="auto" w:fill="FFFFFF"/>
        </w:rPr>
        <w:t>1、</w:t>
      </w:r>
      <w:r>
        <w:rPr>
          <w:rFonts w:hint="eastAsia" w:ascii="宋体" w:hAnsi="宋体" w:eastAsia="宋体" w:cs="宋体"/>
          <w:color w:val="auto"/>
          <w:szCs w:val="21"/>
          <w:highlight w:val="none"/>
          <w:shd w:val="clear" w:color="auto" w:fill="FFFFFF"/>
          <w:lang w:val="en-US" w:eastAsia="zh-CN"/>
        </w:rPr>
        <w:t>采购</w:t>
      </w:r>
      <w:r>
        <w:rPr>
          <w:rFonts w:hint="eastAsia" w:ascii="宋体" w:hAnsi="宋体" w:eastAsia="宋体" w:cs="宋体"/>
          <w:color w:val="auto"/>
          <w:szCs w:val="21"/>
          <w:highlight w:val="none"/>
          <w:shd w:val="clear" w:color="auto" w:fill="FFFFFF"/>
        </w:rPr>
        <w:t>项目名称：</w:t>
      </w:r>
      <w:r>
        <w:rPr>
          <w:rFonts w:hint="eastAsia" w:ascii="宋体" w:hAnsi="宋体" w:cs="宋体"/>
          <w:color w:val="auto"/>
          <w:szCs w:val="21"/>
          <w:highlight w:val="none"/>
          <w:shd w:val="clear" w:color="auto" w:fill="FFFFFF"/>
          <w:lang w:eastAsia="zh-CN"/>
        </w:rPr>
        <w:t>驻马店市中心医院新生儿经鼻高流量呼吸湿化治疗仪采购项目</w:t>
      </w:r>
      <w:r>
        <w:rPr>
          <w:rFonts w:hint="eastAsia" w:ascii="宋体" w:hAnsi="宋体" w:eastAsia="宋体" w:cs="宋体"/>
          <w:color w:val="auto"/>
          <w:szCs w:val="21"/>
          <w:highlight w:val="none"/>
          <w:shd w:val="clear" w:color="auto" w:fill="FFFFFF"/>
          <w:lang w:eastAsia="zh-CN"/>
        </w:rPr>
        <w:t>；</w:t>
      </w:r>
    </w:p>
    <w:p>
      <w:pPr>
        <w:widowControl/>
        <w:tabs>
          <w:tab w:val="left" w:pos="840"/>
        </w:tabs>
        <w:snapToGrid w:val="0"/>
        <w:spacing w:line="360" w:lineRule="auto"/>
        <w:ind w:firstLine="420" w:firstLineChars="200"/>
        <w:jc w:val="left"/>
        <w:rPr>
          <w:rFonts w:hint="eastAsia" w:ascii="宋体" w:hAnsi="宋体" w:eastAsia="宋体" w:cs="宋体"/>
          <w:color w:val="auto"/>
          <w:szCs w:val="21"/>
          <w:highlight w:val="none"/>
          <w:shd w:val="clear" w:color="auto" w:fill="FFFFFF"/>
          <w:lang w:eastAsia="zh-CN"/>
        </w:rPr>
      </w:pPr>
      <w:r>
        <w:rPr>
          <w:rFonts w:hint="eastAsia" w:ascii="宋体" w:hAnsi="宋体" w:eastAsia="宋体" w:cs="宋体"/>
          <w:color w:val="auto"/>
          <w:szCs w:val="21"/>
          <w:highlight w:val="none"/>
          <w:shd w:val="clear" w:color="auto" w:fill="FFFFFF"/>
        </w:rPr>
        <w:t>2、采购需求</w:t>
      </w:r>
      <w:r>
        <w:rPr>
          <w:rFonts w:hint="eastAsia" w:ascii="宋体" w:hAnsi="宋体" w:eastAsia="宋体" w:cs="宋体"/>
          <w:color w:val="auto"/>
          <w:szCs w:val="21"/>
          <w:highlight w:val="none"/>
          <w:shd w:val="clear" w:color="auto" w:fill="FFFFFF"/>
          <w:lang w:eastAsia="zh-CN"/>
        </w:rPr>
        <w:t>：</w:t>
      </w:r>
      <w:r>
        <w:rPr>
          <w:rFonts w:hint="eastAsia" w:ascii="宋体" w:hAnsi="宋体" w:eastAsia="宋体" w:cs="宋体"/>
          <w:color w:val="auto"/>
          <w:szCs w:val="21"/>
          <w:highlight w:val="none"/>
          <w:shd w:val="clear" w:color="auto" w:fill="FFFFFF"/>
        </w:rPr>
        <w:t>具体要求详见附件</w:t>
      </w:r>
      <w:r>
        <w:rPr>
          <w:rFonts w:hint="eastAsia" w:ascii="宋体" w:hAnsi="宋体" w:eastAsia="宋体" w:cs="宋体"/>
          <w:color w:val="auto"/>
          <w:szCs w:val="21"/>
          <w:highlight w:val="none"/>
          <w:shd w:val="clear" w:color="auto" w:fill="FFFFFF"/>
          <w:lang w:eastAsia="zh-CN"/>
        </w:rPr>
        <w:t>；</w:t>
      </w:r>
    </w:p>
    <w:p>
      <w:pPr>
        <w:widowControl/>
        <w:tabs>
          <w:tab w:val="left" w:pos="840"/>
        </w:tabs>
        <w:snapToGrid w:val="0"/>
        <w:spacing w:line="360" w:lineRule="auto"/>
        <w:ind w:firstLine="420" w:firstLineChars="200"/>
        <w:jc w:val="left"/>
        <w:rPr>
          <w:rFonts w:hint="eastAsia"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3</w:t>
      </w:r>
      <w:bookmarkStart w:id="3" w:name="_Toc26725"/>
      <w:r>
        <w:rPr>
          <w:rFonts w:hint="eastAsia" w:ascii="宋体" w:hAnsi="宋体" w:eastAsia="宋体" w:cs="宋体"/>
          <w:color w:val="auto"/>
          <w:szCs w:val="21"/>
          <w:highlight w:val="none"/>
          <w:shd w:val="clear" w:color="auto" w:fill="FFFFFF"/>
        </w:rPr>
        <w:t>、预算金额：</w:t>
      </w:r>
      <w:r>
        <w:rPr>
          <w:rFonts w:hint="eastAsia" w:ascii="宋体" w:hAnsi="宋体" w:cs="宋体"/>
          <w:color w:val="auto"/>
          <w:szCs w:val="21"/>
          <w:highlight w:val="none"/>
          <w:shd w:val="clear" w:color="auto" w:fill="FFFFFF"/>
          <w:lang w:val="en-US" w:eastAsia="zh-CN"/>
        </w:rPr>
        <w:t>27.5万</w:t>
      </w:r>
      <w:r>
        <w:rPr>
          <w:rFonts w:hint="eastAsia" w:ascii="宋体" w:hAnsi="宋体" w:eastAsia="宋体" w:cs="宋体"/>
          <w:color w:val="auto"/>
          <w:szCs w:val="21"/>
          <w:highlight w:val="none"/>
          <w:shd w:val="clear" w:color="auto" w:fill="FFFFFF"/>
        </w:rPr>
        <w:t>元</w:t>
      </w:r>
      <w:r>
        <w:rPr>
          <w:rFonts w:hint="eastAsia" w:ascii="宋体" w:hAnsi="宋体" w:eastAsia="宋体" w:cs="宋体"/>
          <w:color w:val="auto"/>
          <w:szCs w:val="21"/>
          <w:highlight w:val="none"/>
          <w:shd w:val="clear" w:color="auto" w:fill="FFFFFF"/>
          <w:lang w:eastAsia="zh-CN"/>
        </w:rPr>
        <w:t>，</w:t>
      </w:r>
      <w:r>
        <w:rPr>
          <w:rFonts w:hint="eastAsia" w:ascii="宋体" w:hAnsi="宋体" w:eastAsia="宋体" w:cs="宋体"/>
          <w:color w:val="auto"/>
          <w:szCs w:val="21"/>
          <w:highlight w:val="none"/>
          <w:shd w:val="clear" w:color="auto" w:fill="FFFFFF"/>
          <w:lang w:val="en-US" w:eastAsia="zh-CN"/>
        </w:rPr>
        <w:t>自筹资金；</w:t>
      </w:r>
    </w:p>
    <w:p>
      <w:pPr>
        <w:widowControl/>
        <w:tabs>
          <w:tab w:val="left" w:pos="840"/>
        </w:tabs>
        <w:snapToGrid w:val="0"/>
        <w:spacing w:line="360" w:lineRule="auto"/>
        <w:ind w:firstLine="420" w:firstLineChars="200"/>
        <w:jc w:val="left"/>
        <w:rPr>
          <w:rFonts w:hint="default"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rPr>
        <w:t>4、</w:t>
      </w:r>
      <w:r>
        <w:rPr>
          <w:rFonts w:hint="eastAsia" w:ascii="宋体" w:hAnsi="宋体" w:eastAsia="宋体" w:cs="宋体"/>
          <w:color w:val="auto"/>
          <w:szCs w:val="21"/>
          <w:highlight w:val="none"/>
          <w:shd w:val="clear" w:color="auto" w:fill="FFFFFF"/>
          <w:lang w:val="en-US" w:eastAsia="zh-CN"/>
        </w:rPr>
        <w:t>交货地点：采购人指定地点；</w:t>
      </w:r>
    </w:p>
    <w:p>
      <w:pPr>
        <w:widowControl/>
        <w:tabs>
          <w:tab w:val="left" w:pos="840"/>
        </w:tabs>
        <w:snapToGrid w:val="0"/>
        <w:spacing w:line="360" w:lineRule="auto"/>
        <w:ind w:firstLine="420" w:firstLineChars="200"/>
        <w:jc w:val="left"/>
        <w:rPr>
          <w:rFonts w:hint="eastAsia" w:ascii="宋体" w:hAnsi="宋体" w:eastAsia="宋体" w:cs="宋体"/>
          <w:color w:val="auto"/>
          <w:szCs w:val="21"/>
          <w:highlight w:val="none"/>
          <w:shd w:val="clear" w:color="auto" w:fill="FFFFFF"/>
          <w:lang w:eastAsia="zh-CN"/>
        </w:rPr>
      </w:pPr>
      <w:bookmarkStart w:id="4" w:name="_Toc24040"/>
      <w:bookmarkStart w:id="5" w:name="_Toc21071"/>
      <w:bookmarkStart w:id="6" w:name="_Toc26079"/>
      <w:bookmarkStart w:id="7" w:name="_Toc19521"/>
      <w:bookmarkStart w:id="8" w:name="_Toc27913"/>
      <w:r>
        <w:rPr>
          <w:rFonts w:hint="eastAsia" w:ascii="宋体" w:hAnsi="宋体" w:eastAsia="宋体" w:cs="宋体"/>
          <w:color w:val="auto"/>
          <w:szCs w:val="21"/>
          <w:highlight w:val="none"/>
          <w:shd w:val="clear" w:color="auto" w:fill="FFFFFF"/>
        </w:rPr>
        <w:t>5、</w:t>
      </w:r>
      <w:bookmarkEnd w:id="4"/>
      <w:bookmarkEnd w:id="5"/>
      <w:bookmarkEnd w:id="6"/>
      <w:bookmarkEnd w:id="7"/>
      <w:bookmarkEnd w:id="8"/>
      <w:r>
        <w:rPr>
          <w:rFonts w:hint="eastAsia" w:ascii="宋体" w:hAnsi="宋体" w:eastAsia="宋体" w:cs="宋体"/>
          <w:color w:val="auto"/>
          <w:szCs w:val="21"/>
          <w:highlight w:val="none"/>
          <w:shd w:val="clear" w:color="auto" w:fill="FFFFFF"/>
        </w:rPr>
        <w:t>质量要求：</w:t>
      </w:r>
      <w:r>
        <w:rPr>
          <w:rFonts w:hint="eastAsia" w:ascii="宋体" w:hAnsi="宋体" w:eastAsia="宋体" w:cs="宋体"/>
          <w:color w:val="auto"/>
          <w:szCs w:val="21"/>
          <w:highlight w:val="none"/>
          <w:shd w:val="clear" w:color="auto" w:fill="FFFFFF"/>
          <w:lang w:eastAsia="zh-CN"/>
        </w:rPr>
        <w:t>合格。</w:t>
      </w:r>
    </w:p>
    <w:p>
      <w:pPr>
        <w:widowControl/>
        <w:tabs>
          <w:tab w:val="left" w:pos="840"/>
        </w:tabs>
        <w:snapToGrid w:val="0"/>
        <w:spacing w:line="360" w:lineRule="auto"/>
        <w:ind w:firstLine="420" w:firstLineChars="200"/>
        <w:jc w:val="left"/>
        <w:rPr>
          <w:rFonts w:hint="default" w:ascii="宋体" w:hAnsi="宋体" w:eastAsia="宋体" w:cs="宋体"/>
          <w:color w:val="auto"/>
          <w:szCs w:val="21"/>
          <w:highlight w:val="none"/>
          <w:shd w:val="clear" w:color="auto" w:fill="FFFFFF"/>
          <w:lang w:val="en-US"/>
        </w:rPr>
      </w:pPr>
      <w:r>
        <w:rPr>
          <w:rFonts w:hint="eastAsia" w:ascii="宋体" w:hAnsi="宋体" w:eastAsia="宋体" w:cs="宋体"/>
          <w:color w:val="auto"/>
          <w:szCs w:val="21"/>
          <w:highlight w:val="none"/>
          <w:shd w:val="clear" w:color="auto" w:fill="FFFFFF"/>
          <w:lang w:val="en-US" w:eastAsia="zh-CN"/>
        </w:rPr>
        <w:t>6、标段：共</w:t>
      </w:r>
      <w:r>
        <w:rPr>
          <w:rFonts w:hint="eastAsia" w:ascii="宋体" w:hAnsi="宋体" w:cs="宋体"/>
          <w:color w:val="auto"/>
          <w:szCs w:val="21"/>
          <w:highlight w:val="none"/>
          <w:shd w:val="clear" w:color="auto" w:fill="FFFFFF"/>
          <w:lang w:val="en-US" w:eastAsia="zh-CN"/>
        </w:rPr>
        <w:t>一</w:t>
      </w:r>
      <w:r>
        <w:rPr>
          <w:rFonts w:hint="eastAsia" w:ascii="宋体" w:hAnsi="宋体" w:eastAsia="宋体" w:cs="宋体"/>
          <w:color w:val="auto"/>
          <w:szCs w:val="21"/>
          <w:highlight w:val="none"/>
          <w:shd w:val="clear" w:color="auto" w:fill="FFFFFF"/>
          <w:lang w:val="en-US" w:eastAsia="zh-CN"/>
        </w:rPr>
        <w:t>个标段</w:t>
      </w:r>
    </w:p>
    <w:p>
      <w:pPr>
        <w:keepNext w:val="0"/>
        <w:keepLines w:val="0"/>
        <w:widowControl/>
        <w:snapToGrid w:val="0"/>
        <w:spacing w:before="0" w:after="0" w:line="360" w:lineRule="auto"/>
        <w:jc w:val="left"/>
        <w:outlineLvl w:val="1"/>
        <w:rPr>
          <w:rFonts w:ascii="宋体" w:hAnsi="宋体" w:eastAsia="宋体" w:cs="宋体"/>
          <w:b/>
          <w:bCs/>
          <w:color w:val="auto"/>
          <w:kern w:val="2"/>
          <w:sz w:val="21"/>
          <w:szCs w:val="21"/>
          <w:shd w:val="clear" w:color="auto" w:fill="FFFFFF"/>
          <w:lang w:val="en-US" w:eastAsia="zh-CN" w:bidi="ar-SA"/>
        </w:rPr>
      </w:pPr>
      <w:bookmarkStart w:id="9" w:name="_Toc27704"/>
      <w:bookmarkStart w:id="10" w:name="_Toc16639"/>
      <w:bookmarkStart w:id="11" w:name="_Toc18607"/>
      <w:bookmarkStart w:id="12" w:name="_Toc23626"/>
      <w:r>
        <w:rPr>
          <w:rFonts w:hint="eastAsia" w:ascii="宋体" w:hAnsi="宋体" w:eastAsia="宋体" w:cs="宋体"/>
          <w:b/>
          <w:bCs/>
          <w:color w:val="auto"/>
          <w:kern w:val="2"/>
          <w:sz w:val="21"/>
          <w:szCs w:val="21"/>
          <w:shd w:val="clear" w:color="auto" w:fill="FFFFFF"/>
          <w:lang w:val="en-US" w:eastAsia="zh-CN" w:bidi="ar-SA"/>
        </w:rPr>
        <w:t>二、</w:t>
      </w:r>
      <w:bookmarkEnd w:id="3"/>
      <w:bookmarkEnd w:id="9"/>
      <w:bookmarkEnd w:id="10"/>
      <w:bookmarkEnd w:id="11"/>
      <w:bookmarkEnd w:id="12"/>
      <w:r>
        <w:rPr>
          <w:rFonts w:hint="eastAsia" w:ascii="宋体" w:hAnsi="宋体" w:eastAsia="宋体" w:cs="宋体"/>
          <w:b/>
          <w:bCs/>
          <w:color w:val="auto"/>
          <w:kern w:val="2"/>
          <w:sz w:val="21"/>
          <w:szCs w:val="21"/>
          <w:shd w:val="clear" w:color="auto" w:fill="FFFFFF"/>
          <w:lang w:val="en-US" w:eastAsia="zh-CN" w:bidi="ar-SA"/>
        </w:rPr>
        <w:t>供应商资格要求：</w:t>
      </w:r>
    </w:p>
    <w:p>
      <w:pPr>
        <w:widowControl w:val="0"/>
        <w:autoSpaceDE w:val="0"/>
        <w:autoSpaceDN w:val="0"/>
        <w:adjustRightInd w:val="0"/>
        <w:snapToGrid w:val="0"/>
        <w:spacing w:line="360" w:lineRule="auto"/>
        <w:ind w:firstLine="420" w:firstLineChars="200"/>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1、供应商应为注册在中华人民共和国境内的，且具有独立承担民事责任能力，提供法人或者其他组织的营业执照等证明文件。单位负责人为同一人或者存在直接控股、管理关系的不同供应商，不得参加同一合同项下的投标。一经发现，将导致投标同时被拒绝；</w:t>
      </w:r>
    </w:p>
    <w:p>
      <w:pPr>
        <w:widowControl w:val="0"/>
        <w:autoSpaceDE w:val="0"/>
        <w:autoSpaceDN w:val="0"/>
        <w:adjustRightInd w:val="0"/>
        <w:snapToGrid w:val="0"/>
        <w:spacing w:line="360" w:lineRule="auto"/>
        <w:ind w:firstLine="420" w:firstLineChars="200"/>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2、供应商应提供</w:t>
      </w:r>
      <w:r>
        <w:rPr>
          <w:rFonts w:hint="eastAsia" w:ascii="宋体" w:hAnsi="宋体" w:cs="宋体"/>
          <w:color w:val="auto"/>
          <w:kern w:val="2"/>
          <w:sz w:val="21"/>
          <w:szCs w:val="24"/>
          <w:lang w:val="en-US" w:eastAsia="zh-CN" w:bidi="ar-SA"/>
        </w:rPr>
        <w:t>2021年度</w:t>
      </w:r>
      <w:r>
        <w:rPr>
          <w:rFonts w:hint="eastAsia" w:ascii="宋体" w:hAnsi="宋体" w:eastAsia="宋体" w:cs="宋体"/>
          <w:color w:val="auto"/>
          <w:kern w:val="2"/>
          <w:sz w:val="21"/>
          <w:szCs w:val="24"/>
          <w:lang w:val="en-US" w:eastAsia="zh-CN" w:bidi="ar-SA"/>
        </w:rPr>
        <w:t>经审计的财务报告或者其基本开户银行出具的资信证明；采购活动前近三个月内或上个季度的依法缴纳税收的凭据和缴纳社会保险的凭据；依法免税或不需要缴纳社会保障资金的供应商，应提供相应文件证明其依法免税或不需要缴纳社会保障资金。（新成立企业从成立之日起计算）；</w:t>
      </w:r>
    </w:p>
    <w:p>
      <w:pPr>
        <w:widowControl w:val="0"/>
        <w:autoSpaceDE w:val="0"/>
        <w:autoSpaceDN w:val="0"/>
        <w:adjustRightInd w:val="0"/>
        <w:snapToGrid w:val="0"/>
        <w:spacing w:line="360" w:lineRule="auto"/>
        <w:ind w:firstLine="420" w:firstLineChars="200"/>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3、具有履行合同所必需的设备和专业技术能力（提供书面声明函）；</w:t>
      </w:r>
    </w:p>
    <w:p>
      <w:pPr>
        <w:widowControl w:val="0"/>
        <w:autoSpaceDE w:val="0"/>
        <w:autoSpaceDN w:val="0"/>
        <w:adjustRightInd w:val="0"/>
        <w:snapToGrid w:val="0"/>
        <w:spacing w:line="360" w:lineRule="auto"/>
        <w:ind w:firstLine="420" w:firstLineChars="200"/>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4、参加本采购活动前三年内，在经营活动中没有重大违法记录（提供书面声明函）；</w:t>
      </w:r>
    </w:p>
    <w:p>
      <w:pPr>
        <w:widowControl w:val="0"/>
        <w:autoSpaceDE w:val="0"/>
        <w:autoSpaceDN w:val="0"/>
        <w:adjustRightInd w:val="0"/>
        <w:snapToGrid w:val="0"/>
        <w:spacing w:line="360" w:lineRule="auto"/>
        <w:ind w:firstLine="420" w:firstLineChars="200"/>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5、符合法律、行政法规规定的其他条件；</w:t>
      </w:r>
    </w:p>
    <w:p>
      <w:pPr>
        <w:widowControl w:val="0"/>
        <w:autoSpaceDE w:val="0"/>
        <w:autoSpaceDN w:val="0"/>
        <w:adjustRightInd w:val="0"/>
        <w:snapToGrid w:val="0"/>
        <w:spacing w:line="360" w:lineRule="auto"/>
        <w:ind w:firstLine="420" w:firstLineChars="200"/>
        <w:rPr>
          <w:rFonts w:hint="eastAsia"/>
          <w:color w:val="auto"/>
          <w:highlight w:val="none"/>
          <w:lang w:val="en-US" w:eastAsia="zh-CN"/>
        </w:rPr>
      </w:pPr>
      <w:r>
        <w:rPr>
          <w:rFonts w:hint="eastAsia" w:ascii="宋体" w:hAnsi="宋体" w:eastAsia="宋体" w:cs="宋体"/>
          <w:color w:val="auto"/>
          <w:kern w:val="2"/>
          <w:sz w:val="21"/>
          <w:szCs w:val="24"/>
          <w:highlight w:val="none"/>
          <w:lang w:val="en-US" w:eastAsia="zh-CN" w:bidi="ar-SA"/>
        </w:rPr>
        <w:t>6</w:t>
      </w:r>
      <w:r>
        <w:rPr>
          <w:rFonts w:hint="eastAsia"/>
          <w:color w:val="auto"/>
          <w:highlight w:val="none"/>
          <w:lang w:val="en-US" w:eastAsia="zh-CN"/>
        </w:rPr>
        <w:t>、供应商是生产厂家的须具有《医疗器械生产许可证》；供应商是代理商的须具有《医疗器械经营许可证》或《医疗器械经营备案凭证》。</w:t>
      </w:r>
    </w:p>
    <w:p>
      <w:pPr>
        <w:widowControl w:val="0"/>
        <w:autoSpaceDE w:val="0"/>
        <w:autoSpaceDN w:val="0"/>
        <w:adjustRightInd w:val="0"/>
        <w:snapToGrid w:val="0"/>
        <w:spacing w:line="360" w:lineRule="auto"/>
        <w:ind w:firstLine="420" w:firstLineChars="200"/>
        <w:rPr>
          <w:rFonts w:hint="eastAsia"/>
          <w:color w:val="auto"/>
          <w:lang w:val="en-US" w:eastAsia="zh-CN"/>
        </w:rPr>
      </w:pPr>
      <w:r>
        <w:rPr>
          <w:rFonts w:hint="eastAsia"/>
          <w:color w:val="auto"/>
          <w:lang w:val="en-US" w:eastAsia="zh-CN"/>
        </w:rPr>
        <w:t>7、根据《关于在政府采购活动中查询及使用信用记录有关问题的通知》（财库【2016】125号）的规定，对列入失信被执行人、重大税收违法失信主体、政府采购严重违法失信行为记录名单的供应商，拒绝参与本项目政府采购活动，参与采购的供应商应提供查询企业信用记录的网页打印页并加盖供应商公章，查询时间应在采购公告发布日期之后，【查询渠道：“信用中国”网站、中国政府采购网】；</w:t>
      </w:r>
    </w:p>
    <w:p>
      <w:pPr>
        <w:widowControl w:val="0"/>
        <w:autoSpaceDE w:val="0"/>
        <w:autoSpaceDN w:val="0"/>
        <w:adjustRightInd w:val="0"/>
        <w:snapToGrid w:val="0"/>
        <w:spacing w:line="360" w:lineRule="auto"/>
        <w:ind w:firstLine="420" w:firstLineChars="200"/>
        <w:rPr>
          <w:rFonts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8、不接受联合体投标。</w:t>
      </w:r>
    </w:p>
    <w:p>
      <w:pPr>
        <w:keepNext w:val="0"/>
        <w:keepLines w:val="0"/>
        <w:widowControl/>
        <w:snapToGrid w:val="0"/>
        <w:spacing w:before="0" w:after="0" w:line="360" w:lineRule="auto"/>
        <w:jc w:val="left"/>
        <w:outlineLvl w:val="1"/>
        <w:rPr>
          <w:rFonts w:ascii="宋体" w:hAnsi="宋体" w:eastAsia="宋体" w:cs="宋体"/>
          <w:b/>
          <w:bCs/>
          <w:color w:val="auto"/>
          <w:kern w:val="2"/>
          <w:sz w:val="21"/>
          <w:szCs w:val="24"/>
          <w:lang w:val="en-US" w:eastAsia="zh-CN" w:bidi="ar-SA"/>
        </w:rPr>
      </w:pPr>
      <w:bookmarkStart w:id="13" w:name="_Toc30971"/>
      <w:bookmarkStart w:id="14" w:name="_Toc30643"/>
      <w:bookmarkStart w:id="15" w:name="_Toc23395"/>
      <w:bookmarkStart w:id="16" w:name="_Toc9562"/>
      <w:bookmarkStart w:id="17" w:name="_Toc7823"/>
      <w:r>
        <w:rPr>
          <w:rFonts w:hint="eastAsia" w:ascii="宋体" w:hAnsi="宋体" w:eastAsia="宋体" w:cs="宋体"/>
          <w:b/>
          <w:bCs/>
          <w:color w:val="auto"/>
          <w:kern w:val="2"/>
          <w:sz w:val="21"/>
          <w:szCs w:val="24"/>
          <w:lang w:val="en-US" w:eastAsia="zh-CN" w:bidi="ar-SA"/>
        </w:rPr>
        <w:t>三、获取采购文件</w:t>
      </w:r>
      <w:bookmarkEnd w:id="13"/>
      <w:bookmarkEnd w:id="14"/>
      <w:bookmarkEnd w:id="15"/>
      <w:bookmarkEnd w:id="16"/>
      <w:bookmarkEnd w:id="17"/>
    </w:p>
    <w:p>
      <w:pPr>
        <w:widowControl/>
        <w:adjustRightInd w:val="0"/>
        <w:snapToGrid w:val="0"/>
        <w:spacing w:line="360" w:lineRule="auto"/>
        <w:ind w:firstLine="420" w:firstLineChars="200"/>
        <w:jc w:val="left"/>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1</w:t>
      </w:r>
      <w:r>
        <w:rPr>
          <w:rFonts w:hint="eastAsia" w:ascii="宋体" w:hAnsi="宋体" w:cs="宋体"/>
          <w:color w:val="auto"/>
          <w:szCs w:val="21"/>
          <w:shd w:val="clear" w:color="auto" w:fill="FFFFFF"/>
          <w:lang w:val="en-US" w:eastAsia="zh-CN"/>
        </w:rPr>
        <w:t>报名</w:t>
      </w:r>
      <w:r>
        <w:rPr>
          <w:rFonts w:hint="eastAsia" w:ascii="宋体" w:hAnsi="宋体" w:eastAsia="宋体" w:cs="宋体"/>
          <w:color w:val="auto"/>
          <w:szCs w:val="21"/>
          <w:shd w:val="clear" w:color="auto" w:fill="FFFFFF"/>
        </w:rPr>
        <w:t>时间：202</w:t>
      </w:r>
      <w:r>
        <w:rPr>
          <w:rFonts w:hint="eastAsia" w:ascii="宋体" w:hAnsi="宋体" w:eastAsia="宋体" w:cs="宋体"/>
          <w:color w:val="auto"/>
          <w:szCs w:val="21"/>
          <w:shd w:val="clear" w:color="auto" w:fill="FFFFFF"/>
          <w:lang w:val="en-US" w:eastAsia="zh-CN"/>
        </w:rPr>
        <w:t>2</w:t>
      </w:r>
      <w:r>
        <w:rPr>
          <w:rFonts w:hint="eastAsia" w:ascii="宋体" w:hAnsi="宋体" w:eastAsia="宋体" w:cs="宋体"/>
          <w:color w:val="auto"/>
          <w:szCs w:val="21"/>
          <w:shd w:val="clear" w:color="auto" w:fill="FFFFFF"/>
        </w:rPr>
        <w:t>年</w:t>
      </w:r>
      <w:r>
        <w:rPr>
          <w:rFonts w:hint="eastAsia" w:ascii="宋体" w:hAnsi="宋体" w:cs="宋体"/>
          <w:color w:val="auto"/>
          <w:szCs w:val="21"/>
          <w:highlight w:val="yellow"/>
          <w:shd w:val="clear" w:color="auto" w:fill="FFFFFF"/>
          <w:lang w:val="en-US" w:eastAsia="zh-CN"/>
        </w:rPr>
        <w:t>08</w:t>
      </w:r>
      <w:r>
        <w:rPr>
          <w:rFonts w:hint="eastAsia" w:ascii="宋体" w:hAnsi="宋体" w:eastAsia="宋体" w:cs="宋体"/>
          <w:color w:val="auto"/>
          <w:szCs w:val="21"/>
          <w:highlight w:val="yellow"/>
          <w:shd w:val="clear" w:color="auto" w:fill="FFFFFF"/>
        </w:rPr>
        <w:t>月</w:t>
      </w:r>
      <w:r>
        <w:rPr>
          <w:rFonts w:hint="eastAsia" w:ascii="宋体" w:hAnsi="宋体" w:cs="宋体"/>
          <w:color w:val="auto"/>
          <w:szCs w:val="21"/>
          <w:highlight w:val="yellow"/>
          <w:shd w:val="clear" w:color="auto" w:fill="FFFFFF"/>
          <w:lang w:val="en-US" w:eastAsia="zh-CN"/>
        </w:rPr>
        <w:t>17</w:t>
      </w:r>
      <w:r>
        <w:rPr>
          <w:rFonts w:hint="eastAsia" w:ascii="宋体" w:hAnsi="宋体" w:eastAsia="宋体" w:cs="宋体"/>
          <w:color w:val="auto"/>
          <w:szCs w:val="21"/>
          <w:highlight w:val="yellow"/>
          <w:shd w:val="clear" w:color="auto" w:fill="FFFFFF"/>
        </w:rPr>
        <w:t>日</w:t>
      </w:r>
      <w:r>
        <w:rPr>
          <w:rFonts w:hint="eastAsia" w:ascii="宋体" w:hAnsi="宋体" w:eastAsia="宋体" w:cs="宋体"/>
          <w:color w:val="auto"/>
          <w:szCs w:val="21"/>
          <w:highlight w:val="none"/>
          <w:shd w:val="clear" w:color="auto" w:fill="FFFFFF"/>
        </w:rPr>
        <w:t>-202</w:t>
      </w:r>
      <w:r>
        <w:rPr>
          <w:rFonts w:hint="eastAsia" w:ascii="宋体" w:hAnsi="宋体" w:eastAsia="宋体" w:cs="宋体"/>
          <w:color w:val="auto"/>
          <w:szCs w:val="21"/>
          <w:highlight w:val="none"/>
          <w:shd w:val="clear" w:color="auto" w:fill="FFFFFF"/>
          <w:lang w:val="en-US" w:eastAsia="zh-CN"/>
        </w:rPr>
        <w:t>2</w:t>
      </w:r>
      <w:r>
        <w:rPr>
          <w:rFonts w:hint="eastAsia" w:ascii="宋体" w:hAnsi="宋体" w:eastAsia="宋体" w:cs="宋体"/>
          <w:color w:val="auto"/>
          <w:szCs w:val="21"/>
          <w:highlight w:val="none"/>
          <w:shd w:val="clear" w:color="auto" w:fill="FFFFFF"/>
        </w:rPr>
        <w:t>年</w:t>
      </w:r>
      <w:r>
        <w:rPr>
          <w:rFonts w:hint="eastAsia" w:ascii="宋体" w:hAnsi="宋体" w:cs="宋体"/>
          <w:color w:val="auto"/>
          <w:szCs w:val="21"/>
          <w:highlight w:val="yellow"/>
          <w:shd w:val="clear" w:color="auto" w:fill="FFFFFF"/>
          <w:lang w:val="en-US" w:eastAsia="zh-CN"/>
        </w:rPr>
        <w:t>08</w:t>
      </w:r>
      <w:r>
        <w:rPr>
          <w:rFonts w:hint="eastAsia" w:ascii="宋体" w:hAnsi="宋体" w:eastAsia="宋体" w:cs="宋体"/>
          <w:color w:val="auto"/>
          <w:szCs w:val="21"/>
          <w:highlight w:val="yellow"/>
          <w:shd w:val="clear" w:color="auto" w:fill="FFFFFF"/>
        </w:rPr>
        <w:t>月</w:t>
      </w:r>
      <w:r>
        <w:rPr>
          <w:rFonts w:hint="eastAsia" w:ascii="宋体" w:hAnsi="宋体" w:cs="宋体"/>
          <w:color w:val="auto"/>
          <w:szCs w:val="21"/>
          <w:highlight w:val="yellow"/>
          <w:shd w:val="clear" w:color="auto" w:fill="FFFFFF"/>
          <w:lang w:val="en-US" w:eastAsia="zh-CN"/>
        </w:rPr>
        <w:t>19</w:t>
      </w:r>
      <w:bookmarkStart w:id="103" w:name="_GoBack"/>
      <w:bookmarkEnd w:id="103"/>
      <w:r>
        <w:rPr>
          <w:rFonts w:hint="eastAsia" w:ascii="宋体" w:hAnsi="宋体" w:eastAsia="宋体" w:cs="宋体"/>
          <w:color w:val="auto"/>
          <w:szCs w:val="21"/>
          <w:highlight w:val="yellow"/>
          <w:shd w:val="clear" w:color="auto" w:fill="FFFFFF"/>
        </w:rPr>
        <w:t>日</w:t>
      </w:r>
      <w:r>
        <w:rPr>
          <w:rFonts w:hint="eastAsia" w:ascii="宋体" w:hAnsi="宋体" w:eastAsia="宋体" w:cs="宋体"/>
          <w:color w:val="auto"/>
          <w:szCs w:val="21"/>
          <w:shd w:val="clear" w:color="auto" w:fill="FFFFFF"/>
        </w:rPr>
        <w:t>，上午8：30-11:30，下午14:30-17:30（北京时间，法定节假日除外）</w:t>
      </w:r>
      <w:r>
        <w:rPr>
          <w:rFonts w:hint="eastAsia" w:ascii="宋体" w:hAnsi="宋体" w:eastAsia="宋体" w:cs="宋体"/>
          <w:color w:val="auto"/>
          <w:szCs w:val="21"/>
          <w:shd w:val="clear" w:color="auto" w:fill="FFFFFF"/>
          <w:lang w:eastAsia="zh-CN"/>
        </w:rPr>
        <w:t>，</w:t>
      </w:r>
      <w:r>
        <w:rPr>
          <w:rFonts w:hint="eastAsia" w:ascii="宋体" w:hAnsi="宋体" w:cs="宋体"/>
          <w:color w:val="auto"/>
          <w:szCs w:val="21"/>
          <w:shd w:val="clear" w:color="auto" w:fill="FFFFFF"/>
          <w:lang w:val="en-US" w:eastAsia="zh-CN"/>
        </w:rPr>
        <w:t>报名费用</w:t>
      </w:r>
      <w:r>
        <w:rPr>
          <w:rFonts w:hint="eastAsia" w:ascii="宋体" w:hAnsi="宋体" w:eastAsia="宋体" w:cs="宋体"/>
          <w:color w:val="auto"/>
          <w:szCs w:val="21"/>
          <w:shd w:val="clear" w:color="auto" w:fill="FFFFFF"/>
          <w:lang w:val="en-US" w:eastAsia="zh-CN"/>
        </w:rPr>
        <w:t>：200元。</w:t>
      </w:r>
    </w:p>
    <w:p>
      <w:pPr>
        <w:widowControl/>
        <w:snapToGrid w:val="0"/>
        <w:spacing w:before="0" w:beforeAutospacing="0" w:after="0" w:afterAutospacing="0" w:line="360" w:lineRule="auto"/>
        <w:ind w:firstLine="420" w:firstLineChars="200"/>
        <w:jc w:val="left"/>
        <w:rPr>
          <w:rFonts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shd w:val="clear" w:color="auto" w:fill="FFFFFF"/>
          <w:lang w:val="en-US" w:eastAsia="zh-CN" w:bidi="ar-SA"/>
        </w:rPr>
        <w:t>2.每报名任何一个项目的供应商，</w:t>
      </w:r>
      <w:r>
        <w:rPr>
          <w:rFonts w:hint="eastAsia" w:ascii="宋体" w:hAnsi="宋体" w:eastAsia="宋体" w:cs="宋体"/>
          <w:color w:val="auto"/>
          <w:kern w:val="0"/>
          <w:sz w:val="21"/>
          <w:szCs w:val="21"/>
          <w:highlight w:val="none"/>
          <w:shd w:val="clear" w:color="auto" w:fill="FFFFFF"/>
          <w:lang w:val="en-US" w:eastAsia="zh-CN" w:bidi="ar-SA"/>
        </w:rPr>
        <w:t>需交纳2000元投标保证金</w:t>
      </w:r>
      <w:r>
        <w:rPr>
          <w:rFonts w:hint="eastAsia" w:ascii="宋体" w:hAnsi="宋体" w:eastAsia="宋体" w:cs="宋体"/>
          <w:color w:val="auto"/>
          <w:kern w:val="0"/>
          <w:sz w:val="21"/>
          <w:szCs w:val="21"/>
          <w:shd w:val="clear" w:color="auto" w:fill="FFFFFF"/>
          <w:lang w:val="en-US" w:eastAsia="zh-CN" w:bidi="ar-SA"/>
        </w:rPr>
        <w:t xml:space="preserve">。凡报名成功的供应商无故不来参与投标的，拒不退还投标保证金，并列入我院黑名单，一年内不得参与我院任何采购活动。凡未中标者，评审结束后三个工作日内凭收据无息退还。中标供应商缴纳相应服务费。 </w:t>
      </w:r>
    </w:p>
    <w:p>
      <w:pPr>
        <w:widowControl/>
        <w:wordWrap w:val="0"/>
        <w:snapToGrid w:val="0"/>
        <w:spacing w:before="0" w:beforeAutospacing="0" w:after="0" w:afterAutospacing="0" w:line="360" w:lineRule="auto"/>
        <w:ind w:left="0" w:leftChars="0" w:firstLine="420" w:firstLineChars="200"/>
        <w:jc w:val="left"/>
        <w:rPr>
          <w:rFonts w:ascii="宋体" w:hAnsi="宋体" w:eastAsia="宋体" w:cs="宋体"/>
          <w:color w:val="auto"/>
          <w:kern w:val="0"/>
          <w:sz w:val="21"/>
          <w:szCs w:val="21"/>
          <w:u w:val="single"/>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3.采购文件获取方式：供应商须把填写完整的报名登记表及报名登记表要求提供的相关资料扫描件按序排版为PDF格式文件，发送至以下邮箱：</w:t>
      </w:r>
      <w:r>
        <w:rPr>
          <w:rFonts w:hint="eastAsia" w:ascii="宋体" w:hAnsi="宋体" w:eastAsia="宋体" w:cs="宋体"/>
          <w:color w:val="auto"/>
          <w:kern w:val="0"/>
          <w:sz w:val="21"/>
          <w:szCs w:val="21"/>
          <w:shd w:val="clear" w:color="auto" w:fill="FFFFFF"/>
          <w:lang w:val="en-US" w:eastAsia="zh-CN" w:bidi="ar-SA"/>
        </w:rPr>
        <w:fldChar w:fldCharType="begin"/>
      </w:r>
      <w:r>
        <w:rPr>
          <w:rFonts w:hint="eastAsia" w:ascii="宋体" w:hAnsi="宋体" w:eastAsia="宋体" w:cs="宋体"/>
          <w:color w:val="auto"/>
          <w:kern w:val="0"/>
          <w:sz w:val="21"/>
          <w:szCs w:val="21"/>
          <w:shd w:val="clear" w:color="auto" w:fill="FFFFFF"/>
          <w:lang w:val="en-US" w:eastAsia="zh-CN" w:bidi="ar-SA"/>
        </w:rPr>
        <w:instrText xml:space="preserve"> HYPERLINK "mailto:hnwxzb2@163.com并标明XX" </w:instrText>
      </w:r>
      <w:r>
        <w:rPr>
          <w:rFonts w:hint="eastAsia" w:ascii="宋体" w:hAnsi="宋体" w:eastAsia="宋体" w:cs="宋体"/>
          <w:color w:val="auto"/>
          <w:kern w:val="0"/>
          <w:sz w:val="21"/>
          <w:szCs w:val="21"/>
          <w:shd w:val="clear" w:color="auto" w:fill="FFFFFF"/>
          <w:lang w:val="en-US" w:eastAsia="zh-CN" w:bidi="ar-SA"/>
        </w:rPr>
        <w:fldChar w:fldCharType="separate"/>
      </w:r>
      <w:r>
        <w:rPr>
          <w:rFonts w:hint="eastAsia" w:ascii="宋体" w:hAnsi="宋体" w:eastAsia="宋体" w:cs="宋体"/>
          <w:color w:val="auto"/>
          <w:kern w:val="0"/>
          <w:sz w:val="21"/>
          <w:szCs w:val="21"/>
          <w:shd w:val="clear" w:color="auto" w:fill="FFFFFF"/>
          <w:lang w:val="en-US" w:eastAsia="zh-CN" w:bidi="ar-SA"/>
        </w:rPr>
        <w:t>2131538583@qq.com并标明XX</w:t>
      </w:r>
      <w:r>
        <w:rPr>
          <w:rFonts w:hint="eastAsia" w:ascii="宋体" w:hAnsi="宋体" w:eastAsia="宋体" w:cs="宋体"/>
          <w:color w:val="auto"/>
          <w:kern w:val="0"/>
          <w:sz w:val="21"/>
          <w:szCs w:val="21"/>
          <w:shd w:val="clear" w:color="auto" w:fill="FFFFFF"/>
          <w:lang w:val="en-US" w:eastAsia="zh-CN" w:bidi="ar-SA"/>
        </w:rPr>
        <w:fldChar w:fldCharType="end"/>
      </w:r>
      <w:r>
        <w:rPr>
          <w:rFonts w:hint="eastAsia" w:ascii="宋体" w:hAnsi="宋体" w:eastAsia="宋体" w:cs="宋体"/>
          <w:color w:val="auto"/>
          <w:kern w:val="0"/>
          <w:sz w:val="21"/>
          <w:szCs w:val="21"/>
          <w:shd w:val="clear" w:color="auto" w:fill="FFFFFF"/>
          <w:lang w:val="en-US" w:eastAsia="zh-CN" w:bidi="ar-SA"/>
        </w:rPr>
        <w:t>项目报名资料；审核通过后按要求交纳</w:t>
      </w:r>
      <w:r>
        <w:rPr>
          <w:rFonts w:hint="eastAsia" w:ascii="宋体" w:hAnsi="宋体" w:cs="宋体"/>
          <w:color w:val="auto"/>
          <w:kern w:val="0"/>
          <w:sz w:val="21"/>
          <w:szCs w:val="21"/>
          <w:shd w:val="clear" w:color="auto" w:fill="FFFFFF"/>
          <w:lang w:val="en-US" w:eastAsia="zh-CN" w:bidi="ar-SA"/>
        </w:rPr>
        <w:t>报名费</w:t>
      </w:r>
      <w:r>
        <w:rPr>
          <w:rFonts w:hint="eastAsia" w:ascii="宋体" w:hAnsi="宋体" w:eastAsia="宋体" w:cs="宋体"/>
          <w:color w:val="auto"/>
          <w:kern w:val="0"/>
          <w:sz w:val="21"/>
          <w:szCs w:val="21"/>
          <w:shd w:val="clear" w:color="auto" w:fill="FFFFFF"/>
          <w:lang w:val="en-US" w:eastAsia="zh-CN" w:bidi="ar-SA"/>
        </w:rPr>
        <w:t>及投标保证金。</w:t>
      </w:r>
    </w:p>
    <w:p>
      <w:pPr>
        <w:widowControl/>
        <w:wordWrap w:val="0"/>
        <w:snapToGrid w:val="0"/>
        <w:spacing w:before="0" w:beforeAutospacing="0" w:after="0" w:afterAutospacing="0" w:line="360" w:lineRule="auto"/>
        <w:ind w:left="420" w:leftChars="200"/>
        <w:jc w:val="left"/>
        <w:rPr>
          <w:rFonts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shd w:val="clear" w:color="auto" w:fill="FFFFFF"/>
          <w:lang w:val="en-US" w:eastAsia="zh-CN" w:bidi="ar-SA"/>
        </w:rPr>
        <w:t>4.报名登记表：请从附件中下载。</w:t>
      </w:r>
    </w:p>
    <w:p>
      <w:pPr>
        <w:keepNext w:val="0"/>
        <w:keepLines w:val="0"/>
        <w:widowControl/>
        <w:snapToGrid w:val="0"/>
        <w:spacing w:before="0" w:after="0" w:line="360" w:lineRule="auto"/>
        <w:jc w:val="left"/>
        <w:outlineLvl w:val="1"/>
        <w:rPr>
          <w:rFonts w:ascii="宋体" w:hAnsi="宋体" w:eastAsia="宋体" w:cs="宋体"/>
          <w:b/>
          <w:bCs/>
          <w:color w:val="auto"/>
          <w:kern w:val="2"/>
          <w:sz w:val="21"/>
          <w:szCs w:val="21"/>
          <w:lang w:val="en-US" w:eastAsia="zh-CN" w:bidi="ar-SA"/>
        </w:rPr>
      </w:pPr>
      <w:bookmarkStart w:id="18" w:name="_Toc27480"/>
      <w:bookmarkStart w:id="19" w:name="_Toc15135"/>
      <w:bookmarkStart w:id="20" w:name="_Toc10738"/>
      <w:bookmarkStart w:id="21" w:name="_Toc15111"/>
      <w:bookmarkStart w:id="22" w:name="_Toc25869"/>
      <w:r>
        <w:rPr>
          <w:rFonts w:hint="eastAsia" w:ascii="宋体" w:hAnsi="宋体" w:eastAsia="宋体" w:cs="宋体"/>
          <w:b/>
          <w:bCs/>
          <w:color w:val="auto"/>
          <w:kern w:val="2"/>
          <w:sz w:val="21"/>
          <w:szCs w:val="21"/>
          <w:shd w:val="clear" w:color="auto" w:fill="FFFFFF"/>
          <w:lang w:val="en-US" w:eastAsia="zh-CN" w:bidi="ar-SA"/>
        </w:rPr>
        <w:t>四、投标截止时间及地点</w:t>
      </w:r>
      <w:bookmarkEnd w:id="18"/>
      <w:bookmarkEnd w:id="19"/>
      <w:bookmarkEnd w:id="20"/>
      <w:bookmarkEnd w:id="21"/>
      <w:bookmarkEnd w:id="22"/>
    </w:p>
    <w:p>
      <w:pPr>
        <w:widowControl/>
        <w:snapToGrid w:val="0"/>
        <w:spacing w:before="0" w:beforeAutospacing="0" w:after="0" w:afterAutospacing="0" w:line="360" w:lineRule="auto"/>
        <w:ind w:firstLine="420" w:firstLineChars="200"/>
        <w:jc w:val="left"/>
        <w:rPr>
          <w:rFonts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shd w:val="clear" w:color="auto" w:fill="FFFFFF"/>
          <w:lang w:val="en-US" w:eastAsia="zh-CN" w:bidi="ar-SA"/>
        </w:rPr>
        <w:t>1.时间：</w:t>
      </w:r>
      <w:r>
        <w:rPr>
          <w:rFonts w:hint="eastAsia" w:ascii="宋体" w:hAnsi="宋体" w:eastAsia="宋体" w:cs="宋体"/>
          <w:color w:val="auto"/>
          <w:sz w:val="21"/>
          <w:szCs w:val="21"/>
          <w:shd w:val="clear" w:color="auto" w:fill="auto"/>
          <w:lang w:val="en-US" w:eastAsia="zh-CN"/>
        </w:rPr>
        <w:t>详见采购文件</w:t>
      </w:r>
      <w:r>
        <w:rPr>
          <w:rFonts w:hint="eastAsia" w:ascii="宋体" w:hAnsi="宋体" w:eastAsia="宋体" w:cs="宋体"/>
          <w:color w:val="auto"/>
          <w:kern w:val="0"/>
          <w:sz w:val="21"/>
          <w:szCs w:val="21"/>
          <w:shd w:val="clear" w:color="auto" w:fill="FFFFFF"/>
          <w:lang w:val="en-US" w:eastAsia="zh-CN" w:bidi="ar-SA"/>
        </w:rPr>
        <w:t>。</w:t>
      </w:r>
    </w:p>
    <w:p>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2.地点：</w:t>
      </w:r>
      <w:r>
        <w:rPr>
          <w:rFonts w:hint="eastAsia" w:ascii="宋体" w:hAnsi="宋体" w:eastAsia="宋体" w:cs="宋体"/>
          <w:color w:val="auto"/>
          <w:sz w:val="21"/>
          <w:szCs w:val="21"/>
          <w:shd w:val="clear" w:color="auto" w:fill="auto"/>
          <w:lang w:val="en-US" w:eastAsia="zh-CN"/>
        </w:rPr>
        <w:t>详见采购文件</w:t>
      </w:r>
      <w:r>
        <w:rPr>
          <w:rFonts w:hint="eastAsia" w:ascii="宋体" w:hAnsi="宋体" w:eastAsia="宋体" w:cs="宋体"/>
          <w:color w:val="auto"/>
          <w:kern w:val="0"/>
          <w:sz w:val="21"/>
          <w:szCs w:val="21"/>
          <w:shd w:val="clear" w:color="auto" w:fill="FFFFFF"/>
          <w:lang w:val="en-US" w:eastAsia="zh-CN" w:bidi="ar-SA"/>
        </w:rPr>
        <w:t>。</w:t>
      </w:r>
    </w:p>
    <w:p>
      <w:pPr>
        <w:keepNext w:val="0"/>
        <w:keepLines w:val="0"/>
        <w:widowControl/>
        <w:snapToGrid w:val="0"/>
        <w:spacing w:before="0" w:after="0" w:line="360" w:lineRule="auto"/>
        <w:jc w:val="left"/>
        <w:outlineLvl w:val="1"/>
        <w:rPr>
          <w:rFonts w:ascii="宋体" w:hAnsi="宋体" w:eastAsia="宋体" w:cs="宋体"/>
          <w:b/>
          <w:bCs/>
          <w:color w:val="auto"/>
          <w:kern w:val="2"/>
          <w:sz w:val="21"/>
          <w:szCs w:val="21"/>
          <w:lang w:val="en-US" w:eastAsia="zh-CN" w:bidi="ar-SA"/>
        </w:rPr>
      </w:pPr>
      <w:r>
        <w:rPr>
          <w:rFonts w:hint="eastAsia" w:ascii="宋体" w:hAnsi="宋体" w:eastAsia="宋体" w:cs="宋体"/>
          <w:b/>
          <w:bCs/>
          <w:color w:val="auto"/>
          <w:kern w:val="2"/>
          <w:sz w:val="21"/>
          <w:szCs w:val="21"/>
          <w:shd w:val="clear" w:color="auto" w:fill="FFFFFF"/>
          <w:lang w:val="en-US" w:eastAsia="zh-CN" w:bidi="ar-SA"/>
        </w:rPr>
        <w:t>五、开标时间及地点</w:t>
      </w:r>
    </w:p>
    <w:p>
      <w:pPr>
        <w:widowControl/>
        <w:snapToGrid w:val="0"/>
        <w:spacing w:before="0" w:beforeAutospacing="0" w:after="0" w:afterAutospacing="0" w:line="360" w:lineRule="auto"/>
        <w:ind w:firstLine="420" w:firstLineChars="200"/>
        <w:jc w:val="left"/>
        <w:rPr>
          <w:rFonts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shd w:val="clear" w:color="auto" w:fill="FFFFFF"/>
          <w:lang w:val="en-US" w:eastAsia="zh-CN" w:bidi="ar-SA"/>
        </w:rPr>
        <w:t>1.时间：</w:t>
      </w:r>
      <w:r>
        <w:rPr>
          <w:rFonts w:hint="eastAsia" w:ascii="宋体" w:hAnsi="宋体" w:eastAsia="宋体" w:cs="宋体"/>
          <w:color w:val="auto"/>
          <w:sz w:val="21"/>
          <w:szCs w:val="21"/>
          <w:shd w:val="clear" w:color="auto" w:fill="auto"/>
          <w:lang w:val="en-US" w:eastAsia="zh-CN"/>
        </w:rPr>
        <w:t>详见采购文件</w:t>
      </w:r>
      <w:r>
        <w:rPr>
          <w:rFonts w:hint="eastAsia" w:ascii="宋体" w:hAnsi="宋体" w:eastAsia="宋体" w:cs="宋体"/>
          <w:color w:val="auto"/>
          <w:kern w:val="0"/>
          <w:sz w:val="21"/>
          <w:szCs w:val="21"/>
          <w:shd w:val="clear" w:color="auto" w:fill="FFFFFF"/>
          <w:lang w:val="en-US" w:eastAsia="zh-CN" w:bidi="ar-SA"/>
        </w:rPr>
        <w:t>。</w:t>
      </w:r>
    </w:p>
    <w:p>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2.地点：</w:t>
      </w:r>
      <w:r>
        <w:rPr>
          <w:rFonts w:hint="eastAsia" w:ascii="宋体" w:hAnsi="宋体" w:eastAsia="宋体" w:cs="宋体"/>
          <w:color w:val="auto"/>
          <w:sz w:val="21"/>
          <w:szCs w:val="21"/>
          <w:shd w:val="clear" w:color="auto" w:fill="auto"/>
          <w:lang w:val="en-US" w:eastAsia="zh-CN"/>
        </w:rPr>
        <w:t>详见采购文件</w:t>
      </w:r>
      <w:r>
        <w:rPr>
          <w:rFonts w:hint="eastAsia" w:ascii="宋体" w:hAnsi="宋体" w:eastAsia="宋体" w:cs="宋体"/>
          <w:color w:val="auto"/>
          <w:kern w:val="0"/>
          <w:sz w:val="21"/>
          <w:szCs w:val="21"/>
          <w:u w:val="none"/>
          <w:shd w:val="clear" w:color="auto" w:fill="FFFFFF"/>
          <w:lang w:val="en-US" w:eastAsia="zh-CN" w:bidi="ar-SA"/>
        </w:rPr>
        <w:t>。</w:t>
      </w:r>
    </w:p>
    <w:p>
      <w:pPr>
        <w:keepNext w:val="0"/>
        <w:keepLines w:val="0"/>
        <w:widowControl/>
        <w:snapToGrid w:val="0"/>
        <w:spacing w:before="0" w:after="0" w:line="360" w:lineRule="auto"/>
        <w:jc w:val="left"/>
        <w:outlineLvl w:val="1"/>
        <w:rPr>
          <w:rFonts w:ascii="宋体" w:hAnsi="宋体" w:eastAsia="宋体" w:cs="宋体"/>
          <w:b/>
          <w:bCs/>
          <w:color w:val="auto"/>
          <w:kern w:val="2"/>
          <w:sz w:val="21"/>
          <w:szCs w:val="21"/>
          <w:lang w:val="en-US" w:eastAsia="zh-CN" w:bidi="ar-SA"/>
        </w:rPr>
      </w:pPr>
      <w:bookmarkStart w:id="23" w:name="_Toc29784"/>
      <w:bookmarkStart w:id="24" w:name="_Toc6523"/>
      <w:bookmarkStart w:id="25" w:name="_Toc30918"/>
      <w:bookmarkStart w:id="26" w:name="_Toc20287"/>
      <w:r>
        <w:rPr>
          <w:rFonts w:hint="eastAsia" w:ascii="宋体" w:hAnsi="宋体" w:eastAsia="宋体" w:cs="宋体"/>
          <w:b/>
          <w:bCs/>
          <w:color w:val="auto"/>
          <w:kern w:val="2"/>
          <w:sz w:val="21"/>
          <w:szCs w:val="21"/>
          <w:shd w:val="clear" w:color="auto" w:fill="FFFFFF"/>
          <w:lang w:val="en-US" w:eastAsia="zh-CN" w:bidi="ar-SA"/>
        </w:rPr>
        <w:t>六、发布公告的媒介及</w:t>
      </w:r>
      <w:r>
        <w:rPr>
          <w:rFonts w:hint="eastAsia" w:ascii="宋体" w:hAnsi="宋体" w:eastAsia="宋体" w:cs="宋体"/>
          <w:color w:val="auto"/>
          <w:sz w:val="21"/>
          <w:szCs w:val="21"/>
          <w:shd w:val="clear" w:color="auto" w:fill="auto"/>
          <w:lang w:val="en-US" w:eastAsia="zh-CN"/>
        </w:rPr>
        <w:t>采购</w:t>
      </w:r>
      <w:r>
        <w:rPr>
          <w:rFonts w:hint="eastAsia" w:ascii="宋体" w:hAnsi="宋体" w:eastAsia="宋体" w:cs="宋体"/>
          <w:b/>
          <w:bCs/>
          <w:color w:val="auto"/>
          <w:kern w:val="2"/>
          <w:sz w:val="21"/>
          <w:szCs w:val="21"/>
          <w:shd w:val="clear" w:color="auto" w:fill="FFFFFF"/>
          <w:lang w:val="en-US" w:eastAsia="zh-CN" w:bidi="ar-SA"/>
        </w:rPr>
        <w:t>公告期限</w:t>
      </w:r>
      <w:bookmarkEnd w:id="23"/>
      <w:bookmarkEnd w:id="24"/>
      <w:bookmarkEnd w:id="25"/>
      <w:bookmarkEnd w:id="26"/>
    </w:p>
    <w:p>
      <w:pPr>
        <w:widowControl/>
        <w:snapToGrid w:val="0"/>
        <w:spacing w:before="0" w:beforeAutospacing="0" w:after="0" w:afterAutospacing="0" w:line="360" w:lineRule="auto"/>
        <w:ind w:firstLine="420" w:firstLineChars="200"/>
        <w:jc w:val="left"/>
        <w:rPr>
          <w:rFonts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本次</w:t>
      </w:r>
      <w:r>
        <w:rPr>
          <w:rFonts w:hint="eastAsia" w:ascii="宋体" w:hAnsi="宋体" w:eastAsia="宋体" w:cs="宋体"/>
          <w:color w:val="auto"/>
          <w:sz w:val="21"/>
          <w:szCs w:val="21"/>
          <w:shd w:val="clear" w:color="auto" w:fill="auto"/>
          <w:lang w:val="en-US" w:eastAsia="zh-CN"/>
        </w:rPr>
        <w:t>采购</w:t>
      </w:r>
      <w:r>
        <w:rPr>
          <w:rFonts w:hint="eastAsia" w:ascii="宋体" w:hAnsi="宋体" w:eastAsia="宋体" w:cs="宋体"/>
          <w:color w:val="auto"/>
          <w:kern w:val="0"/>
          <w:sz w:val="21"/>
          <w:szCs w:val="21"/>
          <w:shd w:val="clear" w:color="auto" w:fill="FFFFFF"/>
          <w:lang w:val="en-US" w:eastAsia="zh-CN" w:bidi="ar-SA"/>
        </w:rPr>
        <w:t>公告在《驻马店市中心医院》</w:t>
      </w:r>
      <w:r>
        <w:rPr>
          <w:rFonts w:hint="eastAsia" w:ascii="宋体" w:hAnsi="宋体" w:cs="宋体"/>
          <w:color w:val="auto"/>
          <w:kern w:val="0"/>
          <w:sz w:val="21"/>
          <w:szCs w:val="21"/>
          <w:shd w:val="clear" w:color="auto" w:fill="FFFFFF"/>
          <w:lang w:val="en-US" w:eastAsia="zh-CN" w:bidi="ar-SA"/>
        </w:rPr>
        <w:t>院内</w:t>
      </w:r>
      <w:r>
        <w:rPr>
          <w:rFonts w:hint="eastAsia" w:ascii="宋体" w:hAnsi="宋体" w:eastAsia="宋体" w:cs="宋体"/>
          <w:color w:val="auto"/>
          <w:kern w:val="0"/>
          <w:sz w:val="21"/>
          <w:szCs w:val="21"/>
          <w:shd w:val="clear" w:color="auto" w:fill="FFFFFF"/>
          <w:lang w:val="en-US" w:eastAsia="zh-CN" w:bidi="ar-SA"/>
        </w:rPr>
        <w:t>网</w:t>
      </w:r>
      <w:r>
        <w:rPr>
          <w:rFonts w:hint="eastAsia" w:ascii="宋体" w:hAnsi="宋体" w:eastAsia="宋体" w:cs="宋体"/>
          <w:color w:val="auto"/>
          <w:sz w:val="21"/>
          <w:szCs w:val="21"/>
          <w:shd w:val="clear" w:color="auto" w:fill="auto"/>
        </w:rPr>
        <w:t>上发布</w:t>
      </w:r>
      <w:r>
        <w:rPr>
          <w:rFonts w:hint="eastAsia" w:ascii="宋体" w:hAnsi="宋体" w:cs="宋体"/>
          <w:color w:val="auto"/>
          <w:sz w:val="21"/>
          <w:szCs w:val="21"/>
          <w:highlight w:val="none"/>
          <w:shd w:val="clear" w:color="auto" w:fill="auto"/>
          <w:lang w:eastAsia="zh-CN"/>
        </w:rPr>
        <w:t>，</w:t>
      </w:r>
      <w:r>
        <w:rPr>
          <w:rFonts w:hint="eastAsia" w:ascii="宋体" w:hAnsi="宋体" w:eastAsia="宋体" w:cs="宋体"/>
          <w:color w:val="auto"/>
          <w:sz w:val="21"/>
          <w:szCs w:val="21"/>
          <w:shd w:val="clear" w:color="auto" w:fill="auto"/>
          <w:lang w:val="en-US" w:eastAsia="zh-CN"/>
        </w:rPr>
        <w:t>采购</w:t>
      </w:r>
      <w:r>
        <w:rPr>
          <w:rFonts w:hint="eastAsia" w:ascii="宋体" w:hAnsi="宋体" w:cs="宋体"/>
          <w:color w:val="auto"/>
          <w:sz w:val="21"/>
          <w:szCs w:val="21"/>
          <w:highlight w:val="none"/>
          <w:shd w:val="clear" w:color="auto" w:fill="auto"/>
          <w:lang w:eastAsia="zh-CN"/>
        </w:rPr>
        <w:t>公告期限为</w:t>
      </w:r>
      <w:r>
        <w:rPr>
          <w:rFonts w:hint="eastAsia" w:ascii="宋体" w:hAnsi="宋体" w:cs="宋体"/>
          <w:color w:val="auto"/>
          <w:sz w:val="21"/>
          <w:szCs w:val="21"/>
          <w:highlight w:val="none"/>
          <w:shd w:val="clear" w:color="auto" w:fill="auto"/>
          <w:lang w:val="en-US" w:eastAsia="zh-CN"/>
        </w:rPr>
        <w:t>三</w:t>
      </w:r>
      <w:r>
        <w:rPr>
          <w:rFonts w:hint="eastAsia" w:ascii="宋体" w:hAnsi="宋体" w:cs="宋体"/>
          <w:color w:val="auto"/>
          <w:sz w:val="21"/>
          <w:szCs w:val="21"/>
          <w:highlight w:val="none"/>
          <w:shd w:val="clear" w:color="auto" w:fill="auto"/>
          <w:lang w:eastAsia="zh-CN"/>
        </w:rPr>
        <w:t>个工作日</w:t>
      </w:r>
      <w:r>
        <w:rPr>
          <w:rFonts w:hint="eastAsia" w:ascii="宋体" w:hAnsi="宋体" w:eastAsia="宋体" w:cs="宋体"/>
          <w:color w:val="auto"/>
          <w:kern w:val="0"/>
          <w:sz w:val="21"/>
          <w:szCs w:val="21"/>
          <w:highlight w:val="none"/>
          <w:shd w:val="clear" w:color="auto" w:fill="FFFFFF"/>
          <w:lang w:val="en-US" w:eastAsia="zh-CN" w:bidi="ar-SA"/>
        </w:rPr>
        <w:t>。</w:t>
      </w:r>
      <w:bookmarkStart w:id="27" w:name="_Toc35393626"/>
      <w:bookmarkStart w:id="28" w:name="_Toc35393795"/>
    </w:p>
    <w:bookmarkEnd w:id="27"/>
    <w:bookmarkEnd w:id="28"/>
    <w:p>
      <w:pPr>
        <w:keepNext w:val="0"/>
        <w:keepLines w:val="0"/>
        <w:widowControl/>
        <w:snapToGrid w:val="0"/>
        <w:spacing w:before="0" w:after="0" w:line="360" w:lineRule="auto"/>
        <w:jc w:val="left"/>
        <w:outlineLvl w:val="1"/>
        <w:rPr>
          <w:rFonts w:ascii="宋体" w:hAnsi="宋体" w:eastAsia="宋体" w:cs="宋体"/>
          <w:b/>
          <w:bCs/>
          <w:color w:val="auto"/>
          <w:kern w:val="2"/>
          <w:sz w:val="21"/>
          <w:szCs w:val="21"/>
          <w:highlight w:val="none"/>
          <w:lang w:val="en-US" w:eastAsia="zh-CN" w:bidi="ar-SA"/>
        </w:rPr>
      </w:pPr>
      <w:bookmarkStart w:id="29" w:name="_Toc31928"/>
      <w:bookmarkStart w:id="30" w:name="_Toc3604"/>
      <w:bookmarkStart w:id="31" w:name="_Toc16291"/>
      <w:bookmarkStart w:id="32" w:name="_Toc24274"/>
      <w:bookmarkStart w:id="33" w:name="_Toc27370"/>
      <w:r>
        <w:rPr>
          <w:rFonts w:hint="eastAsia" w:ascii="宋体" w:hAnsi="宋体" w:eastAsia="宋体" w:cs="宋体"/>
          <w:b/>
          <w:bCs/>
          <w:color w:val="auto"/>
          <w:kern w:val="2"/>
          <w:sz w:val="21"/>
          <w:szCs w:val="21"/>
          <w:shd w:val="clear" w:color="auto" w:fill="FFFFFF"/>
          <w:lang w:val="en-US" w:eastAsia="zh-CN" w:bidi="ar-SA"/>
        </w:rPr>
        <w:t>八、</w:t>
      </w:r>
      <w:bookmarkEnd w:id="29"/>
      <w:bookmarkEnd w:id="30"/>
      <w:bookmarkEnd w:id="31"/>
      <w:bookmarkEnd w:id="32"/>
      <w:bookmarkEnd w:id="33"/>
      <w:r>
        <w:rPr>
          <w:rFonts w:hint="eastAsia" w:ascii="宋体" w:hAnsi="宋体" w:eastAsia="宋体" w:cs="宋体"/>
          <w:b/>
          <w:bCs/>
          <w:color w:val="auto"/>
          <w:kern w:val="2"/>
          <w:sz w:val="21"/>
          <w:szCs w:val="21"/>
          <w:highlight w:val="none"/>
          <w:shd w:val="clear" w:color="auto" w:fill="FFFFFF"/>
          <w:lang w:val="en-US" w:eastAsia="zh-CN" w:bidi="ar-SA"/>
        </w:rPr>
        <w:t>凡对本次招标提出询问，请按照以下方式联系</w:t>
      </w:r>
    </w:p>
    <w:p>
      <w:pPr>
        <w:widowControl/>
        <w:snapToGrid w:val="0"/>
        <w:spacing w:before="0" w:beforeAutospacing="0" w:after="0" w:afterAutospacing="0" w:line="360" w:lineRule="auto"/>
        <w:ind w:firstLine="420" w:firstLineChars="200"/>
        <w:jc w:val="left"/>
        <w:rPr>
          <w:rFonts w:hint="default"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报名联系人：李先生</w:t>
      </w:r>
    </w:p>
    <w:p>
      <w:pPr>
        <w:widowControl/>
        <w:snapToGrid w:val="0"/>
        <w:spacing w:before="0" w:beforeAutospacing="0" w:after="0" w:afterAutospacing="0" w:line="360" w:lineRule="auto"/>
        <w:ind w:firstLine="420" w:firstLineChars="200"/>
        <w:jc w:val="left"/>
        <w:rPr>
          <w:rFonts w:hint="default"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联系电话：18595618752</w:t>
      </w:r>
    </w:p>
    <w:p>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联系人：陈先生</w:t>
      </w:r>
    </w:p>
    <w:p>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联系电话：0396-2726379</w:t>
      </w:r>
    </w:p>
    <w:p>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联系邮箱：</w:t>
      </w:r>
      <w:r>
        <w:rPr>
          <w:rFonts w:hint="eastAsia" w:ascii="宋体" w:hAnsi="宋体" w:eastAsia="宋体" w:cs="宋体"/>
          <w:color w:val="auto"/>
          <w:kern w:val="0"/>
          <w:sz w:val="21"/>
          <w:szCs w:val="21"/>
          <w:shd w:val="clear" w:color="auto" w:fill="FFFFFF"/>
          <w:lang w:val="en-US" w:eastAsia="zh-CN" w:bidi="ar-SA"/>
        </w:rPr>
        <w:fldChar w:fldCharType="begin"/>
      </w:r>
      <w:r>
        <w:rPr>
          <w:rFonts w:hint="eastAsia" w:ascii="宋体" w:hAnsi="宋体" w:eastAsia="宋体" w:cs="宋体"/>
          <w:color w:val="auto"/>
          <w:kern w:val="0"/>
          <w:sz w:val="21"/>
          <w:szCs w:val="21"/>
          <w:shd w:val="clear" w:color="auto" w:fill="FFFFFF"/>
          <w:lang w:val="en-US" w:eastAsia="zh-CN" w:bidi="ar-SA"/>
        </w:rPr>
        <w:instrText xml:space="preserve"> HYPERLINK "mailto:zxyyjzcgbgs@163.com" </w:instrText>
      </w:r>
      <w:r>
        <w:rPr>
          <w:rFonts w:hint="eastAsia" w:ascii="宋体" w:hAnsi="宋体" w:eastAsia="宋体" w:cs="宋体"/>
          <w:color w:val="auto"/>
          <w:kern w:val="0"/>
          <w:sz w:val="21"/>
          <w:szCs w:val="21"/>
          <w:shd w:val="clear" w:color="auto" w:fill="FFFFFF"/>
          <w:lang w:val="en-US" w:eastAsia="zh-CN" w:bidi="ar-SA"/>
        </w:rPr>
        <w:fldChar w:fldCharType="separate"/>
      </w:r>
      <w:r>
        <w:rPr>
          <w:rFonts w:hint="eastAsia" w:ascii="宋体" w:hAnsi="宋体" w:eastAsia="宋体" w:cs="宋体"/>
          <w:color w:val="auto"/>
          <w:kern w:val="0"/>
          <w:sz w:val="21"/>
          <w:szCs w:val="21"/>
          <w:shd w:val="clear" w:color="auto" w:fill="FFFFFF"/>
          <w:lang w:val="en-US" w:eastAsia="zh-CN" w:bidi="ar-SA"/>
        </w:rPr>
        <w:t>zxyyjzcgbgs@163.com</w:t>
      </w:r>
      <w:r>
        <w:rPr>
          <w:rFonts w:hint="eastAsia" w:ascii="宋体" w:hAnsi="宋体" w:eastAsia="宋体" w:cs="宋体"/>
          <w:color w:val="auto"/>
          <w:kern w:val="0"/>
          <w:sz w:val="21"/>
          <w:szCs w:val="21"/>
          <w:shd w:val="clear" w:color="auto" w:fill="FFFFFF"/>
          <w:lang w:val="en-US" w:eastAsia="zh-CN" w:bidi="ar-SA"/>
        </w:rPr>
        <w:fldChar w:fldCharType="end"/>
      </w:r>
    </w:p>
    <w:p>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监督部门：驻马店市中心医院纪检监察室</w:t>
      </w:r>
    </w:p>
    <w:p>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监督电话：0396-2725435</w:t>
      </w:r>
    </w:p>
    <w:p>
      <w:pPr>
        <w:pStyle w:val="29"/>
        <w:rPr>
          <w:rFonts w:hint="eastAsia"/>
          <w:color w:val="auto"/>
          <w:lang w:val="en-US" w:eastAsia="zh-CN"/>
        </w:rPr>
      </w:pPr>
    </w:p>
    <w:p>
      <w:pPr>
        <w:widowControl/>
        <w:snapToGrid w:val="0"/>
        <w:spacing w:before="0" w:beforeAutospacing="0" w:after="0" w:afterAutospacing="0" w:line="360" w:lineRule="auto"/>
        <w:ind w:firstLine="420" w:firstLineChars="200"/>
        <w:jc w:val="right"/>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驻马店市中心医院采购科</w:t>
      </w:r>
    </w:p>
    <w:p>
      <w:pPr>
        <w:pStyle w:val="27"/>
        <w:widowControl/>
        <w:snapToGrid w:val="0"/>
        <w:spacing w:before="0" w:beforeAutospacing="0" w:after="0" w:afterAutospacing="0" w:line="360" w:lineRule="auto"/>
        <w:ind w:firstLine="420" w:firstLineChars="200"/>
        <w:jc w:val="right"/>
        <w:rPr>
          <w:rFonts w:ascii="宋体" w:hAnsi="宋体" w:cs="宋体"/>
          <w:color w:val="auto"/>
          <w:sz w:val="21"/>
          <w:szCs w:val="21"/>
          <w:highlight w:val="none"/>
          <w:shd w:val="clear" w:color="auto" w:fill="FFFFFF"/>
        </w:rPr>
      </w:pPr>
      <w:r>
        <w:rPr>
          <w:rFonts w:hint="eastAsia" w:ascii="宋体" w:hAnsi="宋体" w:eastAsia="宋体" w:cs="宋体"/>
          <w:color w:val="auto"/>
          <w:kern w:val="0"/>
          <w:sz w:val="21"/>
          <w:szCs w:val="21"/>
          <w:shd w:val="clear" w:color="auto" w:fill="FFFFFF"/>
          <w:lang w:val="en-US" w:eastAsia="zh-CN" w:bidi="ar-SA"/>
        </w:rPr>
        <w:t>2022年0</w:t>
      </w:r>
      <w:r>
        <w:rPr>
          <w:rFonts w:hint="eastAsia" w:ascii="宋体" w:hAnsi="宋体" w:cs="宋体"/>
          <w:color w:val="auto"/>
          <w:kern w:val="0"/>
          <w:sz w:val="21"/>
          <w:szCs w:val="21"/>
          <w:shd w:val="clear" w:color="auto" w:fill="FFFFFF"/>
          <w:lang w:val="en-US" w:eastAsia="zh-CN" w:bidi="ar-SA"/>
        </w:rPr>
        <w:t>8</w:t>
      </w:r>
      <w:r>
        <w:rPr>
          <w:rFonts w:hint="eastAsia" w:ascii="宋体" w:hAnsi="宋体" w:eastAsia="宋体" w:cs="宋体"/>
          <w:color w:val="auto"/>
          <w:kern w:val="0"/>
          <w:sz w:val="21"/>
          <w:szCs w:val="21"/>
          <w:shd w:val="clear" w:color="auto" w:fill="FFFFFF"/>
          <w:lang w:val="en-US" w:eastAsia="zh-CN" w:bidi="ar-SA"/>
        </w:rPr>
        <w:t>月</w:t>
      </w:r>
      <w:r>
        <w:rPr>
          <w:rFonts w:hint="eastAsia" w:ascii="宋体" w:hAnsi="宋体" w:cs="宋体"/>
          <w:color w:val="auto"/>
          <w:kern w:val="0"/>
          <w:sz w:val="21"/>
          <w:szCs w:val="21"/>
          <w:highlight w:val="yellow"/>
          <w:shd w:val="clear" w:color="auto" w:fill="FFFFFF"/>
          <w:lang w:val="en-US" w:eastAsia="zh-CN" w:bidi="ar-SA"/>
        </w:rPr>
        <w:t>16</w:t>
      </w:r>
      <w:r>
        <w:rPr>
          <w:rFonts w:hint="eastAsia" w:ascii="宋体" w:hAnsi="宋体" w:eastAsia="宋体" w:cs="宋体"/>
          <w:color w:val="auto"/>
          <w:kern w:val="0"/>
          <w:sz w:val="21"/>
          <w:szCs w:val="21"/>
          <w:highlight w:val="yellow"/>
          <w:shd w:val="clear" w:color="auto" w:fill="FFFFFF"/>
          <w:lang w:val="en-US" w:eastAsia="zh-CN" w:bidi="ar-SA"/>
        </w:rPr>
        <w:t>日</w:t>
      </w:r>
    </w:p>
    <w:p>
      <w:pPr>
        <w:pStyle w:val="27"/>
        <w:widowControl/>
        <w:snapToGrid w:val="0"/>
        <w:spacing w:before="0" w:beforeAutospacing="0" w:after="0" w:afterAutospacing="0" w:line="360" w:lineRule="auto"/>
        <w:ind w:firstLine="420" w:firstLineChars="200"/>
        <w:rPr>
          <w:rFonts w:ascii="宋体" w:hAnsi="宋体" w:cs="宋体"/>
          <w:color w:val="auto"/>
          <w:sz w:val="21"/>
          <w:szCs w:val="21"/>
          <w:highlight w:val="none"/>
          <w:shd w:val="clear" w:color="auto" w:fill="FFFFFF"/>
        </w:rPr>
      </w:pPr>
    </w:p>
    <w:p>
      <w:pPr>
        <w:widowControl/>
        <w:spacing w:line="360" w:lineRule="auto"/>
        <w:ind w:firstLine="480" w:firstLineChars="200"/>
        <w:jc w:val="left"/>
        <w:rPr>
          <w:rFonts w:ascii="宋体" w:hAnsi="宋体" w:cs="宋体"/>
          <w:b/>
          <w:color w:val="auto"/>
          <w:sz w:val="24"/>
          <w:highlight w:val="none"/>
        </w:rPr>
      </w:pPr>
      <w:r>
        <w:rPr>
          <w:rFonts w:hint="eastAsia" w:ascii="宋体" w:hAnsi="宋体" w:cs="宋体"/>
          <w:color w:val="auto"/>
          <w:kern w:val="0"/>
          <w:sz w:val="24"/>
          <w:highlight w:val="none"/>
        </w:rPr>
        <w:t>  </w:t>
      </w:r>
    </w:p>
    <w:p>
      <w:pPr>
        <w:rPr>
          <w:b/>
          <w:bCs/>
          <w:color w:val="auto"/>
          <w:sz w:val="24"/>
          <w:highlight w:val="none"/>
        </w:rPr>
      </w:pPr>
      <w:r>
        <w:rPr>
          <w:rFonts w:hint="eastAsia"/>
          <w:b/>
          <w:bCs/>
          <w:color w:val="auto"/>
          <w:sz w:val="24"/>
          <w:highlight w:val="none"/>
        </w:rPr>
        <w:br w:type="page"/>
      </w:r>
    </w:p>
    <w:p>
      <w:pPr>
        <w:keepNext w:val="0"/>
        <w:keepLines w:val="0"/>
        <w:pageBreakBefore w:val="0"/>
        <w:widowControl w:val="0"/>
        <w:kinsoku/>
        <w:wordWrap/>
        <w:overflowPunct/>
        <w:topLinePunct w:val="0"/>
        <w:autoSpaceDE/>
        <w:autoSpaceDN/>
        <w:bidi w:val="0"/>
        <w:adjustRightInd/>
        <w:snapToGrid w:val="0"/>
        <w:spacing w:after="161" w:afterLines="50" w:line="240" w:lineRule="auto"/>
        <w:jc w:val="center"/>
        <w:textAlignment w:val="auto"/>
        <w:outlineLvl w:val="0"/>
        <w:rPr>
          <w:rFonts w:ascii="宋体" w:hAnsi="宋体"/>
          <w:b/>
          <w:color w:val="auto"/>
          <w:sz w:val="32"/>
          <w:szCs w:val="32"/>
          <w:highlight w:val="none"/>
        </w:rPr>
      </w:pPr>
      <w:bookmarkStart w:id="34" w:name="_Toc25063"/>
      <w:bookmarkStart w:id="35" w:name="_Toc23793"/>
      <w:bookmarkStart w:id="36" w:name="_Toc29890"/>
      <w:r>
        <w:rPr>
          <w:rFonts w:hint="eastAsia" w:ascii="宋体" w:hAnsi="宋体"/>
          <w:b/>
          <w:color w:val="auto"/>
          <w:sz w:val="32"/>
          <w:szCs w:val="32"/>
          <w:highlight w:val="none"/>
        </w:rPr>
        <w:t xml:space="preserve">第二章  </w:t>
      </w:r>
      <w:r>
        <w:rPr>
          <w:rFonts w:hint="eastAsia" w:ascii="宋体" w:hAnsi="宋体"/>
          <w:b/>
          <w:color w:val="auto"/>
          <w:sz w:val="32"/>
          <w:szCs w:val="32"/>
          <w:highlight w:val="none"/>
          <w:lang w:eastAsia="zh-CN"/>
        </w:rPr>
        <w:t>采购</w:t>
      </w:r>
      <w:r>
        <w:rPr>
          <w:rFonts w:hint="eastAsia" w:ascii="宋体" w:hAnsi="宋体"/>
          <w:b/>
          <w:color w:val="auto"/>
          <w:sz w:val="32"/>
          <w:szCs w:val="32"/>
          <w:highlight w:val="none"/>
        </w:rPr>
        <w:t>需求</w:t>
      </w:r>
      <w:bookmarkEnd w:id="34"/>
      <w:bookmarkStart w:id="37" w:name="_Toc31536"/>
      <w:bookmarkStart w:id="38" w:name="_Toc9989"/>
      <w:bookmarkStart w:id="39" w:name="_Toc23610"/>
    </w:p>
    <w:bookmarkEnd w:id="37"/>
    <w:bookmarkEnd w:id="38"/>
    <w:bookmarkEnd w:id="39"/>
    <w:p>
      <w:pPr>
        <w:widowControl/>
        <w:adjustRightInd w:val="0"/>
        <w:snapToGrid w:val="0"/>
        <w:spacing w:line="360"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项目名称：</w:t>
      </w:r>
      <w:r>
        <w:rPr>
          <w:rFonts w:hint="eastAsia" w:ascii="宋体" w:hAnsi="宋体" w:eastAsia="宋体" w:cs="宋体"/>
          <w:color w:val="auto"/>
          <w:szCs w:val="21"/>
          <w:highlight w:val="none"/>
        </w:rPr>
        <w:t xml:space="preserve"> </w:t>
      </w:r>
      <w:r>
        <w:rPr>
          <w:rFonts w:hint="eastAsia" w:ascii="宋体" w:hAnsi="宋体" w:cs="宋体"/>
          <w:color w:val="auto"/>
          <w:lang w:eastAsia="zh-CN"/>
        </w:rPr>
        <w:t>驻马店市中心医院新生儿经鼻高流量呼吸湿化治疗仪采购项目</w:t>
      </w:r>
      <w:r>
        <w:rPr>
          <w:rFonts w:hint="eastAsia" w:ascii="宋体" w:hAnsi="宋体" w:eastAsia="宋体" w:cs="宋体"/>
          <w:color w:val="auto"/>
          <w:szCs w:val="21"/>
          <w:highlight w:val="none"/>
          <w:shd w:val="clear" w:color="auto" w:fill="FFFFFF"/>
          <w:lang w:eastAsia="zh-CN"/>
        </w:rPr>
        <w:t>；</w:t>
      </w:r>
      <w:r>
        <w:rPr>
          <w:rFonts w:hint="eastAsia" w:ascii="宋体" w:hAnsi="宋体" w:eastAsia="宋体" w:cs="宋体"/>
          <w:color w:val="auto"/>
          <w:kern w:val="2"/>
          <w:sz w:val="21"/>
          <w:szCs w:val="21"/>
          <w:highlight w:val="none"/>
          <w:lang w:val="en-US" w:eastAsia="zh-CN" w:bidi="ar-SA"/>
        </w:rPr>
        <w:t xml:space="preserve">                                                         </w:t>
      </w:r>
    </w:p>
    <w:tbl>
      <w:tblPr>
        <w:tblStyle w:val="3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1"/>
        <w:gridCol w:w="2718"/>
        <w:gridCol w:w="1736"/>
        <w:gridCol w:w="1473"/>
        <w:gridCol w:w="1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1" w:hRule="atLeast"/>
        </w:trPr>
        <w:tc>
          <w:tcPr>
            <w:tcW w:w="1041" w:type="dxa"/>
            <w:tcBorders>
              <w:top w:val="single" w:color="auto" w:sz="4" w:space="0"/>
              <w:left w:val="single" w:color="auto" w:sz="4" w:space="0"/>
              <w:bottom w:val="single" w:color="auto" w:sz="4" w:space="0"/>
              <w:right w:val="single" w:color="auto" w:sz="4" w:space="0"/>
            </w:tcBorders>
            <w:vAlign w:val="center"/>
          </w:tcPr>
          <w:p>
            <w:pPr>
              <w:pStyle w:val="13"/>
              <w:ind w:left="0" w:leftChars="0"/>
              <w:jc w:val="center"/>
              <w:rPr>
                <w:rFonts w:hint="default" w:ascii="宋体" w:hAnsi="宋体" w:eastAsia="宋体" w:cs="宋体"/>
                <w:b/>
                <w:bCs/>
                <w:color w:val="auto"/>
                <w:sz w:val="21"/>
                <w:szCs w:val="21"/>
                <w:lang w:val="en-US" w:eastAsia="zh-CN"/>
              </w:rPr>
            </w:pPr>
            <w:r>
              <w:rPr>
                <w:rFonts w:hint="eastAsia" w:cs="宋体"/>
                <w:b/>
                <w:bCs/>
                <w:color w:val="auto"/>
                <w:sz w:val="21"/>
                <w:szCs w:val="21"/>
                <w:lang w:val="en-US" w:eastAsia="zh-CN"/>
              </w:rPr>
              <w:t>序号</w:t>
            </w:r>
          </w:p>
        </w:tc>
        <w:tc>
          <w:tcPr>
            <w:tcW w:w="2718" w:type="dxa"/>
            <w:tcBorders>
              <w:top w:val="single" w:color="auto" w:sz="4" w:space="0"/>
              <w:left w:val="nil"/>
              <w:bottom w:val="single" w:color="auto" w:sz="4" w:space="0"/>
              <w:right w:val="single" w:color="auto" w:sz="4" w:space="0"/>
            </w:tcBorders>
            <w:vAlign w:val="center"/>
          </w:tcPr>
          <w:p>
            <w:pPr>
              <w:pStyle w:val="13"/>
              <w:ind w:left="0" w:leftChars="0"/>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项目名称</w:t>
            </w:r>
          </w:p>
        </w:tc>
        <w:tc>
          <w:tcPr>
            <w:tcW w:w="1736" w:type="dxa"/>
            <w:tcBorders>
              <w:top w:val="single" w:color="auto" w:sz="4" w:space="0"/>
              <w:left w:val="nil"/>
              <w:bottom w:val="single" w:color="auto" w:sz="4" w:space="0"/>
              <w:right w:val="single" w:color="auto" w:sz="4" w:space="0"/>
            </w:tcBorders>
            <w:vAlign w:val="center"/>
          </w:tcPr>
          <w:p>
            <w:pPr>
              <w:pStyle w:val="13"/>
              <w:ind w:left="0" w:leftChars="0"/>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数量或规模</w:t>
            </w:r>
          </w:p>
        </w:tc>
        <w:tc>
          <w:tcPr>
            <w:tcW w:w="1473" w:type="dxa"/>
            <w:tcBorders>
              <w:top w:val="single" w:color="auto" w:sz="4" w:space="0"/>
              <w:left w:val="nil"/>
              <w:bottom w:val="single" w:color="auto" w:sz="4" w:space="0"/>
              <w:right w:val="single" w:color="auto" w:sz="4" w:space="0"/>
            </w:tcBorders>
            <w:vAlign w:val="center"/>
          </w:tcPr>
          <w:p>
            <w:pPr>
              <w:pStyle w:val="13"/>
              <w:ind w:left="0" w:leftChars="0"/>
              <w:jc w:val="center"/>
              <w:rPr>
                <w:rFonts w:hint="eastAsia" w:ascii="宋体" w:hAnsi="宋体" w:eastAsia="宋体" w:cs="宋体"/>
                <w:b/>
                <w:bCs/>
                <w:color w:val="auto"/>
                <w:sz w:val="21"/>
                <w:szCs w:val="21"/>
                <w:lang w:eastAsia="zh-CN"/>
              </w:rPr>
            </w:pPr>
            <w:r>
              <w:rPr>
                <w:rFonts w:hint="eastAsia" w:ascii="宋体" w:hAnsi="宋体" w:eastAsia="宋体" w:cs="宋体"/>
                <w:b/>
                <w:bCs/>
                <w:color w:val="auto"/>
                <w:sz w:val="21"/>
                <w:szCs w:val="21"/>
              </w:rPr>
              <w:t>资金预算</w:t>
            </w:r>
            <w:r>
              <w:rPr>
                <w:rFonts w:hint="eastAsia" w:ascii="宋体" w:hAnsi="宋体" w:eastAsia="宋体" w:cs="宋体"/>
                <w:b/>
                <w:bCs/>
                <w:color w:val="auto"/>
                <w:sz w:val="21"/>
                <w:szCs w:val="21"/>
                <w:lang w:eastAsia="zh-CN"/>
              </w:rPr>
              <w:t>（元）</w:t>
            </w:r>
          </w:p>
        </w:tc>
        <w:tc>
          <w:tcPr>
            <w:tcW w:w="1554" w:type="dxa"/>
            <w:tcBorders>
              <w:top w:val="single" w:color="auto" w:sz="4" w:space="0"/>
              <w:left w:val="nil"/>
              <w:bottom w:val="single" w:color="auto" w:sz="4" w:space="0"/>
              <w:right w:val="single" w:color="auto" w:sz="4" w:space="0"/>
            </w:tcBorders>
            <w:vAlign w:val="center"/>
          </w:tcPr>
          <w:p>
            <w:pPr>
              <w:pStyle w:val="13"/>
              <w:ind w:left="0" w:leftChars="0"/>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资金来源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041" w:type="dxa"/>
            <w:tcBorders>
              <w:top w:val="single" w:color="auto" w:sz="4" w:space="0"/>
              <w:left w:val="single" w:color="auto" w:sz="4" w:space="0"/>
              <w:bottom w:val="single" w:color="auto" w:sz="4" w:space="0"/>
              <w:right w:val="single" w:color="auto" w:sz="4" w:space="0"/>
            </w:tcBorders>
          </w:tcPr>
          <w:p>
            <w:pPr>
              <w:pStyle w:val="13"/>
              <w:jc w:val="center"/>
              <w:rPr>
                <w:rFonts w:hint="default" w:ascii="宋体" w:hAnsi="宋体" w:eastAsia="宋体" w:cs="宋体"/>
                <w:color w:val="auto"/>
                <w:sz w:val="21"/>
                <w:szCs w:val="21"/>
                <w:lang w:val="en-US" w:eastAsia="zh-CN"/>
              </w:rPr>
            </w:pPr>
            <w:r>
              <w:rPr>
                <w:rFonts w:hint="eastAsia" w:cs="宋体"/>
                <w:color w:val="auto"/>
                <w:sz w:val="21"/>
                <w:szCs w:val="21"/>
                <w:lang w:val="en-US" w:eastAsia="zh-CN"/>
              </w:rPr>
              <w:t>1</w:t>
            </w:r>
          </w:p>
        </w:tc>
        <w:tc>
          <w:tcPr>
            <w:tcW w:w="2718" w:type="dxa"/>
            <w:tcBorders>
              <w:top w:val="single" w:color="auto" w:sz="4" w:space="0"/>
              <w:left w:val="nil"/>
              <w:bottom w:val="single" w:color="auto" w:sz="4" w:space="0"/>
              <w:right w:val="single" w:color="auto" w:sz="4" w:space="0"/>
            </w:tcBorders>
            <w:vAlign w:val="top"/>
          </w:tcPr>
          <w:p>
            <w:pPr>
              <w:pStyle w:val="13"/>
              <w:jc w:val="center"/>
              <w:rPr>
                <w:rFonts w:hint="eastAsia" w:cs="宋体"/>
                <w:color w:val="auto"/>
                <w:sz w:val="21"/>
                <w:szCs w:val="21"/>
                <w:lang w:val="en-US" w:eastAsia="zh-CN"/>
              </w:rPr>
            </w:pPr>
            <w:r>
              <w:rPr>
                <w:rFonts w:hint="eastAsia" w:cs="宋体"/>
                <w:color w:val="auto"/>
                <w:sz w:val="21"/>
                <w:szCs w:val="21"/>
                <w:lang w:val="en-US" w:eastAsia="zh-CN"/>
              </w:rPr>
              <w:t>新生儿经鼻高流量呼吸湿化治疗仪</w:t>
            </w:r>
          </w:p>
        </w:tc>
        <w:tc>
          <w:tcPr>
            <w:tcW w:w="1736" w:type="dxa"/>
            <w:tcBorders>
              <w:top w:val="single" w:color="auto" w:sz="4" w:space="0"/>
              <w:left w:val="nil"/>
              <w:bottom w:val="single" w:color="auto" w:sz="4" w:space="0"/>
              <w:right w:val="single" w:color="auto" w:sz="4" w:space="0"/>
            </w:tcBorders>
            <w:vAlign w:val="top"/>
          </w:tcPr>
          <w:p>
            <w:pPr>
              <w:pStyle w:val="13"/>
              <w:jc w:val="center"/>
              <w:rPr>
                <w:rFonts w:hint="eastAsia" w:cs="宋体"/>
                <w:color w:val="auto"/>
                <w:sz w:val="21"/>
                <w:szCs w:val="21"/>
                <w:lang w:val="en-US" w:eastAsia="zh-CN"/>
              </w:rPr>
            </w:pPr>
            <w:r>
              <w:rPr>
                <w:rFonts w:hint="eastAsia" w:cs="宋体"/>
                <w:color w:val="auto"/>
                <w:sz w:val="21"/>
                <w:szCs w:val="21"/>
                <w:lang w:val="en-US" w:eastAsia="zh-CN"/>
              </w:rPr>
              <w:t>5</w:t>
            </w:r>
          </w:p>
        </w:tc>
        <w:tc>
          <w:tcPr>
            <w:tcW w:w="1473" w:type="dxa"/>
            <w:tcBorders>
              <w:top w:val="single" w:color="auto" w:sz="4" w:space="0"/>
              <w:left w:val="nil"/>
              <w:bottom w:val="single" w:color="auto" w:sz="4" w:space="0"/>
              <w:right w:val="single" w:color="auto" w:sz="4" w:space="0"/>
            </w:tcBorders>
            <w:vAlign w:val="top"/>
          </w:tcPr>
          <w:p>
            <w:pPr>
              <w:pStyle w:val="13"/>
              <w:jc w:val="center"/>
              <w:rPr>
                <w:rFonts w:hint="default" w:cs="宋体"/>
                <w:color w:val="auto"/>
                <w:sz w:val="21"/>
                <w:szCs w:val="21"/>
                <w:lang w:val="en-US" w:eastAsia="zh-CN"/>
              </w:rPr>
            </w:pPr>
            <w:r>
              <w:rPr>
                <w:rFonts w:hint="eastAsia" w:cs="宋体"/>
                <w:color w:val="auto"/>
                <w:sz w:val="21"/>
                <w:szCs w:val="21"/>
                <w:lang w:val="en-US" w:eastAsia="zh-CN"/>
              </w:rPr>
              <w:t>27.5</w:t>
            </w:r>
          </w:p>
        </w:tc>
        <w:tc>
          <w:tcPr>
            <w:tcW w:w="1554" w:type="dxa"/>
            <w:tcBorders>
              <w:top w:val="single" w:color="auto" w:sz="4" w:space="0"/>
              <w:left w:val="nil"/>
              <w:bottom w:val="single" w:color="auto" w:sz="4" w:space="0"/>
              <w:right w:val="single" w:color="auto" w:sz="4" w:space="0"/>
            </w:tcBorders>
            <w:vAlign w:val="top"/>
          </w:tcPr>
          <w:p>
            <w:pPr>
              <w:pStyle w:val="13"/>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自筹</w:t>
            </w:r>
          </w:p>
        </w:tc>
      </w:tr>
    </w:tbl>
    <w:p>
      <w:pPr>
        <w:pStyle w:val="13"/>
        <w:numPr>
          <w:ilvl w:val="0"/>
          <w:numId w:val="0"/>
        </w:numPr>
        <w:spacing w:after="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二、详细技术要求、参数及产品资料等：</w:t>
      </w:r>
    </w:p>
    <w:p>
      <w:pPr>
        <w:pStyle w:val="13"/>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 xml:space="preserve"> 1、提供响应技术参数条款的注册检验报告或相关资料（完整版）</w:t>
      </w:r>
      <w:bookmarkStart w:id="40" w:name="_Toc258360231"/>
      <w:bookmarkStart w:id="41" w:name="_Toc258333709"/>
      <w:bookmarkStart w:id="42" w:name="_Toc261708924"/>
      <w:bookmarkStart w:id="43" w:name="_Toc258354219"/>
      <w:bookmarkStart w:id="44" w:name="_Toc258360342"/>
      <w:r>
        <w:rPr>
          <w:rFonts w:hint="eastAsia" w:ascii="宋体" w:hAnsi="宋体" w:eastAsia="宋体" w:cs="宋体"/>
          <w:color w:val="auto"/>
          <w:kern w:val="2"/>
          <w:sz w:val="21"/>
          <w:szCs w:val="21"/>
          <w:highlight w:val="none"/>
          <w:lang w:val="en-US" w:eastAsia="zh-CN" w:bidi="ar-SA"/>
        </w:rPr>
        <w:t>，并对响应技术参数部分做出明显标注</w:t>
      </w:r>
      <w:bookmarkEnd w:id="40"/>
      <w:bookmarkEnd w:id="41"/>
      <w:bookmarkEnd w:id="42"/>
      <w:bookmarkEnd w:id="43"/>
      <w:bookmarkEnd w:id="44"/>
      <w:r>
        <w:rPr>
          <w:rFonts w:hint="eastAsia" w:ascii="宋体" w:hAnsi="宋体" w:eastAsia="宋体" w:cs="宋体"/>
          <w:color w:val="auto"/>
          <w:kern w:val="2"/>
          <w:sz w:val="21"/>
          <w:szCs w:val="21"/>
          <w:highlight w:val="none"/>
          <w:lang w:val="en-US" w:eastAsia="zh-CN" w:bidi="ar-SA"/>
        </w:rPr>
        <w:t>；</w:t>
      </w:r>
      <w:bookmarkStart w:id="45" w:name="_Toc349642342"/>
      <w:bookmarkStart w:id="46" w:name="_Toc476419058"/>
      <w:bookmarkStart w:id="47" w:name="_Toc30861"/>
      <w:bookmarkStart w:id="48" w:name="_Toc476420855"/>
      <w:bookmarkStart w:id="49" w:name="_Toc3739"/>
      <w:bookmarkStart w:id="50" w:name="_Toc8282"/>
      <w:bookmarkStart w:id="51" w:name="_Toc337554821"/>
      <w:r>
        <w:rPr>
          <w:rFonts w:hint="eastAsia" w:ascii="宋体" w:hAnsi="宋体" w:eastAsia="宋体" w:cs="宋体"/>
          <w:color w:val="auto"/>
          <w:kern w:val="2"/>
          <w:sz w:val="21"/>
          <w:szCs w:val="21"/>
          <w:highlight w:val="none"/>
          <w:lang w:val="en-US" w:eastAsia="zh-CN" w:bidi="ar-SA"/>
        </w:rPr>
        <w:t>2、需提供响应技术参数条款的技术白皮书和彩页等相关文件，并对响应技术参数部分做出明显标注</w:t>
      </w:r>
      <w:bookmarkEnd w:id="45"/>
      <w:bookmarkEnd w:id="46"/>
      <w:bookmarkEnd w:id="47"/>
      <w:bookmarkEnd w:id="48"/>
      <w:bookmarkEnd w:id="49"/>
      <w:bookmarkEnd w:id="50"/>
      <w:bookmarkEnd w:id="51"/>
      <w:r>
        <w:rPr>
          <w:rFonts w:hint="eastAsia" w:ascii="宋体" w:hAnsi="宋体" w:eastAsia="宋体" w:cs="宋体"/>
          <w:color w:val="auto"/>
          <w:kern w:val="2"/>
          <w:sz w:val="21"/>
          <w:szCs w:val="21"/>
          <w:highlight w:val="none"/>
          <w:lang w:val="en-US" w:eastAsia="zh-CN" w:bidi="ar-SA"/>
        </w:rPr>
        <w:t>；3、注册证中有附件的提供完整版的附件</w:t>
      </w:r>
      <w:r>
        <w:rPr>
          <w:rFonts w:hint="eastAsia" w:cs="宋体"/>
          <w:color w:val="auto"/>
          <w:kern w:val="2"/>
          <w:sz w:val="21"/>
          <w:szCs w:val="21"/>
          <w:highlight w:val="none"/>
          <w:lang w:val="en-US" w:eastAsia="zh-CN" w:bidi="ar-SA"/>
        </w:rPr>
        <w:t xml:space="preserve">   4、</w:t>
      </w:r>
      <w:r>
        <w:rPr>
          <w:rFonts w:hint="eastAsia" w:ascii="宋体" w:hAnsi="宋体" w:eastAsia="宋体" w:cs="宋体"/>
          <w:color w:val="auto"/>
          <w:kern w:val="2"/>
          <w:sz w:val="21"/>
          <w:szCs w:val="21"/>
          <w:highlight w:val="none"/>
          <w:lang w:val="en-US" w:eastAsia="zh-CN" w:bidi="ar-SA"/>
        </w:rPr>
        <w:t xml:space="preserve"> 附技术偏离表、评分标准                                                        </w:t>
      </w:r>
    </w:p>
    <w:p>
      <w:pPr>
        <w:pStyle w:val="13"/>
        <w:numPr>
          <w:ilvl w:val="0"/>
          <w:numId w:val="0"/>
        </w:numPr>
        <w:spacing w:after="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三、售后服务条件及交货日期（或工期）：</w:t>
      </w:r>
    </w:p>
    <w:p>
      <w:pP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 xml:space="preserve"> 1、从产品最终验收合格之日起，整机保修≥两年，出具相关服务承诺书。2、费用：在保修期内，由于非人为因素货物故障所产生的费用由供应商负责。3、响应：供应商应保证在12小时内对用户提出的问题或故障予以响应及处理。4、供应商应免费提供维护手册、维修手册、软件备份、故障代码表、备件清单、零部件、维修密码等维护维修必需的材料和信息。5、培训：免费提供操作培训和维修培训。</w:t>
      </w:r>
    </w:p>
    <w:p>
      <w:pPr>
        <w:snapToGrid/>
        <w:spacing w:before="0" w:beforeAutospacing="0" w:after="0" w:afterAutospacing="0" w:line="360" w:lineRule="auto"/>
        <w:jc w:val="center"/>
        <w:textAlignment w:val="baseline"/>
        <w:rPr>
          <w:rStyle w:val="84"/>
          <w:rFonts w:ascii="Times New Roman" w:hAnsi="Times New Roman" w:eastAsia="宋体"/>
          <w:b/>
          <w:i w:val="0"/>
          <w:caps w:val="0"/>
          <w:spacing w:val="0"/>
          <w:w w:val="100"/>
          <w:kern w:val="2"/>
          <w:sz w:val="36"/>
          <w:szCs w:val="36"/>
          <w:lang w:val="en-US" w:eastAsia="zh-CN" w:bidi="ar-SA"/>
        </w:rPr>
      </w:pPr>
      <w:r>
        <w:rPr>
          <w:rFonts w:hint="eastAsia" w:ascii="宋体" w:hAnsi="宋体" w:eastAsia="宋体" w:cs="宋体"/>
          <w:color w:val="auto"/>
          <w:kern w:val="2"/>
          <w:sz w:val="21"/>
          <w:szCs w:val="24"/>
          <w:lang w:val="en-US" w:eastAsia="zh-CN" w:bidi="ar-SA"/>
        </w:rPr>
        <w:br w:type="page"/>
      </w:r>
      <w:r>
        <w:rPr>
          <w:rStyle w:val="84"/>
          <w:rFonts w:ascii="Times New Roman" w:hAnsi="Times New Roman" w:eastAsia="宋体"/>
          <w:b/>
          <w:i w:val="0"/>
          <w:caps w:val="0"/>
          <w:spacing w:val="0"/>
          <w:w w:val="100"/>
          <w:kern w:val="2"/>
          <w:sz w:val="36"/>
          <w:szCs w:val="36"/>
          <w:lang w:val="en-US" w:eastAsia="zh-CN" w:bidi="ar-SA"/>
        </w:rPr>
        <w:t>新生儿经鼻高流量呼吸湿化治疗仪技术参数</w:t>
      </w:r>
    </w:p>
    <w:p>
      <w:pPr>
        <w:snapToGrid/>
        <w:spacing w:before="0" w:beforeAutospacing="0" w:after="0" w:afterAutospacing="0" w:line="360" w:lineRule="auto"/>
        <w:jc w:val="both"/>
        <w:textAlignment w:val="baseline"/>
        <w:rPr>
          <w:rFonts w:ascii="宋体" w:hAnsi="宋体" w:cs="Arial"/>
          <w:b w:val="0"/>
          <w:i w:val="0"/>
          <w:caps w:val="0"/>
          <w:spacing w:val="0"/>
          <w:w w:val="100"/>
          <w:sz w:val="24"/>
        </w:rPr>
      </w:pPr>
    </w:p>
    <w:p>
      <w:pPr>
        <w:snapToGrid/>
        <w:spacing w:before="0" w:beforeAutospacing="0" w:after="0" w:afterAutospacing="0" w:line="360" w:lineRule="auto"/>
        <w:jc w:val="both"/>
        <w:textAlignment w:val="baseline"/>
        <w:rPr>
          <w:rFonts w:ascii="宋体" w:hAnsi="宋体" w:cs="Arial"/>
          <w:b w:val="0"/>
          <w:i w:val="0"/>
          <w:caps w:val="0"/>
          <w:spacing w:val="0"/>
          <w:w w:val="100"/>
          <w:sz w:val="24"/>
        </w:rPr>
      </w:pPr>
      <w:r>
        <w:rPr>
          <w:rFonts w:ascii="宋体" w:hAnsi="宋体" w:cs="Arial"/>
          <w:b w:val="0"/>
          <w:i w:val="0"/>
          <w:caps w:val="0"/>
          <w:spacing w:val="0"/>
          <w:w w:val="100"/>
          <w:sz w:val="24"/>
        </w:rPr>
        <w:t xml:space="preserve">  </w:t>
      </w:r>
      <w:r>
        <w:rPr>
          <w:rStyle w:val="84"/>
          <w:rFonts w:ascii="宋体" w:hAnsi="宋体" w:cs="Arial"/>
          <w:b w:val="0"/>
          <w:bCs/>
          <w:i w:val="0"/>
          <w:iCs/>
          <w:caps w:val="0"/>
          <w:spacing w:val="0"/>
          <w:w w:val="100"/>
          <w:kern w:val="2"/>
          <w:sz w:val="24"/>
          <w:szCs w:val="24"/>
          <w:lang w:val="en-US" w:eastAsia="zh-CN" w:bidi="ar-SA"/>
        </w:rPr>
        <w:t>一、  呼吸湿化系统主要性能指标：</w:t>
      </w:r>
    </w:p>
    <w:p>
      <w:pPr>
        <w:snapToGrid/>
        <w:spacing w:before="0" w:beforeAutospacing="0" w:after="0" w:afterAutospacing="0" w:line="360" w:lineRule="auto"/>
        <w:jc w:val="both"/>
        <w:textAlignment w:val="baseline"/>
        <w:rPr>
          <w:rStyle w:val="84"/>
          <w:rFonts w:ascii="宋体" w:hAnsi="宋体" w:cs="Arial"/>
          <w:b w:val="0"/>
          <w:bCs/>
          <w:i w:val="0"/>
          <w:iCs/>
          <w:caps w:val="0"/>
          <w:spacing w:val="0"/>
          <w:w w:val="100"/>
          <w:kern w:val="2"/>
          <w:sz w:val="24"/>
          <w:szCs w:val="24"/>
          <w:lang w:val="en-US" w:eastAsia="zh-CN" w:bidi="ar-SA"/>
        </w:rPr>
      </w:pPr>
      <w:r>
        <w:rPr>
          <w:rStyle w:val="84"/>
          <w:rFonts w:ascii="宋体" w:hAnsi="宋体" w:cs="Arial"/>
          <w:b w:val="0"/>
          <w:bCs/>
          <w:i w:val="0"/>
          <w:iCs/>
          <w:caps w:val="0"/>
          <w:spacing w:val="0"/>
          <w:w w:val="100"/>
          <w:kern w:val="2"/>
          <w:sz w:val="24"/>
          <w:szCs w:val="24"/>
          <w:lang w:val="en-US" w:eastAsia="zh-CN" w:bidi="ar-SA"/>
        </w:rPr>
        <w:t xml:space="preserve">   *1、 原装进口</w:t>
      </w:r>
    </w:p>
    <w:p>
      <w:pPr>
        <w:snapToGrid/>
        <w:spacing w:before="0" w:beforeAutospacing="0" w:after="0" w:afterAutospacing="0" w:line="360" w:lineRule="auto"/>
        <w:ind w:firstLine="240" w:firstLineChars="100"/>
        <w:jc w:val="both"/>
        <w:textAlignment w:val="baseline"/>
        <w:rPr>
          <w:rStyle w:val="84"/>
          <w:rFonts w:ascii="宋体" w:hAnsi="宋体" w:cs="Arial"/>
          <w:b w:val="0"/>
          <w:bCs/>
          <w:i w:val="0"/>
          <w:iCs/>
          <w:caps w:val="0"/>
          <w:spacing w:val="0"/>
          <w:w w:val="100"/>
          <w:kern w:val="2"/>
          <w:sz w:val="24"/>
          <w:szCs w:val="24"/>
          <w:lang w:val="en-US" w:eastAsia="zh-CN" w:bidi="ar-SA"/>
        </w:rPr>
      </w:pPr>
      <w:r>
        <w:rPr>
          <w:rStyle w:val="84"/>
          <w:rFonts w:ascii="宋体" w:hAnsi="宋体" w:cs="Arial"/>
          <w:b w:val="0"/>
          <w:bCs/>
          <w:i w:val="0"/>
          <w:iCs/>
          <w:caps w:val="0"/>
          <w:spacing w:val="0"/>
          <w:w w:val="100"/>
          <w:kern w:val="2"/>
          <w:sz w:val="24"/>
          <w:szCs w:val="24"/>
          <w:lang w:val="en-US" w:eastAsia="zh-CN" w:bidi="ar-SA"/>
        </w:rPr>
        <w:t>*2、温度控制范围   有创模式  水罐出气口：35.5~42℃ 气道端：35~40℃</w:t>
      </w:r>
    </w:p>
    <w:p>
      <w:pPr>
        <w:snapToGrid/>
        <w:spacing w:before="0" w:beforeAutospacing="0" w:after="0" w:afterAutospacing="0" w:line="360" w:lineRule="auto"/>
        <w:ind w:firstLine="240" w:firstLineChars="100"/>
        <w:jc w:val="both"/>
        <w:textAlignment w:val="baseline"/>
        <w:rPr>
          <w:rStyle w:val="84"/>
          <w:rFonts w:ascii="宋体" w:hAnsi="宋体" w:cs="Arial"/>
          <w:b w:val="0"/>
          <w:bCs/>
          <w:i w:val="0"/>
          <w:iCs/>
          <w:caps w:val="0"/>
          <w:spacing w:val="0"/>
          <w:w w:val="100"/>
          <w:kern w:val="2"/>
          <w:sz w:val="24"/>
          <w:szCs w:val="24"/>
          <w:lang w:val="en-US" w:eastAsia="zh-CN" w:bidi="ar-SA"/>
        </w:rPr>
      </w:pPr>
      <w:r>
        <w:rPr>
          <w:rStyle w:val="84"/>
          <w:rFonts w:ascii="宋体" w:hAnsi="宋体" w:cs="Arial"/>
          <w:b w:val="0"/>
          <w:bCs/>
          <w:i w:val="0"/>
          <w:iCs/>
          <w:caps w:val="0"/>
          <w:spacing w:val="0"/>
          <w:w w:val="100"/>
          <w:kern w:val="2"/>
          <w:sz w:val="24"/>
          <w:szCs w:val="24"/>
          <w:lang w:val="en-US" w:eastAsia="zh-CN" w:bidi="ar-SA"/>
        </w:rPr>
        <w:t>*3、、无创模式  水罐出气口：31~36℃  气道端：28~34℃</w:t>
      </w:r>
    </w:p>
    <w:p>
      <w:pPr>
        <w:snapToGrid/>
        <w:spacing w:before="0" w:beforeAutospacing="0" w:after="0" w:afterAutospacing="0" w:line="360" w:lineRule="auto"/>
        <w:ind w:firstLine="240" w:firstLineChars="100"/>
        <w:jc w:val="both"/>
        <w:textAlignment w:val="baseline"/>
        <w:rPr>
          <w:rStyle w:val="84"/>
          <w:rFonts w:ascii="宋体" w:hAnsi="宋体" w:cs="Arial"/>
          <w:b w:val="0"/>
          <w:bCs/>
          <w:i w:val="0"/>
          <w:iCs/>
          <w:caps w:val="0"/>
          <w:spacing w:val="0"/>
          <w:w w:val="100"/>
          <w:kern w:val="2"/>
          <w:sz w:val="24"/>
          <w:szCs w:val="24"/>
          <w:lang w:val="en-US" w:eastAsia="zh-CN" w:bidi="ar-SA"/>
        </w:rPr>
      </w:pPr>
      <w:r>
        <w:rPr>
          <w:rStyle w:val="84"/>
          <w:rFonts w:ascii="宋体" w:hAnsi="宋体" w:cs="Arial"/>
          <w:b w:val="0"/>
          <w:bCs/>
          <w:i w:val="0"/>
          <w:iCs/>
          <w:caps w:val="0"/>
          <w:spacing w:val="0"/>
          <w:w w:val="100"/>
          <w:kern w:val="2"/>
          <w:sz w:val="24"/>
          <w:szCs w:val="24"/>
          <w:lang w:val="en-US" w:eastAsia="zh-CN" w:bidi="ar-SA"/>
        </w:rPr>
        <w:t xml:space="preserve"> 4、湿度性能       有创模式  &gt;33mg/l        无创模式   &gt;10mg/l</w:t>
      </w:r>
    </w:p>
    <w:p>
      <w:pPr>
        <w:snapToGrid/>
        <w:spacing w:before="0" w:beforeAutospacing="0" w:after="0" w:afterAutospacing="0" w:line="360" w:lineRule="auto"/>
        <w:ind w:firstLine="240" w:firstLineChars="100"/>
        <w:jc w:val="both"/>
        <w:textAlignment w:val="baseline"/>
        <w:rPr>
          <w:rStyle w:val="84"/>
          <w:rFonts w:ascii="宋体" w:hAnsi="宋体" w:cs="Arial"/>
          <w:b w:val="0"/>
          <w:bCs/>
          <w:i w:val="0"/>
          <w:iCs/>
          <w:caps w:val="0"/>
          <w:spacing w:val="0"/>
          <w:w w:val="100"/>
          <w:kern w:val="2"/>
          <w:sz w:val="24"/>
          <w:szCs w:val="24"/>
          <w:lang w:val="en-US" w:eastAsia="zh-CN" w:bidi="ar-SA"/>
        </w:rPr>
      </w:pPr>
      <w:r>
        <w:rPr>
          <w:rStyle w:val="84"/>
          <w:rFonts w:ascii="宋体" w:hAnsi="宋体" w:cs="Arial"/>
          <w:b w:val="0"/>
          <w:bCs/>
          <w:i w:val="0"/>
          <w:iCs/>
          <w:caps w:val="0"/>
          <w:spacing w:val="0"/>
          <w:w w:val="100"/>
          <w:kern w:val="2"/>
          <w:sz w:val="24"/>
          <w:szCs w:val="24"/>
          <w:lang w:val="en-US" w:eastAsia="zh-CN" w:bidi="ar-SA"/>
        </w:rPr>
        <w:t xml:space="preserve"> 5、建议流量范围   有创模式 可达60LPM     无创模式  可达120LPM</w:t>
      </w:r>
    </w:p>
    <w:p>
      <w:pPr>
        <w:snapToGrid/>
        <w:spacing w:before="0" w:beforeAutospacing="0" w:after="0" w:afterAutospacing="0" w:line="360" w:lineRule="auto"/>
        <w:ind w:firstLine="240" w:firstLineChars="100"/>
        <w:jc w:val="both"/>
        <w:textAlignment w:val="baseline"/>
        <w:rPr>
          <w:rStyle w:val="84"/>
          <w:rFonts w:ascii="宋体" w:hAnsi="宋体" w:cs="Arial"/>
          <w:b w:val="0"/>
          <w:bCs/>
          <w:i w:val="0"/>
          <w:iCs/>
          <w:caps w:val="0"/>
          <w:spacing w:val="0"/>
          <w:w w:val="100"/>
          <w:kern w:val="2"/>
          <w:sz w:val="24"/>
          <w:szCs w:val="24"/>
          <w:lang w:val="en-US" w:eastAsia="zh-CN" w:bidi="ar-SA"/>
        </w:rPr>
      </w:pPr>
      <w:r>
        <w:rPr>
          <w:rStyle w:val="84"/>
          <w:rFonts w:ascii="宋体" w:hAnsi="宋体" w:cs="Arial"/>
          <w:b w:val="0"/>
          <w:bCs/>
          <w:i w:val="0"/>
          <w:iCs/>
          <w:caps w:val="0"/>
          <w:spacing w:val="0"/>
          <w:w w:val="100"/>
          <w:kern w:val="2"/>
          <w:sz w:val="24"/>
          <w:szCs w:val="24"/>
          <w:lang w:val="en-US" w:eastAsia="zh-CN" w:bidi="ar-SA"/>
        </w:rPr>
        <w:t xml:space="preserve"> 6、建议工作环境温度范围      18~26℃</w:t>
      </w:r>
    </w:p>
    <w:p>
      <w:pPr>
        <w:snapToGrid/>
        <w:spacing w:before="0" w:beforeAutospacing="0" w:after="0" w:afterAutospacing="0" w:line="360" w:lineRule="auto"/>
        <w:jc w:val="both"/>
        <w:textAlignment w:val="baseline"/>
        <w:rPr>
          <w:rStyle w:val="84"/>
          <w:rFonts w:ascii="宋体" w:hAnsi="宋体" w:cs="Arial"/>
          <w:b w:val="0"/>
          <w:bCs/>
          <w:i w:val="0"/>
          <w:iCs/>
          <w:caps w:val="0"/>
          <w:spacing w:val="0"/>
          <w:w w:val="100"/>
          <w:kern w:val="2"/>
          <w:sz w:val="24"/>
          <w:szCs w:val="24"/>
          <w:lang w:val="en-US" w:eastAsia="zh-CN" w:bidi="ar-SA"/>
        </w:rPr>
      </w:pPr>
      <w:r>
        <w:rPr>
          <w:rStyle w:val="84"/>
          <w:rFonts w:ascii="宋体" w:hAnsi="宋体" w:cs="Arial"/>
          <w:b w:val="0"/>
          <w:bCs/>
          <w:i w:val="0"/>
          <w:iCs/>
          <w:caps w:val="0"/>
          <w:spacing w:val="0"/>
          <w:w w:val="100"/>
          <w:kern w:val="2"/>
          <w:sz w:val="24"/>
          <w:szCs w:val="24"/>
          <w:lang w:val="en-US" w:eastAsia="zh-CN" w:bidi="ar-SA"/>
        </w:rPr>
        <w:t>二、空气/氧气混合器</w:t>
      </w:r>
    </w:p>
    <w:p>
      <w:pPr>
        <w:snapToGrid/>
        <w:spacing w:before="0" w:beforeAutospacing="0" w:after="0" w:afterAutospacing="0" w:line="360" w:lineRule="auto"/>
        <w:ind w:firstLine="240" w:firstLineChars="100"/>
        <w:jc w:val="both"/>
        <w:textAlignment w:val="baseline"/>
        <w:rPr>
          <w:rStyle w:val="84"/>
          <w:rFonts w:ascii="Times New Roman" w:hAnsi="Times New Roman" w:eastAsia="宋体"/>
          <w:b w:val="0"/>
          <w:i w:val="0"/>
          <w:caps w:val="0"/>
          <w:spacing w:val="0"/>
          <w:w w:val="100"/>
          <w:kern w:val="2"/>
          <w:sz w:val="24"/>
          <w:szCs w:val="24"/>
          <w:lang w:val="en-US" w:eastAsia="zh-CN" w:bidi="ar-SA"/>
        </w:rPr>
      </w:pPr>
      <w:r>
        <w:rPr>
          <w:rStyle w:val="84"/>
          <w:rFonts w:ascii="Times New Roman" w:hAnsi="Times New Roman" w:eastAsia="宋体"/>
          <w:b w:val="0"/>
          <w:i w:val="0"/>
          <w:caps w:val="0"/>
          <w:spacing w:val="0"/>
          <w:w w:val="100"/>
          <w:kern w:val="2"/>
          <w:sz w:val="24"/>
          <w:szCs w:val="24"/>
          <w:lang w:val="en-US" w:eastAsia="zh-CN" w:bidi="ar-SA"/>
        </w:rPr>
        <w:t>1、氧浓度调节（FiO</w:t>
      </w:r>
      <w:r>
        <w:rPr>
          <w:rStyle w:val="84"/>
          <w:rFonts w:ascii="Times New Roman" w:hAnsi="Times New Roman" w:eastAsia="宋体"/>
          <w:b w:val="0"/>
          <w:i w:val="0"/>
          <w:caps w:val="0"/>
          <w:spacing w:val="0"/>
          <w:w w:val="100"/>
          <w:kern w:val="2"/>
          <w:sz w:val="24"/>
          <w:szCs w:val="24"/>
          <w:vertAlign w:val="subscript"/>
          <w:lang w:val="en-US" w:eastAsia="zh-CN" w:bidi="ar-SA"/>
        </w:rPr>
        <w:t>2</w:t>
      </w:r>
      <w:r>
        <w:rPr>
          <w:rStyle w:val="84"/>
          <w:rFonts w:ascii="Times New Roman" w:hAnsi="Times New Roman" w:eastAsia="宋体"/>
          <w:b w:val="0"/>
          <w:i w:val="0"/>
          <w:caps w:val="0"/>
          <w:spacing w:val="0"/>
          <w:w w:val="100"/>
          <w:kern w:val="2"/>
          <w:sz w:val="24"/>
          <w:szCs w:val="24"/>
          <w:lang w:val="en-US" w:eastAsia="zh-CN" w:bidi="ar-SA"/>
        </w:rPr>
        <w:t>）：21%-100%</w:t>
      </w:r>
    </w:p>
    <w:p>
      <w:pPr>
        <w:snapToGrid/>
        <w:spacing w:before="0" w:beforeAutospacing="0" w:after="0" w:afterAutospacing="0" w:line="360" w:lineRule="auto"/>
        <w:ind w:firstLine="240" w:firstLineChars="100"/>
        <w:jc w:val="both"/>
        <w:textAlignment w:val="baseline"/>
        <w:rPr>
          <w:rFonts w:ascii="Times New Roman" w:hAnsi="Times New Roman" w:eastAsia="宋体"/>
          <w:b w:val="0"/>
          <w:i w:val="0"/>
          <w:caps w:val="0"/>
          <w:spacing w:val="0"/>
          <w:w w:val="100"/>
          <w:sz w:val="24"/>
        </w:rPr>
      </w:pPr>
      <w:r>
        <w:rPr>
          <w:rStyle w:val="84"/>
          <w:rFonts w:ascii="Times New Roman" w:hAnsi="Times New Roman" w:eastAsia="宋体"/>
          <w:b w:val="0"/>
          <w:i w:val="0"/>
          <w:caps w:val="0"/>
          <w:spacing w:val="0"/>
          <w:w w:val="100"/>
          <w:kern w:val="2"/>
          <w:sz w:val="24"/>
          <w:szCs w:val="24"/>
          <w:lang w:val="en-US" w:eastAsia="zh-CN" w:bidi="ar-SA"/>
        </w:rPr>
        <w:t>2、输入气源压力提供：2.1--5.25 Kg/cm2（30-75Psig)</w:t>
      </w:r>
    </w:p>
    <w:p>
      <w:pPr>
        <w:snapToGrid/>
        <w:spacing w:before="0" w:beforeAutospacing="0" w:after="0" w:afterAutospacing="0" w:line="360" w:lineRule="auto"/>
        <w:ind w:firstLine="240" w:firstLineChars="100"/>
        <w:jc w:val="both"/>
        <w:textAlignment w:val="baseline"/>
        <w:rPr>
          <w:rStyle w:val="84"/>
          <w:rFonts w:ascii="Times New Roman" w:hAnsi="Times New Roman" w:eastAsia="宋体"/>
          <w:b w:val="0"/>
          <w:i w:val="0"/>
          <w:caps w:val="0"/>
          <w:spacing w:val="0"/>
          <w:w w:val="100"/>
          <w:kern w:val="2"/>
          <w:sz w:val="24"/>
          <w:szCs w:val="24"/>
          <w:lang w:val="en-US" w:eastAsia="zh-CN" w:bidi="ar-SA"/>
        </w:rPr>
      </w:pPr>
      <w:r>
        <w:rPr>
          <w:rStyle w:val="84"/>
          <w:rFonts w:ascii="Times New Roman" w:hAnsi="Times New Roman" w:eastAsia="宋体"/>
          <w:b w:val="0"/>
          <w:i w:val="0"/>
          <w:caps w:val="0"/>
          <w:spacing w:val="0"/>
          <w:w w:val="100"/>
          <w:kern w:val="2"/>
          <w:sz w:val="24"/>
          <w:szCs w:val="24"/>
          <w:lang w:val="en-US" w:eastAsia="zh-CN" w:bidi="ar-SA"/>
        </w:rPr>
        <w:t>*3、输出氧浓度精度：(±1%-±3%)</w:t>
      </w:r>
      <w:r>
        <w:rPr>
          <w:rStyle w:val="84"/>
          <w:rFonts w:ascii="宋体" w:hAnsi="宋体"/>
          <w:b w:val="0"/>
          <w:i w:val="0"/>
          <w:caps w:val="0"/>
          <w:spacing w:val="0"/>
          <w:w w:val="100"/>
          <w:kern w:val="2"/>
          <w:sz w:val="24"/>
          <w:szCs w:val="24"/>
          <w:lang w:val="en-US" w:eastAsia="zh-CN" w:bidi="ar-SA"/>
        </w:rPr>
        <w:t>进气口压差不超过1.19kg/</w:t>
      </w:r>
      <w:r>
        <w:rPr>
          <w:rStyle w:val="84"/>
          <w:rFonts w:ascii="Times New Roman" w:hAnsi="Times New Roman" w:eastAsia="宋体"/>
          <w:b w:val="0"/>
          <w:i w:val="0"/>
          <w:caps w:val="0"/>
          <w:spacing w:val="0"/>
          <w:w w:val="100"/>
          <w:kern w:val="2"/>
          <w:sz w:val="24"/>
          <w:szCs w:val="24"/>
          <w:lang w:val="en-US" w:eastAsia="zh-CN" w:bidi="ar-SA"/>
        </w:rPr>
        <w:t>cm</w:t>
      </w:r>
      <w:r>
        <w:rPr>
          <w:rStyle w:val="84"/>
          <w:rFonts w:ascii="Times New Roman" w:hAnsi="Times New Roman" w:eastAsia="宋体"/>
          <w:b w:val="0"/>
          <w:i w:val="0"/>
          <w:caps w:val="0"/>
          <w:spacing w:val="0"/>
          <w:w w:val="100"/>
          <w:kern w:val="2"/>
          <w:sz w:val="24"/>
          <w:szCs w:val="24"/>
          <w:vertAlign w:val="superscript"/>
          <w:lang w:val="en-US" w:eastAsia="zh-CN" w:bidi="ar-SA"/>
        </w:rPr>
        <w:t>2</w:t>
      </w:r>
      <w:r>
        <w:rPr>
          <w:rStyle w:val="84"/>
          <w:rFonts w:ascii="宋体" w:hAnsi="宋体"/>
          <w:b w:val="0"/>
          <w:i w:val="0"/>
          <w:caps w:val="0"/>
          <w:spacing w:val="0"/>
          <w:w w:val="100"/>
          <w:kern w:val="2"/>
          <w:sz w:val="24"/>
          <w:szCs w:val="24"/>
          <w:lang w:val="en-US" w:eastAsia="zh-CN" w:bidi="ar-SA"/>
        </w:rPr>
        <w:t>, 并且每种气体压力均高于</w:t>
      </w:r>
      <w:r>
        <w:rPr>
          <w:rStyle w:val="84"/>
          <w:rFonts w:ascii="Times New Roman" w:hAnsi="Times New Roman" w:eastAsia="宋体"/>
          <w:b w:val="0"/>
          <w:i w:val="0"/>
          <w:caps w:val="0"/>
          <w:spacing w:val="0"/>
          <w:w w:val="100"/>
          <w:kern w:val="2"/>
          <w:sz w:val="24"/>
          <w:szCs w:val="24"/>
          <w:lang w:val="en-US" w:eastAsia="zh-CN" w:bidi="ar-SA"/>
        </w:rPr>
        <w:t>2.1 Kg/cm</w:t>
      </w:r>
      <w:r>
        <w:rPr>
          <w:rStyle w:val="84"/>
          <w:rFonts w:ascii="Times New Roman" w:hAnsi="Times New Roman" w:eastAsia="宋体"/>
          <w:b w:val="0"/>
          <w:i w:val="0"/>
          <w:caps w:val="0"/>
          <w:spacing w:val="0"/>
          <w:w w:val="100"/>
          <w:kern w:val="2"/>
          <w:sz w:val="24"/>
          <w:szCs w:val="24"/>
          <w:vertAlign w:val="superscript"/>
          <w:lang w:val="en-US" w:eastAsia="zh-CN" w:bidi="ar-SA"/>
        </w:rPr>
        <w:t>2,</w:t>
      </w:r>
      <w:r>
        <w:rPr>
          <w:rStyle w:val="84"/>
          <w:rFonts w:ascii="宋体" w:hAnsi="宋体"/>
          <w:b w:val="0"/>
          <w:i w:val="0"/>
          <w:caps w:val="0"/>
          <w:spacing w:val="0"/>
          <w:w w:val="100"/>
          <w:kern w:val="2"/>
          <w:sz w:val="24"/>
          <w:szCs w:val="24"/>
          <w:lang w:val="en-US" w:eastAsia="zh-CN" w:bidi="ar-SA"/>
        </w:rPr>
        <w:t>但低于</w:t>
      </w:r>
      <w:r>
        <w:rPr>
          <w:rStyle w:val="84"/>
          <w:rFonts w:ascii="Times New Roman" w:hAnsi="Times New Roman" w:eastAsia="宋体"/>
          <w:b w:val="0"/>
          <w:i w:val="0"/>
          <w:caps w:val="0"/>
          <w:spacing w:val="0"/>
          <w:w w:val="100"/>
          <w:kern w:val="2"/>
          <w:sz w:val="24"/>
          <w:szCs w:val="24"/>
          <w:lang w:val="en-US" w:eastAsia="zh-CN" w:bidi="ar-SA"/>
        </w:rPr>
        <w:t>5.25 Kg/cm</w:t>
      </w:r>
      <w:r>
        <w:rPr>
          <w:rStyle w:val="84"/>
          <w:rFonts w:ascii="Times New Roman" w:hAnsi="Times New Roman" w:eastAsia="宋体"/>
          <w:b w:val="0"/>
          <w:i w:val="0"/>
          <w:caps w:val="0"/>
          <w:spacing w:val="0"/>
          <w:w w:val="100"/>
          <w:kern w:val="2"/>
          <w:sz w:val="24"/>
          <w:szCs w:val="24"/>
          <w:vertAlign w:val="superscript"/>
          <w:lang w:val="en-US" w:eastAsia="zh-CN" w:bidi="ar-SA"/>
        </w:rPr>
        <w:t>2</w:t>
      </w:r>
      <w:r>
        <w:rPr>
          <w:rStyle w:val="84"/>
          <w:rFonts w:ascii="Times New Roman" w:hAnsi="Times New Roman" w:eastAsia="宋体"/>
          <w:b w:val="0"/>
          <w:i w:val="0"/>
          <w:caps w:val="0"/>
          <w:spacing w:val="0"/>
          <w:w w:val="100"/>
          <w:kern w:val="2"/>
          <w:sz w:val="24"/>
          <w:szCs w:val="24"/>
          <w:lang w:val="en-US" w:eastAsia="zh-CN" w:bidi="ar-SA"/>
        </w:rPr>
        <w:t>时，氧浓度</w:t>
      </w:r>
      <w:r>
        <w:rPr>
          <w:rStyle w:val="84"/>
          <w:rFonts w:ascii="宋体" w:hAnsi="宋体"/>
          <w:b w:val="0"/>
          <w:i w:val="0"/>
          <w:caps w:val="0"/>
          <w:spacing w:val="0"/>
          <w:w w:val="100"/>
          <w:kern w:val="2"/>
          <w:sz w:val="24"/>
          <w:szCs w:val="24"/>
          <w:lang w:val="en-US" w:eastAsia="zh-CN" w:bidi="ar-SA"/>
        </w:rPr>
        <w:t>FiO2将保持恒定，误差在设定值±1%范围内，</w:t>
      </w:r>
    </w:p>
    <w:p>
      <w:pPr>
        <w:snapToGrid/>
        <w:spacing w:before="0" w:beforeAutospacing="0" w:after="0" w:afterAutospacing="0" w:line="360" w:lineRule="auto"/>
        <w:ind w:firstLine="240" w:firstLineChars="100"/>
        <w:jc w:val="both"/>
        <w:textAlignment w:val="baseline"/>
        <w:rPr>
          <w:rStyle w:val="84"/>
          <w:rFonts w:ascii="Times New Roman" w:hAnsi="Times New Roman" w:eastAsia="宋体"/>
          <w:b w:val="0"/>
          <w:i w:val="0"/>
          <w:caps w:val="0"/>
          <w:spacing w:val="0"/>
          <w:w w:val="100"/>
          <w:kern w:val="2"/>
          <w:sz w:val="24"/>
          <w:szCs w:val="24"/>
          <w:lang w:val="en-US" w:eastAsia="zh-CN" w:bidi="ar-SA"/>
        </w:rPr>
      </w:pPr>
      <w:r>
        <w:rPr>
          <w:rStyle w:val="84"/>
          <w:rFonts w:ascii="Times New Roman" w:hAnsi="Times New Roman" w:eastAsia="宋体"/>
          <w:b w:val="0"/>
          <w:i w:val="0"/>
          <w:caps w:val="0"/>
          <w:spacing w:val="0"/>
          <w:w w:val="100"/>
          <w:kern w:val="2"/>
          <w:sz w:val="24"/>
          <w:szCs w:val="24"/>
          <w:lang w:val="en-US" w:eastAsia="zh-CN" w:bidi="ar-SA"/>
        </w:rPr>
        <w:t>*4、输出流量稳定性：±1%</w:t>
      </w:r>
      <w:r>
        <w:rPr>
          <w:rStyle w:val="84"/>
          <w:rFonts w:ascii="宋体" w:hAnsi="宋体"/>
          <w:b w:val="0"/>
          <w:i w:val="0"/>
          <w:caps w:val="0"/>
          <w:spacing w:val="0"/>
          <w:w w:val="100"/>
          <w:kern w:val="2"/>
          <w:sz w:val="24"/>
          <w:szCs w:val="24"/>
          <w:lang w:val="en-US" w:eastAsia="zh-CN" w:bidi="ar-SA"/>
        </w:rPr>
        <w:t>在规定流量和供气压力限度内操作时，固定浓度设置的误差</w:t>
      </w:r>
    </w:p>
    <w:p>
      <w:pPr>
        <w:snapToGrid/>
        <w:spacing w:before="0" w:beforeAutospacing="0" w:after="0" w:afterAutospacing="0" w:line="360" w:lineRule="auto"/>
        <w:ind w:firstLine="240" w:firstLineChars="100"/>
        <w:jc w:val="both"/>
        <w:textAlignment w:val="baseline"/>
        <w:rPr>
          <w:rStyle w:val="84"/>
          <w:rFonts w:ascii="Times New Roman" w:hAnsi="Times New Roman" w:eastAsia="宋体"/>
          <w:b w:val="0"/>
          <w:i w:val="0"/>
          <w:caps w:val="0"/>
          <w:color w:val="FF0000"/>
          <w:spacing w:val="0"/>
          <w:w w:val="100"/>
          <w:kern w:val="2"/>
          <w:sz w:val="24"/>
          <w:szCs w:val="24"/>
          <w:lang w:val="en-US" w:eastAsia="zh-CN" w:bidi="ar-SA"/>
        </w:rPr>
      </w:pPr>
      <w:r>
        <w:rPr>
          <w:rStyle w:val="84"/>
          <w:rFonts w:ascii="Times New Roman" w:hAnsi="Times New Roman" w:eastAsia="宋体"/>
          <w:b w:val="0"/>
          <w:i w:val="0"/>
          <w:caps w:val="0"/>
          <w:spacing w:val="0"/>
          <w:w w:val="100"/>
          <w:kern w:val="2"/>
          <w:sz w:val="24"/>
          <w:szCs w:val="24"/>
          <w:lang w:val="en-US" w:eastAsia="zh-CN" w:bidi="ar-SA"/>
        </w:rPr>
        <w:t>5、供气差压报警：供气气源压力差为1.4 Kg/cm</w:t>
      </w:r>
      <w:r>
        <w:rPr>
          <w:rStyle w:val="84"/>
          <w:rFonts w:ascii="Times New Roman" w:hAnsi="Times New Roman" w:eastAsia="宋体"/>
          <w:b w:val="0"/>
          <w:i w:val="0"/>
          <w:caps w:val="0"/>
          <w:spacing w:val="0"/>
          <w:w w:val="100"/>
          <w:kern w:val="2"/>
          <w:sz w:val="24"/>
          <w:szCs w:val="24"/>
          <w:vertAlign w:val="superscript"/>
          <w:lang w:val="en-US" w:eastAsia="zh-CN" w:bidi="ar-SA"/>
        </w:rPr>
        <w:t>2</w:t>
      </w:r>
      <w:r>
        <w:rPr>
          <w:rStyle w:val="84"/>
          <w:rFonts w:ascii="Times New Roman" w:hAnsi="Times New Roman" w:eastAsia="宋体"/>
          <w:b w:val="0"/>
          <w:i w:val="0"/>
          <w:caps w:val="0"/>
          <w:spacing w:val="0"/>
          <w:w w:val="100"/>
          <w:kern w:val="2"/>
          <w:sz w:val="24"/>
          <w:szCs w:val="24"/>
          <w:lang w:val="en-US" w:eastAsia="zh-CN" w:bidi="ar-SA"/>
        </w:rPr>
        <w:t>±10%时声音报警</w:t>
      </w:r>
    </w:p>
    <w:p>
      <w:pPr>
        <w:snapToGrid/>
        <w:spacing w:before="0" w:beforeAutospacing="0" w:after="0" w:afterAutospacing="0" w:line="360" w:lineRule="auto"/>
        <w:ind w:left="599" w:leftChars="114" w:hanging="360"/>
        <w:jc w:val="both"/>
        <w:textAlignment w:val="baseline"/>
        <w:rPr>
          <w:rStyle w:val="84"/>
          <w:rFonts w:ascii="宋体" w:hAnsi="宋体"/>
          <w:b w:val="0"/>
          <w:i w:val="0"/>
          <w:caps w:val="0"/>
          <w:spacing w:val="0"/>
          <w:w w:val="100"/>
          <w:kern w:val="2"/>
          <w:sz w:val="24"/>
          <w:szCs w:val="24"/>
          <w:lang w:val="en-US" w:eastAsia="zh-CN" w:bidi="ar-SA"/>
        </w:rPr>
      </w:pPr>
      <w:r>
        <w:rPr>
          <w:rStyle w:val="84"/>
          <w:rFonts w:ascii="宋体" w:hAnsi="宋体"/>
          <w:b w:val="0"/>
          <w:i w:val="0"/>
          <w:caps w:val="0"/>
          <w:spacing w:val="0"/>
          <w:w w:val="100"/>
          <w:kern w:val="2"/>
          <w:sz w:val="24"/>
          <w:szCs w:val="24"/>
          <w:lang w:val="en-US" w:eastAsia="zh-CN" w:bidi="ar-SA"/>
        </w:rPr>
        <w:t>6、重量：1.25 Kg/1.36kg/1.82kg</w:t>
      </w:r>
    </w:p>
    <w:p>
      <w:pPr>
        <w:snapToGrid/>
        <w:spacing w:before="0" w:beforeAutospacing="0" w:after="0" w:afterAutospacing="0" w:line="360" w:lineRule="auto"/>
        <w:ind w:firstLine="240" w:firstLineChars="100"/>
        <w:jc w:val="both"/>
        <w:textAlignment w:val="baseline"/>
        <w:rPr>
          <w:rStyle w:val="84"/>
          <w:rFonts w:ascii="宋体" w:hAnsi="宋体" w:cs="Arial"/>
          <w:b w:val="0"/>
          <w:bCs/>
          <w:i w:val="0"/>
          <w:iCs/>
          <w:caps w:val="0"/>
          <w:spacing w:val="0"/>
          <w:w w:val="100"/>
          <w:kern w:val="2"/>
          <w:sz w:val="24"/>
          <w:szCs w:val="24"/>
          <w:lang w:val="en-US" w:eastAsia="zh-CN" w:bidi="ar-SA"/>
        </w:rPr>
      </w:pPr>
      <w:r>
        <w:rPr>
          <w:rStyle w:val="84"/>
          <w:rFonts w:ascii="宋体" w:hAnsi="宋体" w:cs="Arial"/>
          <w:b w:val="0"/>
          <w:bCs/>
          <w:i w:val="0"/>
          <w:iCs/>
          <w:caps w:val="0"/>
          <w:spacing w:val="0"/>
          <w:w w:val="100"/>
          <w:kern w:val="2"/>
          <w:sz w:val="24"/>
          <w:szCs w:val="24"/>
          <w:lang w:val="en-US" w:eastAsia="zh-CN" w:bidi="ar-SA"/>
        </w:rPr>
        <w:t>*鼻塞材料      硅胶(不含乳胶)，透水不透气。</w:t>
      </w:r>
    </w:p>
    <w:p>
      <w:pPr>
        <w:snapToGrid/>
        <w:spacing w:before="0" w:beforeAutospacing="0" w:after="0" w:afterAutospacing="0" w:line="360" w:lineRule="auto"/>
        <w:jc w:val="both"/>
        <w:textAlignment w:val="baseline"/>
        <w:rPr>
          <w:rStyle w:val="84"/>
          <w:rFonts w:ascii="宋体" w:hAnsi="宋体" w:cs="Arial"/>
          <w:b w:val="0"/>
          <w:bCs/>
          <w:i w:val="0"/>
          <w:iCs/>
          <w:caps w:val="0"/>
          <w:spacing w:val="0"/>
          <w:w w:val="100"/>
          <w:kern w:val="2"/>
          <w:sz w:val="24"/>
          <w:szCs w:val="24"/>
          <w:lang w:val="en-US" w:eastAsia="zh-CN" w:bidi="ar-SA"/>
        </w:rPr>
      </w:pPr>
      <w:r>
        <w:rPr>
          <w:rStyle w:val="84"/>
          <w:rFonts w:ascii="宋体" w:hAnsi="宋体" w:cs="Arial"/>
          <w:b w:val="0"/>
          <w:bCs/>
          <w:i w:val="0"/>
          <w:iCs/>
          <w:caps w:val="0"/>
          <w:spacing w:val="0"/>
          <w:w w:val="100"/>
          <w:kern w:val="2"/>
          <w:sz w:val="24"/>
          <w:szCs w:val="24"/>
          <w:lang w:val="en-US" w:eastAsia="zh-CN" w:bidi="ar-SA"/>
        </w:rPr>
        <w:t xml:space="preserve">  尺寸     据鼻孔及鼻间距生理大小</w:t>
      </w:r>
    </w:p>
    <w:p>
      <w:pPr>
        <w:snapToGrid/>
        <w:spacing w:before="0" w:beforeAutospacing="0" w:after="0" w:afterAutospacing="0" w:line="360" w:lineRule="auto"/>
        <w:jc w:val="both"/>
        <w:textAlignment w:val="baseline"/>
        <w:rPr>
          <w:rStyle w:val="84"/>
          <w:rFonts w:ascii="宋体" w:hAnsi="宋体" w:cs="Arial"/>
          <w:b w:val="0"/>
          <w:bCs/>
          <w:i w:val="0"/>
          <w:iCs/>
          <w:caps w:val="0"/>
          <w:spacing w:val="0"/>
          <w:w w:val="100"/>
          <w:kern w:val="2"/>
          <w:sz w:val="24"/>
          <w:szCs w:val="24"/>
          <w:lang w:val="en-US" w:eastAsia="zh-CN" w:bidi="ar-SA"/>
        </w:rPr>
      </w:pPr>
      <w:r>
        <w:rPr>
          <w:rStyle w:val="84"/>
          <w:rFonts w:ascii="宋体" w:hAnsi="宋体" w:cs="Arial"/>
          <w:b w:val="0"/>
          <w:bCs/>
          <w:i w:val="0"/>
          <w:iCs/>
          <w:caps w:val="0"/>
          <w:spacing w:val="0"/>
          <w:w w:val="100"/>
          <w:kern w:val="2"/>
          <w:sz w:val="24"/>
          <w:szCs w:val="24"/>
          <w:lang w:val="en-US" w:eastAsia="zh-CN" w:bidi="ar-SA"/>
        </w:rPr>
        <w:t xml:space="preserve">  最大流量      在6L/ Min至8L/ Min</w:t>
      </w:r>
    </w:p>
    <w:p>
      <w:pPr>
        <w:pStyle w:val="13"/>
        <w:numPr>
          <w:ilvl w:val="0"/>
          <w:numId w:val="0"/>
        </w:numPr>
        <w:spacing w:after="0"/>
        <w:jc w:val="left"/>
        <w:rPr>
          <w:rFonts w:hint="eastAsia" w:ascii="宋体" w:hAnsi="宋体" w:eastAsia="宋体" w:cs="宋体"/>
          <w:color w:val="auto"/>
          <w:kern w:val="2"/>
          <w:sz w:val="21"/>
          <w:szCs w:val="24"/>
          <w:lang w:val="en-US" w:eastAsia="zh-CN" w:bidi="ar-SA"/>
        </w:rPr>
      </w:pPr>
    </w:p>
    <w:bookmarkEnd w:id="35"/>
    <w:bookmarkEnd w:id="36"/>
    <w:p>
      <w:pPr>
        <w:snapToGrid w:val="0"/>
        <w:spacing w:line="360" w:lineRule="auto"/>
        <w:jc w:val="center"/>
        <w:rPr>
          <w:b/>
          <w:bCs/>
          <w:color w:val="auto"/>
          <w:sz w:val="30"/>
          <w:szCs w:val="30"/>
          <w:highlight w:val="none"/>
        </w:rPr>
      </w:pPr>
      <w:r>
        <w:rPr>
          <w:rFonts w:hint="eastAsia"/>
          <w:b/>
          <w:bCs/>
          <w:color w:val="auto"/>
          <w:sz w:val="30"/>
          <w:szCs w:val="30"/>
          <w:highlight w:val="none"/>
        </w:rPr>
        <w:t>商务要求</w:t>
      </w:r>
    </w:p>
    <w:tbl>
      <w:tblPr>
        <w:tblStyle w:val="32"/>
        <w:tblpPr w:leftFromText="180" w:rightFromText="180" w:vertAnchor="text" w:tblpXSpec="center" w:tblpY="1"/>
        <w:tblOverlap w:val="never"/>
        <w:tblW w:w="962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266"/>
        <w:gridCol w:w="735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266"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合同签订时间</w:t>
            </w:r>
          </w:p>
        </w:tc>
        <w:tc>
          <w:tcPr>
            <w:tcW w:w="7359"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自中标通知书发出之日起</w:t>
            </w:r>
            <w:r>
              <w:rPr>
                <w:rFonts w:hint="eastAsia" w:ascii="宋体" w:hAnsi="宋体" w:cs="宋体"/>
                <w:color w:val="auto"/>
                <w:kern w:val="0"/>
                <w:szCs w:val="21"/>
                <w:highlight w:val="none"/>
                <w:lang w:val="en-US" w:eastAsia="zh-CN"/>
              </w:rPr>
              <w:t>三十</w:t>
            </w:r>
            <w:r>
              <w:rPr>
                <w:rFonts w:hint="eastAsia" w:ascii="宋体" w:hAnsi="宋体" w:cs="宋体"/>
                <w:color w:val="auto"/>
                <w:kern w:val="0"/>
                <w:szCs w:val="21"/>
                <w:highlight w:val="none"/>
              </w:rPr>
              <w:t>个</w:t>
            </w:r>
            <w:r>
              <w:rPr>
                <w:rFonts w:hint="eastAsia" w:ascii="宋体" w:hAnsi="宋体" w:cs="宋体"/>
                <w:color w:val="auto"/>
                <w:kern w:val="0"/>
                <w:szCs w:val="21"/>
                <w:highlight w:val="none"/>
                <w:lang w:val="en-US" w:eastAsia="zh-CN"/>
              </w:rPr>
              <w:t>日历日</w:t>
            </w:r>
            <w:r>
              <w:rPr>
                <w:rFonts w:hint="eastAsia" w:ascii="宋体" w:hAnsi="宋体" w:cs="宋体"/>
                <w:color w:val="auto"/>
                <w:kern w:val="0"/>
                <w:szCs w:val="21"/>
                <w:highlight w:val="none"/>
              </w:rPr>
              <w:t>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266"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交货地点</w:t>
            </w:r>
          </w:p>
        </w:tc>
        <w:tc>
          <w:tcPr>
            <w:tcW w:w="7359"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rPr>
                <w:rFonts w:hint="default" w:ascii="宋体" w:hAnsi="宋体" w:eastAsia="宋体" w:cs="宋体"/>
                <w:color w:val="auto"/>
                <w:kern w:val="0"/>
                <w:szCs w:val="21"/>
                <w:highlight w:val="none"/>
                <w:lang w:val="en-US" w:eastAsia="zh-CN"/>
              </w:rPr>
            </w:pPr>
            <w:r>
              <w:rPr>
                <w:rFonts w:hint="eastAsia" w:ascii="宋体" w:hAnsi="宋体" w:eastAsia="宋体" w:cs="宋体"/>
                <w:color w:val="auto"/>
                <w:lang w:val="en-US" w:eastAsia="zh-CN"/>
              </w:rPr>
              <w:t>采购人指定地点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266"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验   收</w:t>
            </w:r>
          </w:p>
        </w:tc>
        <w:tc>
          <w:tcPr>
            <w:tcW w:w="7359"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由采购人按照有关规定组织验收。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266"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质量要求</w:t>
            </w:r>
          </w:p>
        </w:tc>
        <w:tc>
          <w:tcPr>
            <w:tcW w:w="7359"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合格。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266"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付款方式</w:t>
            </w:r>
          </w:p>
        </w:tc>
        <w:tc>
          <w:tcPr>
            <w:tcW w:w="7359"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以供货合同签订为准。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7" w:hRule="atLeast"/>
          <w:jc w:val="center"/>
        </w:trPr>
        <w:tc>
          <w:tcPr>
            <w:tcW w:w="2266"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jc w:val="center"/>
              <w:rPr>
                <w:rFonts w:hAnsi="宋体" w:cs="宋体"/>
                <w:color w:val="auto"/>
                <w:kern w:val="0"/>
                <w:szCs w:val="21"/>
                <w:highlight w:val="none"/>
              </w:rPr>
            </w:pPr>
            <w:r>
              <w:rPr>
                <w:rFonts w:hint="eastAsia" w:ascii="宋体" w:hAnsi="宋体"/>
                <w:color w:val="auto"/>
                <w:kern w:val="0"/>
                <w:szCs w:val="21"/>
                <w:highlight w:val="none"/>
              </w:rPr>
              <w:t>售后技术服务要求、售后服务保障要求</w:t>
            </w:r>
          </w:p>
        </w:tc>
        <w:tc>
          <w:tcPr>
            <w:tcW w:w="7359"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中标人须提供后期服务保障和技术支持。</w:t>
            </w:r>
          </w:p>
        </w:tc>
      </w:tr>
    </w:tbl>
    <w:p>
      <w:pPr>
        <w:pStyle w:val="29"/>
        <w:ind w:firstLine="0" w:firstLineChars="0"/>
        <w:rPr>
          <w:color w:val="auto"/>
          <w:highlight w:val="none"/>
        </w:rPr>
      </w:pPr>
    </w:p>
    <w:p>
      <w:pPr>
        <w:snapToGrid w:val="0"/>
        <w:spacing w:line="480" w:lineRule="auto"/>
        <w:jc w:val="center"/>
        <w:rPr>
          <w:b/>
          <w:bCs/>
          <w:color w:val="auto"/>
          <w:sz w:val="30"/>
          <w:szCs w:val="30"/>
          <w:highlight w:val="none"/>
        </w:rPr>
      </w:pPr>
      <w:r>
        <w:rPr>
          <w:rFonts w:hint="eastAsia"/>
          <w:b/>
          <w:bCs/>
          <w:color w:val="auto"/>
          <w:sz w:val="30"/>
          <w:szCs w:val="30"/>
          <w:highlight w:val="none"/>
        </w:rPr>
        <w:t xml:space="preserve"> 采购人对项目的特殊要求及说明</w:t>
      </w:r>
    </w:p>
    <w:tbl>
      <w:tblPr>
        <w:tblStyle w:val="32"/>
        <w:tblW w:w="936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68"/>
        <w:gridCol w:w="800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51" w:hRule="atLeast"/>
        </w:trPr>
        <w:tc>
          <w:tcPr>
            <w:tcW w:w="1368"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采购人的特殊要求及说明理由</w:t>
            </w:r>
          </w:p>
        </w:tc>
        <w:tc>
          <w:tcPr>
            <w:tcW w:w="8001"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napToGrid w:val="0"/>
              <w:spacing w:line="360" w:lineRule="auto"/>
              <w:rPr>
                <w:color w:val="auto"/>
              </w:rPr>
            </w:pPr>
            <w:r>
              <w:rPr>
                <w:rFonts w:hint="eastAsia"/>
                <w:color w:val="auto"/>
              </w:rPr>
              <w:t>不接受联合体投标，不允许转包和分包。</w:t>
            </w:r>
          </w:p>
          <w:p>
            <w:pPr>
              <w:widowControl/>
              <w:snapToGrid w:val="0"/>
              <w:spacing w:line="360" w:lineRule="auto"/>
              <w:rPr>
                <w:rFonts w:ascii="宋体" w:hAnsi="宋体" w:cs="宋体"/>
                <w:color w:val="auto"/>
                <w:kern w:val="0"/>
                <w:szCs w:val="21"/>
                <w:highlight w:val="none"/>
              </w:rPr>
            </w:pPr>
            <w:r>
              <w:rPr>
                <w:rFonts w:hint="eastAsia"/>
                <w:color w:val="auto"/>
                <w:lang w:val="en-US" w:eastAsia="zh-CN"/>
              </w:rPr>
              <w:t>2</w:t>
            </w:r>
            <w:r>
              <w:rPr>
                <w:rFonts w:hint="eastAsia"/>
                <w:color w:val="auto"/>
              </w:rPr>
              <w:t>、</w:t>
            </w:r>
            <w:r>
              <w:rPr>
                <w:rFonts w:hint="eastAsia" w:ascii="宋体" w:hAnsi="宋体" w:cs="宋体"/>
                <w:color w:val="auto"/>
                <w:kern w:val="0"/>
                <w:szCs w:val="21"/>
                <w:highlight w:val="none"/>
              </w:rPr>
              <w:t>授权评标委员会确定一名中标人并推荐两名中标候选人。</w:t>
            </w:r>
          </w:p>
          <w:p>
            <w:pPr>
              <w:widowControl/>
              <w:snapToGrid w:val="0"/>
              <w:spacing w:line="360" w:lineRule="auto"/>
              <w:rPr>
                <w:color w:val="auto"/>
              </w:rPr>
            </w:pPr>
            <w:r>
              <w:rPr>
                <w:rFonts w:hint="eastAsia"/>
                <w:color w:val="auto"/>
                <w:lang w:val="en-US" w:eastAsia="zh-CN"/>
              </w:rPr>
              <w:t>3</w:t>
            </w:r>
            <w:r>
              <w:rPr>
                <w:rFonts w:hint="eastAsia"/>
                <w:color w:val="auto"/>
              </w:rPr>
              <w:t>、供应商应根据</w:t>
            </w:r>
            <w:r>
              <w:rPr>
                <w:rFonts w:hint="eastAsia"/>
                <w:color w:val="auto"/>
                <w:lang w:eastAsia="zh-CN"/>
              </w:rPr>
              <w:t>采购</w:t>
            </w:r>
            <w:r>
              <w:rPr>
                <w:rFonts w:hint="eastAsia"/>
                <w:color w:val="auto"/>
              </w:rPr>
              <w:t>文件的要求提供技术响应表、商务响应表等内容以对</w:t>
            </w:r>
            <w:r>
              <w:rPr>
                <w:rFonts w:hint="eastAsia"/>
                <w:color w:val="auto"/>
                <w:lang w:eastAsia="zh-CN"/>
              </w:rPr>
              <w:t>采购</w:t>
            </w:r>
            <w:r>
              <w:rPr>
                <w:rFonts w:hint="eastAsia"/>
                <w:color w:val="auto"/>
              </w:rPr>
              <w:t>文件作出响应。</w:t>
            </w:r>
          </w:p>
        </w:tc>
      </w:tr>
    </w:tbl>
    <w:p>
      <w:pPr>
        <w:rPr>
          <w:color w:val="auto"/>
          <w:highlight w:val="none"/>
        </w:rPr>
      </w:pPr>
    </w:p>
    <w:p>
      <w:pPr>
        <w:rPr>
          <w:color w:val="auto"/>
          <w:highlight w:val="none"/>
        </w:rPr>
      </w:pPr>
    </w:p>
    <w:p>
      <w:pPr>
        <w:rPr>
          <w:color w:val="auto"/>
          <w:sz w:val="32"/>
          <w:szCs w:val="32"/>
          <w:highlight w:val="none"/>
        </w:rPr>
      </w:pPr>
      <w:r>
        <w:rPr>
          <w:color w:val="auto"/>
          <w:sz w:val="32"/>
          <w:szCs w:val="32"/>
          <w:highlight w:val="none"/>
        </w:rPr>
        <w:br w:type="page"/>
      </w:r>
    </w:p>
    <w:p>
      <w:pPr>
        <w:rPr>
          <w:color w:val="auto"/>
          <w:highlight w:val="none"/>
        </w:rPr>
      </w:pPr>
    </w:p>
    <w:p>
      <w:pPr>
        <w:pStyle w:val="3"/>
        <w:spacing w:before="0" w:after="0" w:line="240" w:lineRule="atLeast"/>
        <w:jc w:val="center"/>
        <w:rPr>
          <w:color w:val="auto"/>
          <w:sz w:val="32"/>
          <w:szCs w:val="32"/>
          <w:highlight w:val="none"/>
        </w:rPr>
      </w:pPr>
      <w:bookmarkStart w:id="52" w:name="_Toc14504"/>
      <w:r>
        <w:rPr>
          <w:rFonts w:hint="eastAsia"/>
          <w:color w:val="auto"/>
          <w:sz w:val="32"/>
          <w:szCs w:val="32"/>
          <w:highlight w:val="none"/>
        </w:rPr>
        <w:t>第三章  投标人须知</w:t>
      </w:r>
      <w:bookmarkEnd w:id="52"/>
    </w:p>
    <w:p>
      <w:pPr>
        <w:snapToGrid w:val="0"/>
        <w:spacing w:beforeLines="50" w:line="360" w:lineRule="auto"/>
        <w:jc w:val="center"/>
        <w:rPr>
          <w:rFonts w:ascii="宋体" w:hAnsi="宋体"/>
          <w:color w:val="auto"/>
          <w:sz w:val="28"/>
          <w:szCs w:val="28"/>
          <w:highlight w:val="none"/>
        </w:rPr>
      </w:pPr>
      <w:r>
        <w:rPr>
          <w:rFonts w:hint="eastAsia" w:ascii="宋体" w:hAnsi="宋体"/>
          <w:color w:val="auto"/>
          <w:sz w:val="28"/>
          <w:szCs w:val="28"/>
          <w:highlight w:val="none"/>
        </w:rPr>
        <w:t>投标人须知前附表</w:t>
      </w:r>
    </w:p>
    <w:tbl>
      <w:tblPr>
        <w:tblStyle w:val="32"/>
        <w:tblW w:w="9840" w:type="dxa"/>
        <w:jc w:val="center"/>
        <w:tblLayout w:type="fixed"/>
        <w:tblCellMar>
          <w:top w:w="0" w:type="dxa"/>
          <w:left w:w="0" w:type="dxa"/>
          <w:bottom w:w="0" w:type="dxa"/>
          <w:right w:w="0" w:type="dxa"/>
        </w:tblCellMar>
      </w:tblPr>
      <w:tblGrid>
        <w:gridCol w:w="926"/>
        <w:gridCol w:w="8914"/>
      </w:tblGrid>
      <w:tr>
        <w:tblPrEx>
          <w:tblCellMar>
            <w:top w:w="0" w:type="dxa"/>
            <w:left w:w="0" w:type="dxa"/>
            <w:bottom w:w="0" w:type="dxa"/>
            <w:right w:w="0" w:type="dxa"/>
          </w:tblCellMar>
        </w:tblPrEx>
        <w:trPr>
          <w:trHeight w:val="450" w:hRule="atLeast"/>
          <w:jc w:val="center"/>
        </w:trPr>
        <w:tc>
          <w:tcPr>
            <w:tcW w:w="926" w:type="dxa"/>
            <w:tcBorders>
              <w:top w:val="single" w:color="auto" w:sz="8"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24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序号</w:t>
            </w:r>
          </w:p>
        </w:tc>
        <w:tc>
          <w:tcPr>
            <w:tcW w:w="8914" w:type="dxa"/>
            <w:tcBorders>
              <w:top w:val="single" w:color="auto" w:sz="8"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24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内容、要求</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napToGrid w:val="0"/>
              <w:spacing w:line="440" w:lineRule="exact"/>
              <w:jc w:val="left"/>
              <w:outlineLvl w:val="0"/>
              <w:rPr>
                <w:rFonts w:hint="eastAsia" w:ascii="宋体" w:hAnsi="宋体" w:eastAsia="宋体" w:cs="宋体"/>
                <w:color w:val="auto"/>
              </w:rPr>
            </w:pPr>
            <w:r>
              <w:rPr>
                <w:rFonts w:hint="eastAsia"/>
                <w:color w:val="auto"/>
                <w:highlight w:val="none"/>
              </w:rPr>
              <w:t>1.1 项目名称：</w:t>
            </w:r>
            <w:r>
              <w:rPr>
                <w:rFonts w:hint="eastAsia" w:ascii="宋体" w:hAnsi="宋体" w:cs="宋体"/>
                <w:color w:val="auto"/>
                <w:lang w:eastAsia="zh-CN"/>
              </w:rPr>
              <w:t>驻马店市中心医院新生儿经鼻高流量呼吸湿化治疗仪采购项目</w:t>
            </w:r>
          </w:p>
          <w:p>
            <w:pPr>
              <w:widowControl/>
              <w:snapToGrid w:val="0"/>
              <w:spacing w:line="440" w:lineRule="exact"/>
              <w:jc w:val="left"/>
              <w:outlineLvl w:val="0"/>
              <w:rPr>
                <w:color w:val="auto"/>
                <w:highlight w:val="none"/>
              </w:rPr>
            </w:pPr>
            <w:r>
              <w:rPr>
                <w:rFonts w:hint="eastAsia"/>
                <w:color w:val="auto"/>
                <w:highlight w:val="none"/>
              </w:rPr>
              <w:t>1.2 采购人名称：</w:t>
            </w:r>
            <w:r>
              <w:rPr>
                <w:rFonts w:hint="eastAsia" w:ascii="宋体" w:hAnsi="宋体" w:eastAsia="宋体" w:cs="宋体"/>
                <w:color w:val="auto"/>
              </w:rPr>
              <w:t>驻马店市中心医院</w:t>
            </w:r>
          </w:p>
          <w:p>
            <w:pPr>
              <w:widowControl/>
              <w:snapToGrid w:val="0"/>
              <w:spacing w:line="440" w:lineRule="exact"/>
              <w:jc w:val="left"/>
              <w:outlineLvl w:val="0"/>
              <w:rPr>
                <w:rFonts w:ascii="Times New Roman" w:hAnsi="Times New Roman" w:eastAsia="宋体" w:cs="Times New Roman"/>
                <w:color w:val="auto"/>
                <w:kern w:val="2"/>
                <w:sz w:val="21"/>
                <w:szCs w:val="24"/>
                <w:highlight w:val="none"/>
                <w:lang w:val="en-US" w:eastAsia="zh-CN" w:bidi="ar-SA"/>
              </w:rPr>
            </w:pPr>
            <w:r>
              <w:rPr>
                <w:rFonts w:hint="eastAsia"/>
                <w:color w:val="auto"/>
                <w:highlight w:val="none"/>
              </w:rPr>
              <w:t>1.</w:t>
            </w:r>
            <w:r>
              <w:rPr>
                <w:rFonts w:hint="eastAsia"/>
                <w:color w:val="auto"/>
                <w:highlight w:val="none"/>
                <w:lang w:val="en-US" w:eastAsia="zh-CN"/>
              </w:rPr>
              <w:t>3</w:t>
            </w:r>
            <w:r>
              <w:rPr>
                <w:rFonts w:hint="eastAsia"/>
                <w:color w:val="auto"/>
                <w:highlight w:val="none"/>
              </w:rPr>
              <w:t>采购范围：详</w:t>
            </w:r>
            <w:r>
              <w:rPr>
                <w:rFonts w:hint="eastAsia"/>
                <w:color w:val="auto"/>
                <w:highlight w:val="none"/>
                <w:lang w:val="en-US" w:eastAsia="zh-CN"/>
              </w:rPr>
              <w:t>见第二章采购</w:t>
            </w:r>
            <w:r>
              <w:rPr>
                <w:rFonts w:hint="eastAsia"/>
                <w:color w:val="auto"/>
                <w:highlight w:val="none"/>
              </w:rPr>
              <w:t>需求</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rPr>
                <w:rFonts w:ascii="宋体" w:hAnsi="宋体" w:cs="宋体"/>
                <w:color w:val="auto"/>
                <w:kern w:val="0"/>
                <w:szCs w:val="21"/>
                <w:highlight w:val="none"/>
              </w:rPr>
            </w:pPr>
            <w:r>
              <w:rPr>
                <w:rFonts w:hint="eastAsia" w:ascii="宋体" w:hAnsi="宋体" w:cs="宋体"/>
                <w:color w:val="auto"/>
                <w:kern w:val="0"/>
                <w:szCs w:val="21"/>
                <w:highlight w:val="none"/>
              </w:rPr>
              <w:t>合格投标人：具备</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公告第二项规定的条件。</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3</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napToGrid w:val="0"/>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采购预算（最高投标限价）：</w:t>
            </w:r>
            <w:r>
              <w:rPr>
                <w:rFonts w:hint="eastAsia" w:ascii="宋体" w:hAnsi="宋体" w:cs="宋体"/>
                <w:color w:val="auto"/>
                <w:kern w:val="0"/>
                <w:szCs w:val="21"/>
                <w:highlight w:val="none"/>
                <w:lang w:val="en-US" w:eastAsia="zh-CN"/>
              </w:rPr>
              <w:t>27.5万</w:t>
            </w:r>
            <w:r>
              <w:rPr>
                <w:rFonts w:hint="eastAsia" w:ascii="宋体" w:hAnsi="宋体" w:eastAsia="宋体" w:cs="宋体"/>
                <w:color w:val="auto"/>
                <w:kern w:val="0"/>
                <w:szCs w:val="21"/>
                <w:highlight w:val="none"/>
              </w:rPr>
              <w:t>元</w:t>
            </w:r>
          </w:p>
          <w:p>
            <w:pPr>
              <w:widowControl/>
              <w:snapToGrid w:val="0"/>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3.1 本项目投标以人民币报价。</w:t>
            </w:r>
          </w:p>
          <w:p>
            <w:pPr>
              <w:widowControl/>
              <w:snapToGrid w:val="0"/>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3.2 供应商的报价超过采购预算，采购人不能支付的，按废标处理。</w:t>
            </w:r>
          </w:p>
          <w:p>
            <w:pPr>
              <w:widowControl/>
              <w:snapToGrid w:val="0"/>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3.3 本项目</w:t>
            </w:r>
            <w:r>
              <w:rPr>
                <w:rFonts w:hint="eastAsia" w:ascii="宋体" w:hAnsi="宋体" w:cs="宋体"/>
                <w:color w:val="auto"/>
                <w:kern w:val="0"/>
                <w:szCs w:val="21"/>
                <w:highlight w:val="none"/>
                <w:lang w:val="en-US" w:eastAsia="zh-CN"/>
              </w:rPr>
              <w:t>由成交供应商缴纳</w:t>
            </w:r>
            <w:r>
              <w:rPr>
                <w:rFonts w:hint="eastAsia" w:ascii="宋体" w:hAnsi="宋体" w:cs="宋体"/>
                <w:color w:val="auto"/>
                <w:kern w:val="0"/>
                <w:szCs w:val="21"/>
                <w:highlight w:val="none"/>
              </w:rPr>
              <w:t>招标代理服务费。</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4</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现场踏勘或标前答疑：本项目不组织现场踏勘或标前答疑会。</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5</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napToGrid w:val="0"/>
              <w:spacing w:line="440" w:lineRule="exact"/>
              <w:jc w:val="left"/>
              <w:rPr>
                <w:color w:val="auto"/>
              </w:rPr>
            </w:pPr>
            <w:r>
              <w:rPr>
                <w:rFonts w:hint="eastAsia"/>
                <w:color w:val="auto"/>
              </w:rPr>
              <w:t>投标文件组成：纸质投标文件正本1份</w:t>
            </w:r>
            <w:r>
              <w:rPr>
                <w:rFonts w:hint="eastAsia"/>
                <w:color w:val="auto"/>
                <w:lang w:eastAsia="zh-CN"/>
              </w:rPr>
              <w:t>、</w:t>
            </w:r>
            <w:r>
              <w:rPr>
                <w:rFonts w:hint="eastAsia"/>
                <w:color w:val="auto"/>
                <w:lang w:val="en-US" w:eastAsia="zh-CN"/>
              </w:rPr>
              <w:t>副本2份</w:t>
            </w:r>
            <w:r>
              <w:rPr>
                <w:rFonts w:hint="eastAsia"/>
                <w:color w:val="auto"/>
              </w:rPr>
              <w:t>。</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24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6</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napToGrid w:val="0"/>
              <w:spacing w:line="44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投标截止时间</w:t>
            </w:r>
            <w:r>
              <w:rPr>
                <w:rFonts w:hint="eastAsia" w:ascii="宋体" w:hAnsi="宋体" w:cs="宋体"/>
                <w:color w:val="auto"/>
                <w:kern w:val="0"/>
                <w:szCs w:val="21"/>
                <w:highlight w:val="none"/>
                <w:lang w:val="en-US" w:eastAsia="zh-CN"/>
              </w:rPr>
              <w:t>及开标时间</w:t>
            </w:r>
            <w:r>
              <w:rPr>
                <w:rFonts w:hint="eastAsia" w:ascii="宋体" w:hAnsi="宋体" w:cs="宋体"/>
                <w:color w:val="auto"/>
                <w:kern w:val="0"/>
                <w:szCs w:val="21"/>
                <w:highlight w:val="none"/>
              </w:rPr>
              <w:t>：</w:t>
            </w:r>
            <w:r>
              <w:rPr>
                <w:rFonts w:hint="eastAsia" w:ascii="宋体" w:hAnsi="宋体" w:cs="宋体"/>
                <w:color w:val="auto"/>
                <w:szCs w:val="21"/>
                <w:highlight w:val="none"/>
                <w:lang w:val="en-US" w:eastAsia="zh-CN"/>
              </w:rPr>
              <w:t>另行通知</w:t>
            </w:r>
          </w:p>
          <w:p>
            <w:pPr>
              <w:widowControl/>
              <w:snapToGrid w:val="0"/>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投标文件递交地点</w:t>
            </w:r>
            <w:r>
              <w:rPr>
                <w:rFonts w:hint="eastAsia" w:ascii="宋体" w:hAnsi="宋体" w:cs="宋体"/>
                <w:color w:val="auto"/>
                <w:kern w:val="0"/>
                <w:szCs w:val="21"/>
                <w:highlight w:val="none"/>
                <w:lang w:val="en-US" w:eastAsia="zh-CN"/>
              </w:rPr>
              <w:t>及开标地点</w:t>
            </w:r>
            <w:r>
              <w:rPr>
                <w:rFonts w:hint="eastAsia" w:ascii="宋体" w:hAnsi="宋体" w:cs="宋体"/>
                <w:color w:val="auto"/>
                <w:kern w:val="0"/>
                <w:szCs w:val="21"/>
                <w:highlight w:val="none"/>
              </w:rPr>
              <w:t>：</w:t>
            </w:r>
            <w:r>
              <w:rPr>
                <w:rFonts w:hint="eastAsia" w:ascii="宋体" w:hAnsi="宋体" w:cs="宋体"/>
                <w:color w:val="auto"/>
                <w:szCs w:val="21"/>
                <w:highlight w:val="none"/>
                <w:lang w:val="en-US" w:eastAsia="zh-CN"/>
              </w:rPr>
              <w:t>另行通知</w:t>
            </w:r>
            <w:r>
              <w:rPr>
                <w:rFonts w:hint="eastAsia" w:ascii="宋体" w:hAnsi="宋体" w:cs="宋体"/>
                <w:color w:val="auto"/>
                <w:kern w:val="0"/>
                <w:szCs w:val="21"/>
                <w:highlight w:val="none"/>
              </w:rPr>
              <w:t>。</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7</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spacing w:line="440" w:lineRule="exact"/>
              <w:rPr>
                <w:rFonts w:ascii="宋体" w:hAnsi="宋体" w:cs="宋体"/>
                <w:color w:val="auto"/>
                <w:szCs w:val="21"/>
                <w:highlight w:val="none"/>
              </w:rPr>
            </w:pPr>
            <w:r>
              <w:rPr>
                <w:rFonts w:hint="eastAsia" w:ascii="宋体" w:hAnsi="宋体" w:cs="宋体"/>
                <w:color w:val="auto"/>
                <w:szCs w:val="21"/>
                <w:highlight w:val="none"/>
              </w:rPr>
              <w:t>评审委员会成</w:t>
            </w:r>
            <w:r>
              <w:rPr>
                <w:rFonts w:hint="eastAsia" w:ascii="宋体" w:hAnsi="宋体" w:cs="宋体"/>
                <w:color w:val="auto"/>
                <w:kern w:val="0"/>
                <w:szCs w:val="21"/>
                <w:highlight w:val="none"/>
              </w:rPr>
              <w:t>员：</w:t>
            </w:r>
            <w:r>
              <w:rPr>
                <w:rFonts w:hint="eastAsia" w:ascii="宋体" w:hAnsi="宋体" w:cs="宋体"/>
                <w:color w:val="auto"/>
                <w:szCs w:val="21"/>
                <w:highlight w:val="none"/>
                <w:lang w:val="en-US" w:eastAsia="zh-CN"/>
              </w:rPr>
              <w:t>3</w:t>
            </w:r>
            <w:r>
              <w:rPr>
                <w:rFonts w:hint="eastAsia" w:ascii="宋体" w:hAnsi="宋体" w:cs="宋体"/>
                <w:color w:val="auto"/>
                <w:highlight w:val="none"/>
              </w:rPr>
              <w:t>人</w:t>
            </w:r>
            <w:r>
              <w:rPr>
                <w:rFonts w:hint="eastAsia" w:ascii="宋体" w:hAnsi="宋体" w:cs="宋体"/>
                <w:color w:val="auto"/>
                <w:highlight w:val="none"/>
                <w:lang w:val="en-US" w:eastAsia="zh-CN"/>
              </w:rPr>
              <w:t>及以上单数</w:t>
            </w:r>
            <w:r>
              <w:rPr>
                <w:rFonts w:hint="eastAsia" w:ascii="宋体" w:hAnsi="宋体" w:cs="宋体"/>
                <w:color w:val="auto"/>
                <w:kern w:val="0"/>
                <w:szCs w:val="21"/>
                <w:highlight w:val="none"/>
              </w:rPr>
              <w:t>。</w:t>
            </w:r>
          </w:p>
          <w:p>
            <w:pPr>
              <w:widowControl/>
              <w:spacing w:line="440" w:lineRule="exact"/>
              <w:jc w:val="left"/>
              <w:rPr>
                <w:rFonts w:ascii="宋体" w:hAnsi="宋体" w:cs="宋体"/>
                <w:color w:val="auto"/>
                <w:kern w:val="0"/>
                <w:szCs w:val="21"/>
                <w:highlight w:val="none"/>
              </w:rPr>
            </w:pPr>
            <w:r>
              <w:rPr>
                <w:rFonts w:hint="eastAsia" w:ascii="宋体" w:hAnsi="宋体" w:cs="宋体"/>
                <w:color w:val="auto"/>
                <w:szCs w:val="21"/>
                <w:highlight w:val="none"/>
              </w:rPr>
              <w:t>专家确定方式：</w:t>
            </w:r>
            <w:r>
              <w:rPr>
                <w:rFonts w:hint="eastAsia" w:ascii="宋体" w:hAnsi="宋体" w:cs="宋体"/>
                <w:color w:val="auto"/>
                <w:kern w:val="0"/>
                <w:szCs w:val="21"/>
                <w:highlight w:val="none"/>
              </w:rPr>
              <w:t>由采购人</w:t>
            </w:r>
            <w:r>
              <w:rPr>
                <w:rFonts w:hint="eastAsia" w:ascii="宋体" w:hAnsi="宋体" w:cs="宋体"/>
                <w:color w:val="auto"/>
                <w:kern w:val="0"/>
                <w:szCs w:val="21"/>
                <w:highlight w:val="none"/>
                <w:lang w:val="en-US" w:eastAsia="zh-CN"/>
              </w:rPr>
              <w:t>抽取相关的技术人员组成</w:t>
            </w:r>
            <w:r>
              <w:rPr>
                <w:rFonts w:hint="eastAsia" w:ascii="宋体" w:hAnsi="宋体" w:cs="宋体"/>
                <w:color w:val="auto"/>
                <w:kern w:val="0"/>
                <w:szCs w:val="21"/>
                <w:highlight w:val="none"/>
              </w:rPr>
              <w:t>。</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24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8 </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spacing w:line="240" w:lineRule="auto"/>
              <w:rPr>
                <w:rFonts w:ascii="宋体" w:hAnsi="宋体" w:cs="宋体"/>
                <w:color w:val="auto"/>
                <w:kern w:val="0"/>
                <w:szCs w:val="21"/>
                <w:highlight w:val="none"/>
              </w:rPr>
            </w:pPr>
            <w:r>
              <w:rPr>
                <w:rFonts w:hint="eastAsia" w:ascii="宋体" w:hAnsi="宋体" w:cs="宋体"/>
                <w:color w:val="auto"/>
                <w:szCs w:val="21"/>
                <w:highlight w:val="none"/>
              </w:rPr>
              <w:t>评标办法：</w:t>
            </w:r>
            <w:r>
              <w:rPr>
                <w:rFonts w:hint="eastAsia" w:ascii="宋体" w:hAnsi="宋体" w:cs="宋体"/>
                <w:color w:val="auto"/>
                <w:kern w:val="0"/>
                <w:szCs w:val="21"/>
                <w:highlight w:val="none"/>
              </w:rPr>
              <w:t>本项目采用</w:t>
            </w:r>
            <w:r>
              <w:rPr>
                <w:rFonts w:hint="eastAsia" w:ascii="宋体" w:hAnsi="宋体" w:cs="宋体"/>
                <w:color w:val="auto"/>
                <w:szCs w:val="21"/>
                <w:highlight w:val="none"/>
              </w:rPr>
              <w:t>综合评分法</w:t>
            </w:r>
            <w:r>
              <w:rPr>
                <w:rFonts w:hint="eastAsia" w:ascii="宋体" w:hAnsi="宋体" w:cs="宋体"/>
                <w:color w:val="auto"/>
                <w:kern w:val="0"/>
                <w:szCs w:val="21"/>
                <w:highlight w:val="none"/>
              </w:rPr>
              <w:t>。</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9</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jc w:val="left"/>
              <w:textAlignment w:val="bottom"/>
              <w:rPr>
                <w:rFonts w:ascii="宋体" w:hAnsi="宋体" w:cs="宋体"/>
                <w:color w:val="auto"/>
                <w:kern w:val="0"/>
                <w:szCs w:val="21"/>
                <w:highlight w:val="none"/>
              </w:rPr>
            </w:pPr>
            <w:r>
              <w:rPr>
                <w:rFonts w:hint="eastAsia" w:ascii="宋体" w:hAnsi="宋体" w:cs="宋体"/>
                <w:color w:val="auto"/>
                <w:kern w:val="0"/>
                <w:szCs w:val="21"/>
                <w:highlight w:val="none"/>
              </w:rPr>
              <w:t>中标公告及中标通知书：由采购人授权评标委员会确定一名中标人并推荐两名中标候选人。评审结束后</w:t>
            </w:r>
            <w:r>
              <w:rPr>
                <w:rFonts w:hint="eastAsia" w:ascii="宋体" w:hAnsi="宋体" w:cs="宋体"/>
                <w:color w:val="auto"/>
                <w:kern w:val="0"/>
                <w:szCs w:val="21"/>
                <w:highlight w:val="none"/>
                <w:lang w:val="en-US" w:eastAsia="zh-CN"/>
              </w:rPr>
              <w:t>在</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驻马店市中心医院网</w:t>
            </w:r>
            <w:r>
              <w:rPr>
                <w:rFonts w:hint="eastAsia" w:ascii="宋体" w:hAnsi="宋体" w:cs="宋体"/>
                <w:color w:val="auto"/>
                <w:kern w:val="0"/>
                <w:szCs w:val="21"/>
                <w:highlight w:val="none"/>
                <w:lang w:eastAsia="zh-CN"/>
              </w:rPr>
              <w:t>》</w:t>
            </w:r>
            <w:r>
              <w:rPr>
                <w:rFonts w:hint="eastAsia" w:ascii="宋体" w:hAnsi="宋体" w:cs="Arial"/>
                <w:color w:val="auto"/>
                <w:kern w:val="0"/>
                <w:szCs w:val="21"/>
                <w:highlight w:val="none"/>
              </w:rPr>
              <w:t>上</w:t>
            </w:r>
            <w:r>
              <w:rPr>
                <w:rFonts w:hint="eastAsia" w:ascii="宋体" w:hAnsi="宋体" w:cs="宋体"/>
                <w:color w:val="auto"/>
                <w:kern w:val="0"/>
                <w:szCs w:val="21"/>
                <w:highlight w:val="none"/>
              </w:rPr>
              <w:t>发布中标公告，</w:t>
            </w:r>
            <w:r>
              <w:rPr>
                <w:rFonts w:hint="eastAsia" w:ascii="宋体" w:hAnsi="宋体" w:cs="宋体"/>
                <w:color w:val="auto"/>
                <w:kern w:val="0"/>
                <w:szCs w:val="21"/>
                <w:highlight w:val="none"/>
                <w:lang w:val="en-US" w:eastAsia="zh-CN"/>
              </w:rPr>
              <w:t>公示期结束后</w:t>
            </w:r>
            <w:r>
              <w:rPr>
                <w:rFonts w:hint="eastAsia" w:ascii="宋体" w:hAnsi="宋体" w:cs="宋体"/>
                <w:color w:val="auto"/>
                <w:kern w:val="0"/>
                <w:szCs w:val="21"/>
                <w:highlight w:val="none"/>
              </w:rPr>
              <w:t>向中标人发出中标通知书。</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10</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jc w:val="left"/>
              <w:textAlignment w:val="bottom"/>
              <w:rPr>
                <w:rFonts w:ascii="宋体" w:hAnsi="宋体" w:cs="宋体"/>
                <w:color w:val="auto"/>
                <w:kern w:val="0"/>
                <w:szCs w:val="21"/>
                <w:highlight w:val="none"/>
              </w:rPr>
            </w:pPr>
            <w:r>
              <w:rPr>
                <w:rFonts w:hint="eastAsia" w:ascii="宋体" w:hAnsi="宋体" w:cs="宋体"/>
                <w:color w:val="auto"/>
                <w:kern w:val="0"/>
                <w:szCs w:val="21"/>
                <w:highlight w:val="none"/>
              </w:rPr>
              <w:t>签订合同：自中标通知书发出之日起</w:t>
            </w:r>
            <w:r>
              <w:rPr>
                <w:rFonts w:hint="eastAsia" w:ascii="宋体" w:hAnsi="宋体" w:cs="宋体"/>
                <w:color w:val="auto"/>
                <w:kern w:val="0"/>
                <w:szCs w:val="21"/>
                <w:highlight w:val="none"/>
                <w:lang w:val="en-US" w:eastAsia="zh-CN"/>
              </w:rPr>
              <w:t>三十</w:t>
            </w:r>
            <w:r>
              <w:rPr>
                <w:rFonts w:hint="eastAsia" w:ascii="宋体" w:hAnsi="宋体" w:cs="宋体"/>
                <w:color w:val="auto"/>
                <w:kern w:val="0"/>
                <w:szCs w:val="21"/>
                <w:highlight w:val="none"/>
              </w:rPr>
              <w:t>个</w:t>
            </w:r>
            <w:r>
              <w:rPr>
                <w:rFonts w:hint="eastAsia" w:ascii="宋体" w:hAnsi="宋体" w:cs="宋体"/>
                <w:color w:val="auto"/>
                <w:kern w:val="0"/>
                <w:szCs w:val="21"/>
                <w:highlight w:val="none"/>
                <w:lang w:val="en-US" w:eastAsia="zh-CN"/>
              </w:rPr>
              <w:t>日历</w:t>
            </w:r>
            <w:r>
              <w:rPr>
                <w:rFonts w:hint="eastAsia" w:ascii="宋体" w:hAnsi="宋体" w:cs="宋体"/>
                <w:color w:val="auto"/>
                <w:kern w:val="0"/>
                <w:szCs w:val="21"/>
                <w:highlight w:val="none"/>
              </w:rPr>
              <w:t>日内。</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11</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jc w:val="left"/>
              <w:textAlignment w:val="bottom"/>
              <w:rPr>
                <w:rFonts w:ascii="宋体" w:hAnsi="宋体" w:cs="宋体"/>
                <w:color w:val="auto"/>
                <w:kern w:val="0"/>
                <w:szCs w:val="21"/>
                <w:highlight w:val="none"/>
              </w:rPr>
            </w:pPr>
            <w:r>
              <w:rPr>
                <w:rFonts w:hint="eastAsia" w:ascii="宋体" w:hAnsi="宋体" w:cs="宋体"/>
                <w:color w:val="auto"/>
                <w:kern w:val="0"/>
                <w:szCs w:val="21"/>
                <w:highlight w:val="none"/>
              </w:rPr>
              <w:t>采购资金来源：自筹资金。</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12</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jc w:val="left"/>
              <w:textAlignment w:val="bottom"/>
              <w:rPr>
                <w:rFonts w:ascii="宋体" w:hAnsi="宋体" w:cs="宋体"/>
                <w:color w:val="auto"/>
                <w:kern w:val="0"/>
                <w:szCs w:val="21"/>
                <w:highlight w:val="none"/>
              </w:rPr>
            </w:pPr>
            <w:r>
              <w:rPr>
                <w:rFonts w:hint="eastAsia" w:ascii="宋体" w:hAnsi="宋体" w:cs="宋体"/>
                <w:color w:val="auto"/>
                <w:kern w:val="0"/>
                <w:szCs w:val="21"/>
                <w:highlight w:val="none"/>
              </w:rPr>
              <w:t>付款方式：详见第二章</w:t>
            </w:r>
            <w:r>
              <w:rPr>
                <w:rFonts w:hint="eastAsia" w:ascii="宋体" w:hAnsi="宋体" w:cs="宋体"/>
                <w:color w:val="auto"/>
                <w:kern w:val="0"/>
                <w:szCs w:val="21"/>
                <w:highlight w:val="none"/>
                <w:lang w:eastAsia="zh-CN"/>
              </w:rPr>
              <w:t>采购</w:t>
            </w:r>
            <w:r>
              <w:rPr>
                <w:rFonts w:hint="eastAsia" w:ascii="宋体" w:hAnsi="宋体" w:cs="宋体"/>
                <w:color w:val="auto"/>
                <w:kern w:val="0"/>
                <w:szCs w:val="21"/>
                <w:highlight w:val="none"/>
              </w:rPr>
              <w:t>需求。</w:t>
            </w:r>
          </w:p>
        </w:tc>
      </w:tr>
      <w:tr>
        <w:tblPrEx>
          <w:tblCellMar>
            <w:top w:w="0" w:type="dxa"/>
            <w:left w:w="0" w:type="dxa"/>
            <w:bottom w:w="0" w:type="dxa"/>
            <w:right w:w="0" w:type="dxa"/>
          </w:tblCellMar>
        </w:tblPrEx>
        <w:trPr>
          <w:trHeight w:val="678"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13</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jc w:val="left"/>
              <w:textAlignment w:val="bottom"/>
              <w:rPr>
                <w:rFonts w:ascii="宋体" w:hAnsi="宋体" w:cs="宋体"/>
                <w:color w:val="auto"/>
                <w:kern w:val="0"/>
                <w:szCs w:val="21"/>
                <w:highlight w:val="none"/>
              </w:rPr>
            </w:pPr>
            <w:r>
              <w:rPr>
                <w:rFonts w:hint="eastAsia" w:ascii="宋体" w:hAnsi="宋体" w:cs="宋体"/>
                <w:color w:val="auto"/>
                <w:kern w:val="0"/>
                <w:szCs w:val="21"/>
                <w:highlight w:val="none"/>
              </w:rPr>
              <w:t>投标文件有效期：投标</w:t>
            </w:r>
            <w:r>
              <w:rPr>
                <w:rFonts w:hint="eastAsia" w:ascii="宋体" w:hAnsi="宋体" w:cs="宋体"/>
                <w:color w:val="auto"/>
                <w:kern w:val="0"/>
                <w:szCs w:val="21"/>
                <w:highlight w:val="none"/>
                <w:lang w:val="en-US" w:eastAsia="zh-CN"/>
              </w:rPr>
              <w:t>文件递交</w:t>
            </w:r>
            <w:r>
              <w:rPr>
                <w:rFonts w:hint="eastAsia" w:ascii="宋体" w:hAnsi="宋体" w:cs="宋体"/>
                <w:color w:val="auto"/>
                <w:kern w:val="0"/>
                <w:szCs w:val="21"/>
                <w:highlight w:val="none"/>
              </w:rPr>
              <w:t>截止期结束后</w:t>
            </w:r>
            <w:r>
              <w:rPr>
                <w:rFonts w:hint="eastAsia" w:ascii="宋体" w:hAnsi="宋体" w:cs="宋体"/>
                <w:color w:val="auto"/>
                <w:kern w:val="0"/>
                <w:szCs w:val="21"/>
                <w:highlight w:val="none"/>
                <w:lang w:val="en-US" w:eastAsia="zh-CN"/>
              </w:rPr>
              <w:t>90</w:t>
            </w:r>
            <w:r>
              <w:rPr>
                <w:rFonts w:hint="eastAsia" w:ascii="宋体" w:hAnsi="宋体" w:cs="宋体"/>
                <w:color w:val="auto"/>
                <w:kern w:val="0"/>
                <w:szCs w:val="21"/>
                <w:highlight w:val="none"/>
              </w:rPr>
              <w:t>日。中标人的投标文件是合同的组成部分,有效期至合同完全履行止。 </w:t>
            </w:r>
          </w:p>
        </w:tc>
      </w:tr>
      <w:tr>
        <w:tblPrEx>
          <w:tblCellMar>
            <w:top w:w="0" w:type="dxa"/>
            <w:left w:w="0" w:type="dxa"/>
            <w:bottom w:w="0" w:type="dxa"/>
            <w:right w:w="0" w:type="dxa"/>
          </w:tblCellMar>
        </w:tblPrEx>
        <w:trPr>
          <w:trHeight w:val="678"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14</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360" w:lineRule="auto"/>
              <w:jc w:val="left"/>
              <w:rPr>
                <w:rFonts w:ascii="宋体" w:hAnsi="宋体" w:cs="宋体"/>
                <w:color w:val="auto"/>
                <w:kern w:val="0"/>
                <w:szCs w:val="21"/>
                <w:highlight w:val="none"/>
              </w:rPr>
            </w:pPr>
            <w:r>
              <w:rPr>
                <w:rFonts w:hint="eastAsia" w:ascii="宋体" w:hAnsi="宋体" w:cs="宋体"/>
                <w:color w:val="auto"/>
                <w:szCs w:val="21"/>
                <w:highlight w:val="none"/>
              </w:rPr>
              <w:t>供应商须提供信用中国网站、中国政府采购网网站查询的网页截图。</w:t>
            </w:r>
          </w:p>
        </w:tc>
      </w:tr>
      <w:tr>
        <w:tblPrEx>
          <w:tblCellMar>
            <w:top w:w="0" w:type="dxa"/>
            <w:left w:w="0" w:type="dxa"/>
            <w:bottom w:w="0" w:type="dxa"/>
            <w:right w:w="0" w:type="dxa"/>
          </w:tblCellMar>
        </w:tblPrEx>
        <w:trPr>
          <w:trHeight w:val="678"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15</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360" w:lineRule="auto"/>
              <w:jc w:val="left"/>
              <w:rPr>
                <w:rFonts w:ascii="宋体" w:hAnsi="宋体" w:cs="宋体"/>
                <w:color w:val="auto"/>
                <w:kern w:val="0"/>
                <w:szCs w:val="21"/>
                <w:highlight w:val="none"/>
              </w:rPr>
            </w:pPr>
            <w:r>
              <w:rPr>
                <w:rFonts w:hint="eastAsia" w:ascii="宋体" w:hAnsi="宋体" w:cs="宋体"/>
                <w:color w:val="auto"/>
                <w:szCs w:val="21"/>
                <w:highlight w:val="none"/>
                <w:lang w:val="en-US" w:eastAsia="zh-CN"/>
              </w:rPr>
              <w:t>商品包装和快递包装应符合《商品包装政府采购需求标准（试行）》和《快递包装政府采购需求标准（试行）》规定，商品的包装和快递包装验收标准应符合《商品包装政府采购需求标准（试行）》和《快递包装政府采购需求标准（试行）》规定，并提供相关的检测报告</w:t>
            </w:r>
            <w:r>
              <w:rPr>
                <w:rFonts w:hint="eastAsia" w:ascii="宋体" w:hAnsi="宋体" w:cs="宋体"/>
                <w:color w:val="auto"/>
                <w:szCs w:val="21"/>
                <w:highlight w:val="none"/>
              </w:rPr>
              <w:t>。</w:t>
            </w:r>
          </w:p>
        </w:tc>
      </w:tr>
      <w:tr>
        <w:tblPrEx>
          <w:tblCellMar>
            <w:top w:w="0" w:type="dxa"/>
            <w:left w:w="0" w:type="dxa"/>
            <w:bottom w:w="0" w:type="dxa"/>
            <w:right w:w="0" w:type="dxa"/>
          </w:tblCellMar>
        </w:tblPrEx>
        <w:trPr>
          <w:trHeight w:val="699"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16</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spacing w:line="360" w:lineRule="auto"/>
              <w:rPr>
                <w:rFonts w:ascii="宋体" w:hAnsi="宋体" w:cs="宋体"/>
                <w:color w:val="auto"/>
                <w:kern w:val="0"/>
                <w:szCs w:val="21"/>
                <w:highlight w:val="none"/>
              </w:rPr>
            </w:pPr>
            <w:r>
              <w:rPr>
                <w:rFonts w:hint="eastAsia" w:ascii="宋体" w:hAnsi="宋体" w:cs="宋体"/>
                <w:bCs/>
                <w:color w:val="auto"/>
                <w:kern w:val="0"/>
                <w:szCs w:val="21"/>
                <w:highlight w:val="none"/>
              </w:rPr>
              <w:t>质疑和投诉：供应商认为</w:t>
            </w:r>
            <w:r>
              <w:rPr>
                <w:rFonts w:hint="eastAsia" w:ascii="宋体" w:hAnsi="宋体" w:cs="宋体"/>
                <w:bCs/>
                <w:color w:val="auto"/>
                <w:kern w:val="0"/>
                <w:szCs w:val="21"/>
                <w:highlight w:val="none"/>
                <w:lang w:val="en-US" w:eastAsia="zh-CN"/>
              </w:rPr>
              <w:t>采购</w:t>
            </w:r>
            <w:r>
              <w:rPr>
                <w:rFonts w:hint="eastAsia" w:ascii="宋体" w:hAnsi="宋体" w:cs="宋体"/>
                <w:bCs/>
                <w:color w:val="auto"/>
                <w:kern w:val="0"/>
                <w:szCs w:val="21"/>
                <w:highlight w:val="none"/>
              </w:rPr>
              <w:t>文件使自己的合法权益受到损害的，</w:t>
            </w:r>
            <w:r>
              <w:rPr>
                <w:rFonts w:hint="eastAsia" w:ascii="宋体" w:hAnsi="宋体" w:cs="宋体"/>
                <w:color w:val="auto"/>
                <w:kern w:val="0"/>
                <w:szCs w:val="21"/>
                <w:highlight w:val="none"/>
              </w:rPr>
              <w:t>应当在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公告期限届满之日(或收到</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文件之日)起</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rPr>
              <w:t>个工作日之内向</w:t>
            </w:r>
            <w:r>
              <w:rPr>
                <w:rFonts w:hint="eastAsia" w:ascii="宋体" w:hAnsi="宋体" w:cs="宋体"/>
                <w:bCs/>
                <w:color w:val="auto"/>
                <w:kern w:val="0"/>
                <w:szCs w:val="21"/>
                <w:highlight w:val="none"/>
              </w:rPr>
              <w:t>采购人提出质疑；供应商认为</w:t>
            </w:r>
            <w:r>
              <w:rPr>
                <w:rFonts w:hint="eastAsia" w:ascii="宋体" w:hAnsi="宋体" w:cs="宋体"/>
                <w:bCs/>
                <w:color w:val="auto"/>
                <w:kern w:val="0"/>
                <w:szCs w:val="21"/>
                <w:highlight w:val="none"/>
                <w:lang w:eastAsia="zh-CN"/>
              </w:rPr>
              <w:t>磋商</w:t>
            </w:r>
            <w:r>
              <w:rPr>
                <w:rFonts w:hint="eastAsia" w:ascii="宋体" w:hAnsi="宋体" w:cs="宋体"/>
                <w:bCs/>
                <w:color w:val="auto"/>
                <w:kern w:val="0"/>
                <w:szCs w:val="21"/>
                <w:highlight w:val="none"/>
              </w:rPr>
              <w:t>过程和中标结果使自己的合法权益受到损害的，应当在知道或者应知其权益受到损害之日起</w:t>
            </w:r>
            <w:r>
              <w:rPr>
                <w:rFonts w:hint="eastAsia" w:ascii="宋体" w:hAnsi="宋体" w:cs="宋体"/>
                <w:bCs/>
                <w:color w:val="auto"/>
                <w:kern w:val="0"/>
                <w:szCs w:val="21"/>
                <w:highlight w:val="none"/>
                <w:lang w:val="en-US" w:eastAsia="zh-CN"/>
              </w:rPr>
              <w:t>3</w:t>
            </w:r>
            <w:r>
              <w:rPr>
                <w:rFonts w:hint="eastAsia" w:ascii="宋体" w:hAnsi="宋体" w:cs="宋体"/>
                <w:bCs/>
                <w:color w:val="auto"/>
                <w:kern w:val="0"/>
                <w:szCs w:val="21"/>
                <w:highlight w:val="none"/>
              </w:rPr>
              <w:t>个工作日内提出质疑。</w:t>
            </w:r>
            <w:r>
              <w:rPr>
                <w:rFonts w:hint="eastAsia" w:ascii="宋体" w:hAnsi="宋体" w:cs="宋体"/>
                <w:color w:val="auto"/>
                <w:kern w:val="0"/>
                <w:szCs w:val="21"/>
                <w:highlight w:val="none"/>
              </w:rPr>
              <w:t>逾期不再受理,</w:t>
            </w:r>
            <w:r>
              <w:rPr>
                <w:rFonts w:hint="eastAsia" w:ascii="宋体" w:hAnsi="宋体" w:cs="宋体"/>
                <w:bCs/>
                <w:color w:val="auto"/>
                <w:kern w:val="0"/>
                <w:szCs w:val="21"/>
                <w:highlight w:val="none"/>
              </w:rPr>
              <w:t>供应商在法定质疑期内应一次性提出针对同一采购环节的质疑</w:t>
            </w:r>
            <w:r>
              <w:rPr>
                <w:rFonts w:hint="eastAsia" w:ascii="宋体" w:hAnsi="宋体" w:cs="宋体"/>
                <w:bCs/>
                <w:color w:val="auto"/>
                <w:kern w:val="0"/>
                <w:szCs w:val="21"/>
                <w:highlight w:val="none"/>
                <w:lang w:eastAsia="zh-CN"/>
              </w:rPr>
              <w:t>。</w:t>
            </w:r>
            <w:r>
              <w:rPr>
                <w:rFonts w:hint="eastAsia" w:ascii="宋体" w:hAnsi="宋体" w:cs="宋体"/>
                <w:color w:val="auto"/>
                <w:kern w:val="0"/>
                <w:szCs w:val="21"/>
                <w:highlight w:val="none"/>
              </w:rPr>
              <w:t>供应商对</w:t>
            </w:r>
            <w:r>
              <w:rPr>
                <w:rFonts w:hint="eastAsia" w:ascii="宋体" w:hAnsi="宋体" w:cs="宋体"/>
                <w:bCs/>
                <w:color w:val="auto"/>
                <w:kern w:val="0"/>
                <w:szCs w:val="21"/>
                <w:highlight w:val="none"/>
              </w:rPr>
              <w:t>采购人</w:t>
            </w:r>
            <w:r>
              <w:rPr>
                <w:rFonts w:hint="eastAsia" w:ascii="宋体" w:hAnsi="宋体" w:cs="宋体"/>
                <w:color w:val="auto"/>
                <w:kern w:val="0"/>
                <w:szCs w:val="21"/>
                <w:highlight w:val="none"/>
              </w:rPr>
              <w:t>的质疑答复不满意,或</w:t>
            </w:r>
            <w:r>
              <w:rPr>
                <w:rFonts w:hint="eastAsia" w:ascii="宋体" w:hAnsi="宋体" w:cs="宋体"/>
                <w:bCs/>
                <w:color w:val="auto"/>
                <w:kern w:val="0"/>
                <w:szCs w:val="21"/>
                <w:highlight w:val="none"/>
              </w:rPr>
              <w:t>采购人</w:t>
            </w:r>
            <w:r>
              <w:rPr>
                <w:rFonts w:hint="eastAsia" w:ascii="宋体" w:hAnsi="宋体" w:cs="宋体"/>
                <w:color w:val="auto"/>
                <w:kern w:val="0"/>
                <w:szCs w:val="21"/>
                <w:highlight w:val="none"/>
              </w:rPr>
              <w:t>未在规定时间内作出答复的，可以在答复期满后15个工作日内向同级财政部门投诉。</w:t>
            </w:r>
          </w:p>
        </w:tc>
      </w:tr>
      <w:tr>
        <w:tblPrEx>
          <w:tblCellMar>
            <w:top w:w="0" w:type="dxa"/>
            <w:left w:w="0" w:type="dxa"/>
            <w:bottom w:w="0" w:type="dxa"/>
            <w:right w:w="0" w:type="dxa"/>
          </w:tblCellMar>
        </w:tblPrEx>
        <w:trPr>
          <w:trHeight w:val="851"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17</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360" w:lineRule="auto"/>
              <w:jc w:val="left"/>
              <w:textAlignment w:val="bottom"/>
              <w:rPr>
                <w:color w:val="auto"/>
                <w:highlight w:val="none"/>
              </w:rPr>
            </w:pPr>
            <w:r>
              <w:rPr>
                <w:rFonts w:hint="eastAsia"/>
                <w:color w:val="auto"/>
                <w:highlight w:val="none"/>
              </w:rPr>
              <w:t>解释：1、构成本</w:t>
            </w:r>
            <w:r>
              <w:rPr>
                <w:rFonts w:hint="eastAsia"/>
                <w:color w:val="auto"/>
                <w:highlight w:val="none"/>
                <w:lang w:val="en-US" w:eastAsia="zh-CN"/>
              </w:rPr>
              <w:t>采购</w:t>
            </w:r>
            <w:r>
              <w:rPr>
                <w:rFonts w:hint="eastAsia"/>
                <w:color w:val="auto"/>
                <w:highlight w:val="none"/>
              </w:rPr>
              <w:t>文件的各个组成文件应互为解释，互为说明；如有不明确或不一致，构成合同文件组成内容的，以合同文件约定内容为准；除</w:t>
            </w:r>
            <w:r>
              <w:rPr>
                <w:rFonts w:hint="eastAsia"/>
                <w:color w:val="auto"/>
                <w:highlight w:val="none"/>
                <w:lang w:val="en-US" w:eastAsia="zh-CN"/>
              </w:rPr>
              <w:t>采购</w:t>
            </w:r>
            <w:r>
              <w:rPr>
                <w:rFonts w:hint="eastAsia"/>
                <w:color w:val="auto"/>
                <w:highlight w:val="none"/>
              </w:rPr>
              <w:t>文件中有特殊规定外，仅适用于招标投标阶段的规定，按</w:t>
            </w:r>
            <w:r>
              <w:rPr>
                <w:rFonts w:hint="eastAsia"/>
                <w:color w:val="auto"/>
                <w:highlight w:val="none"/>
                <w:lang w:val="en-US" w:eastAsia="zh-CN"/>
              </w:rPr>
              <w:t>采购</w:t>
            </w:r>
            <w:r>
              <w:rPr>
                <w:rFonts w:hint="eastAsia"/>
                <w:color w:val="auto"/>
                <w:highlight w:val="none"/>
              </w:rPr>
              <w:t>公告、供应商须知、评标办法、投标文件格式的先后顺序解释；同一组成文件中就同一事项的规定或约定不一致的，以编排顺序在后者为准；当</w:t>
            </w:r>
            <w:r>
              <w:rPr>
                <w:rFonts w:hint="eastAsia"/>
                <w:color w:val="auto"/>
                <w:highlight w:val="none"/>
                <w:lang w:val="en-US" w:eastAsia="zh-CN"/>
              </w:rPr>
              <w:t>采购</w:t>
            </w:r>
            <w:r>
              <w:rPr>
                <w:rFonts w:hint="eastAsia"/>
                <w:color w:val="auto"/>
                <w:highlight w:val="none"/>
              </w:rPr>
              <w:t>文件与</w:t>
            </w:r>
            <w:r>
              <w:rPr>
                <w:rFonts w:hint="eastAsia"/>
                <w:color w:val="auto"/>
                <w:highlight w:val="none"/>
                <w:lang w:val="en-US" w:eastAsia="zh-CN"/>
              </w:rPr>
              <w:t>采购</w:t>
            </w:r>
            <w:r>
              <w:rPr>
                <w:rFonts w:hint="eastAsia"/>
                <w:color w:val="auto"/>
                <w:highlight w:val="none"/>
              </w:rPr>
              <w:t>文件的澄清、修改或补充通知就同一内容的表述不一致时，以最后发出的书面文件为准。合同文件约定或后者明显错误的除外。</w:t>
            </w:r>
          </w:p>
          <w:p>
            <w:pPr>
              <w:widowControl/>
              <w:spacing w:line="360" w:lineRule="auto"/>
              <w:jc w:val="left"/>
              <w:textAlignment w:val="bottom"/>
              <w:rPr>
                <w:rFonts w:ascii="宋体" w:hAnsi="宋体" w:cs="宋体"/>
                <w:color w:val="auto"/>
                <w:kern w:val="0"/>
                <w:szCs w:val="21"/>
                <w:highlight w:val="none"/>
              </w:rPr>
            </w:pPr>
            <w:r>
              <w:rPr>
                <w:rFonts w:hint="eastAsia"/>
                <w:color w:val="auto"/>
                <w:highlight w:val="none"/>
              </w:rPr>
              <w:t>2、本</w:t>
            </w:r>
            <w:r>
              <w:rPr>
                <w:rFonts w:hint="eastAsia"/>
                <w:color w:val="auto"/>
                <w:highlight w:val="none"/>
                <w:lang w:val="en-US" w:eastAsia="zh-CN"/>
              </w:rPr>
              <w:t>采购</w:t>
            </w:r>
            <w:r>
              <w:rPr>
                <w:rFonts w:hint="eastAsia"/>
                <w:color w:val="auto"/>
                <w:highlight w:val="none"/>
              </w:rPr>
              <w:t>文件解释权归采购人。</w:t>
            </w:r>
          </w:p>
        </w:tc>
      </w:tr>
    </w:tbl>
    <w:p>
      <w:pPr>
        <w:rPr>
          <w:color w:val="auto"/>
          <w:highlight w:val="none"/>
        </w:rPr>
      </w:pPr>
    </w:p>
    <w:p>
      <w:pPr>
        <w:keepNext w:val="0"/>
        <w:keepLines w:val="0"/>
        <w:pageBreakBefore w:val="0"/>
        <w:widowControl/>
        <w:kinsoku/>
        <w:wordWrap/>
        <w:overflowPunct/>
        <w:topLinePunct w:val="0"/>
        <w:bidi w:val="0"/>
        <w:snapToGrid w:val="0"/>
        <w:spacing w:line="360" w:lineRule="auto"/>
        <w:ind w:firstLine="2760"/>
        <w:jc w:val="left"/>
        <w:rPr>
          <w:rFonts w:ascii="宋体" w:hAnsi="宋体" w:cs="宋体"/>
          <w:color w:val="auto"/>
          <w:kern w:val="0"/>
          <w:sz w:val="24"/>
          <w:highlight w:val="none"/>
        </w:rPr>
      </w:pPr>
      <w:r>
        <w:rPr>
          <w:rFonts w:hint="eastAsia" w:ascii="黑体" w:hAnsi="宋体" w:eastAsia="黑体" w:cs="宋体"/>
          <w:b/>
          <w:bCs/>
          <w:color w:val="auto"/>
          <w:kern w:val="0"/>
          <w:sz w:val="28"/>
          <w:szCs w:val="28"/>
          <w:highlight w:val="none"/>
        </w:rPr>
        <w:t>一 、说 明</w:t>
      </w:r>
    </w:p>
    <w:p>
      <w:pPr>
        <w:keepNext w:val="0"/>
        <w:keepLines w:val="0"/>
        <w:pageBreakBefore w:val="0"/>
        <w:kinsoku/>
        <w:wordWrap/>
        <w:overflowPunct/>
        <w:topLinePunct w:val="0"/>
        <w:bidi w:val="0"/>
        <w:snapToGrid w:val="0"/>
        <w:spacing w:line="360" w:lineRule="auto"/>
        <w:rPr>
          <w:color w:val="auto"/>
          <w:highlight w:val="none"/>
        </w:rPr>
      </w:pP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1.适用范围</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本</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文件仅适用于</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公告中所叙述项目的货物采购。</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2.定义</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2.1 “采购人”系指本次采购项目的业主方。</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2.2 “投标人”系指</w:t>
      </w:r>
      <w:r>
        <w:rPr>
          <w:rFonts w:hint="eastAsia" w:ascii="宋体" w:hAnsi="宋体" w:cs="宋体"/>
          <w:color w:val="auto"/>
          <w:kern w:val="0"/>
          <w:szCs w:val="21"/>
          <w:highlight w:val="none"/>
          <w:lang w:val="en-US" w:eastAsia="zh-CN"/>
        </w:rPr>
        <w:t>领取</w:t>
      </w:r>
      <w:r>
        <w:rPr>
          <w:rFonts w:hint="eastAsia" w:ascii="宋体" w:hAnsi="宋体" w:cs="宋体"/>
          <w:color w:val="auto"/>
          <w:kern w:val="0"/>
          <w:szCs w:val="21"/>
          <w:highlight w:val="none"/>
        </w:rPr>
        <w:t>了本</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文件，且已经提交本次投标文件的投标人。</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2.3 “投标人代表”系指代表投标人参加本次</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活动的投标人的法定代表人或其委托代理人。</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2.4 “货物”系指投标人按</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文件规定向采购人提供的一切设备、机械、仪器仪表、备品备件、工具、手册及其它有关技术资料和材料。</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2.5 “相关服务”系指</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文件规定投标人须承担的与本次采购货物相关的安装、调试、技术协助、校准、培训以及其他类似的义务。。</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3.本次采购预算（最高限价）为</w:t>
      </w:r>
      <w:r>
        <w:rPr>
          <w:rFonts w:hint="eastAsia" w:ascii="宋体" w:hAnsi="宋体" w:cs="宋体"/>
          <w:b/>
          <w:bCs/>
          <w:color w:val="auto"/>
          <w:kern w:val="0"/>
          <w:szCs w:val="21"/>
          <w:highlight w:val="none"/>
          <w:lang w:val="en-US" w:eastAsia="zh-CN"/>
        </w:rPr>
        <w:t>27.5万</w:t>
      </w:r>
      <w:r>
        <w:rPr>
          <w:rFonts w:hint="eastAsia" w:ascii="宋体" w:hAnsi="宋体" w:cs="宋体"/>
          <w:b/>
          <w:bCs/>
          <w:color w:val="auto"/>
          <w:kern w:val="0"/>
          <w:szCs w:val="21"/>
          <w:highlight w:val="none"/>
        </w:rPr>
        <w:t>元</w:t>
      </w:r>
      <w:r>
        <w:rPr>
          <w:rFonts w:hint="eastAsia" w:ascii="宋体" w:hAnsi="宋体" w:cs="宋体"/>
          <w:color w:val="auto"/>
          <w:kern w:val="0"/>
          <w:szCs w:val="21"/>
          <w:highlight w:val="none"/>
        </w:rPr>
        <w:t>。</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szCs w:val="21"/>
          <w:highlight w:val="none"/>
        </w:rPr>
      </w:pPr>
      <w:r>
        <w:rPr>
          <w:rFonts w:hint="eastAsia" w:ascii="宋体" w:hAnsi="宋体" w:cs="宋体"/>
          <w:b/>
          <w:bCs/>
          <w:color w:val="auto"/>
          <w:kern w:val="0"/>
          <w:szCs w:val="21"/>
          <w:highlight w:val="none"/>
        </w:rPr>
        <w:t>4.投标人应提交的证明文件</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4.1 </w:t>
      </w:r>
      <w:r>
        <w:rPr>
          <w:rFonts w:hint="eastAsia" w:ascii="宋体" w:hAnsi="宋体" w:cs="宋体"/>
          <w:color w:val="auto"/>
          <w:szCs w:val="21"/>
          <w:highlight w:val="none"/>
          <w:lang w:eastAsia="zh-CN"/>
        </w:rPr>
        <w:t>供应商应为注册在中华人民共和国境内的，且具有独立承担民事责任能力，</w:t>
      </w:r>
      <w:r>
        <w:rPr>
          <w:rFonts w:hint="eastAsia" w:ascii="宋体" w:hAnsi="宋体" w:cs="宋体"/>
          <w:color w:val="auto"/>
          <w:szCs w:val="21"/>
          <w:highlight w:val="none"/>
        </w:rPr>
        <w:t>提供法人或者其他组织的营业执照等证明文件</w:t>
      </w:r>
      <w:r>
        <w:rPr>
          <w:rFonts w:hint="eastAsia" w:ascii="宋体" w:hAnsi="宋体" w:cs="宋体"/>
          <w:color w:val="auto"/>
          <w:szCs w:val="21"/>
          <w:highlight w:val="none"/>
          <w:lang w:eastAsia="zh-CN"/>
        </w:rPr>
        <w:t>。单位负责人为同一人或者存在直接控股、管理关系的不同供应商，不得参加同一合同项下的投标。一经发现，将导致投标同时被拒绝（提供加盖供应商公章的“国家企业信用信息公示系统”网站查询结果网页截图，须显示公司基本信息、主要人员信息、股东信息)</w:t>
      </w:r>
      <w:r>
        <w:rPr>
          <w:rFonts w:hint="eastAsia" w:ascii="宋体" w:hAnsi="宋体" w:cs="宋体"/>
          <w:color w:val="auto"/>
          <w:szCs w:val="21"/>
          <w:highlight w:val="none"/>
        </w:rPr>
        <w:t>；</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4.2 </w:t>
      </w:r>
      <w:r>
        <w:rPr>
          <w:rFonts w:hint="eastAsia" w:ascii="宋体" w:hAnsi="宋体" w:eastAsia="宋体" w:cs="宋体"/>
          <w:color w:val="auto"/>
          <w:kern w:val="2"/>
          <w:sz w:val="21"/>
          <w:szCs w:val="24"/>
          <w:lang w:val="en-US" w:eastAsia="zh-CN" w:bidi="ar-SA"/>
        </w:rPr>
        <w:t>供应商应提供202</w:t>
      </w:r>
      <w:r>
        <w:rPr>
          <w:rFonts w:hint="eastAsia" w:ascii="宋体" w:hAnsi="宋体" w:cs="宋体"/>
          <w:color w:val="auto"/>
          <w:kern w:val="2"/>
          <w:sz w:val="21"/>
          <w:szCs w:val="24"/>
          <w:lang w:val="en-US" w:eastAsia="zh-CN" w:bidi="ar-SA"/>
        </w:rPr>
        <w:t>1</w:t>
      </w:r>
      <w:r>
        <w:rPr>
          <w:rFonts w:hint="eastAsia" w:ascii="宋体" w:hAnsi="宋体" w:eastAsia="宋体" w:cs="宋体"/>
          <w:color w:val="auto"/>
          <w:kern w:val="2"/>
          <w:sz w:val="21"/>
          <w:szCs w:val="24"/>
          <w:lang w:val="en-US" w:eastAsia="zh-CN" w:bidi="ar-SA"/>
        </w:rPr>
        <w:t>年度经审计的财务报告或者其基本开户银行出具的资信证明；采购活动前近三个月内或上个季度的依法缴纳税收的凭据和缴纳社会保险的凭据；依法免税或不需要缴纳社会保障资金的供应商，应提供相应文件证明其依法免税或不需要缴纳社会保障资金。（新成立企业从成立之日起计算）</w:t>
      </w:r>
      <w:r>
        <w:rPr>
          <w:rFonts w:hint="eastAsia" w:ascii="宋体" w:hAnsi="宋体" w:cs="宋体"/>
          <w:color w:val="auto"/>
          <w:szCs w:val="21"/>
          <w:highlight w:val="none"/>
        </w:rPr>
        <w:t>；</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4.3 </w:t>
      </w:r>
      <w:r>
        <w:rPr>
          <w:rFonts w:hint="eastAsia" w:ascii="宋体" w:hAnsi="宋体" w:eastAsia="宋体" w:cs="宋体"/>
          <w:color w:val="auto"/>
          <w:kern w:val="2"/>
          <w:sz w:val="21"/>
          <w:szCs w:val="24"/>
          <w:lang w:val="en-US" w:eastAsia="zh-CN" w:bidi="ar-SA"/>
        </w:rPr>
        <w:t>参加本采购活动前三年内，在经营活动中没有重大违法记录</w:t>
      </w:r>
      <w:r>
        <w:rPr>
          <w:rFonts w:hint="eastAsia" w:ascii="宋体" w:hAnsi="宋体" w:cs="宋体"/>
          <w:color w:val="auto"/>
          <w:szCs w:val="21"/>
          <w:highlight w:val="none"/>
        </w:rPr>
        <w:t>的书面声明函；</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4.4 具备履行合同所必需的设备和专业技术能力的书面声明函；</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szCs w:val="21"/>
          <w:highlight w:val="yellow"/>
        </w:rPr>
      </w:pPr>
      <w:r>
        <w:rPr>
          <w:rFonts w:hint="eastAsia" w:ascii="宋体" w:hAnsi="宋体" w:cs="宋体"/>
          <w:color w:val="auto"/>
          <w:szCs w:val="21"/>
          <w:highlight w:val="none"/>
        </w:rPr>
        <w:t xml:space="preserve">4.5 </w:t>
      </w:r>
      <w:r>
        <w:rPr>
          <w:rFonts w:hint="eastAsia"/>
          <w:color w:val="auto"/>
          <w:highlight w:val="none"/>
          <w:lang w:val="en-US" w:eastAsia="zh-CN"/>
        </w:rPr>
        <w:t>供应商是生产厂家的须具有《医疗器械生产许可证》；供应商是代理商的须具有《医疗器械经营许可证》或《医疗器械经营备案凭证》</w:t>
      </w:r>
      <w:r>
        <w:rPr>
          <w:rFonts w:hint="eastAsia" w:ascii="宋体" w:hAnsi="宋体" w:cs="宋体"/>
          <w:color w:val="auto"/>
          <w:szCs w:val="21"/>
          <w:highlight w:val="none"/>
        </w:rPr>
        <w:t>。</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
          <w:bCs/>
          <w:color w:val="auto"/>
          <w:kern w:val="0"/>
          <w:szCs w:val="21"/>
          <w:highlight w:val="none"/>
        </w:rPr>
      </w:pPr>
      <w:r>
        <w:rPr>
          <w:rFonts w:hint="eastAsia" w:ascii="宋体" w:hAnsi="宋体" w:cs="宋体"/>
          <w:color w:val="auto"/>
          <w:szCs w:val="21"/>
          <w:highlight w:val="none"/>
        </w:rPr>
        <w:t xml:space="preserve">4.6 </w:t>
      </w:r>
      <w:r>
        <w:rPr>
          <w:rFonts w:hint="eastAsia"/>
          <w:color w:val="auto"/>
          <w:lang w:val="en-US" w:eastAsia="zh-CN"/>
        </w:rPr>
        <w:t>根据《关于在政府采购活动中查询及使用信用记录有关问题的通知》（财库【2016】125号）的规定，对列入失信被执行人、重大税收违法失信主体、政府采购严重违法失信行为记录名单的供应商，拒绝参与本项目政府采购活动，参与采购的供应商应提供查询企业信用记录的网页打印页并加盖供应商公章，查询时间应在采购公告发布日期之后，【查询渠道：“信用中国”网站、中国政府采购网】</w:t>
      </w:r>
      <w:r>
        <w:rPr>
          <w:rFonts w:hint="eastAsia" w:ascii="宋体" w:hAnsi="宋体" w:cs="宋体"/>
          <w:color w:val="auto"/>
          <w:szCs w:val="21"/>
          <w:highlight w:val="none"/>
        </w:rPr>
        <w:t>。</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5.投标费用</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不论投标结果如何，投标人均应自行承担所有与投标有关的全部费用。</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6.联合体投标：本项目不接受联合体投标。</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7.关联企业投标</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7.1 本</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文件所称关联企业,是指存在关联关系的企业。“关联关系”的界定适用《中华人民共和国公司法》第二百一十六条、《中华人民共和国政府采购法实施条例》第十八条之规定。</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7.2 关联企业中, 同一个法定代表人的两个及两个以上法人，母公司、全资子公司及其控股公司，都不得同时投标。单位负责人为同一人或者存在直接控股、管理关系的不同供应商，不得参加同一合同项下的投标。一经发现，将导致投标同时被拒绝（提供加盖供应商公章的“国家企业信用信息公示系统”网站查询结果网页截图，须显示公司基本信息、主要人员信息、股东信息)。</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7.3 为采购项目提供整体设计、规范编制或者项目管理、监理、检测等服务的供应商，不得再参加该采购项目的投标活动。</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8.转包与分包</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8.1本项目不允许采取转包方式履行合同。</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8.2本项目不允许采取分包方式履行合同。</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9.特别说明：</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9.1 投标人投标所使用的资格、信誉、荣誉、业绩与企业认证必须为本法人所拥有。  </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9.2 投标人代表只能接受一个投标人的委托参加投标。</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9.3《政府采购法》第二十二条第五款“参加政府采购活动前三年内，在经营活动中没有重大违法记录”，“重大违法记录”包括投标人或者其法定代表人、董事、监事、高级管理人员因经营活动中的违法行为受到行政处罚，但警告和罚款额在人民币3万元以下的行政处罚除外；投标人或其法定代表人、董事、监事、高级管理人员因经营活动中的违法行为受到刑事处罚。</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9.4投标人在投标活动中提供虚假材料或从事其他违法活动的,其投标无效，由相关部门查处。</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10.质疑和投诉</w:t>
      </w:r>
    </w:p>
    <w:p>
      <w:pPr>
        <w:keepNext w:val="0"/>
        <w:keepLines w:val="0"/>
        <w:pageBreakBefore w:val="0"/>
        <w:widowControl/>
        <w:kinsoku/>
        <w:wordWrap/>
        <w:overflowPunct/>
        <w:topLinePunct w:val="0"/>
        <w:bidi w:val="0"/>
        <w:snapToGrid w:val="0"/>
        <w:spacing w:line="360" w:lineRule="auto"/>
        <w:ind w:firstLine="411" w:firstLineChars="196"/>
        <w:jc w:val="left"/>
        <w:rPr>
          <w:rFonts w:ascii="宋体" w:hAnsi="宋体" w:cs="宋体"/>
          <w:color w:val="auto"/>
          <w:kern w:val="0"/>
          <w:szCs w:val="21"/>
          <w:highlight w:val="none"/>
        </w:rPr>
      </w:pPr>
      <w:r>
        <w:rPr>
          <w:rFonts w:hint="eastAsia" w:ascii="宋体" w:hAnsi="宋体" w:cs="宋体"/>
          <w:color w:val="auto"/>
          <w:kern w:val="0"/>
          <w:szCs w:val="21"/>
          <w:highlight w:val="none"/>
        </w:rPr>
        <w:t>10.1 </w:t>
      </w:r>
      <w:r>
        <w:rPr>
          <w:rFonts w:hint="eastAsia" w:ascii="宋体" w:hAnsi="宋体" w:cs="宋体"/>
          <w:bCs/>
          <w:color w:val="auto"/>
          <w:kern w:val="0"/>
          <w:szCs w:val="21"/>
          <w:highlight w:val="none"/>
        </w:rPr>
        <w:t>供应商认为</w:t>
      </w:r>
      <w:r>
        <w:rPr>
          <w:rFonts w:hint="eastAsia" w:ascii="宋体" w:hAnsi="宋体" w:cs="宋体"/>
          <w:bCs/>
          <w:color w:val="auto"/>
          <w:kern w:val="0"/>
          <w:szCs w:val="21"/>
          <w:highlight w:val="none"/>
          <w:lang w:val="en-US" w:eastAsia="zh-CN"/>
        </w:rPr>
        <w:t>采购</w:t>
      </w:r>
      <w:r>
        <w:rPr>
          <w:rFonts w:hint="eastAsia" w:ascii="宋体" w:hAnsi="宋体" w:cs="宋体"/>
          <w:bCs/>
          <w:color w:val="auto"/>
          <w:kern w:val="0"/>
          <w:szCs w:val="21"/>
          <w:highlight w:val="none"/>
        </w:rPr>
        <w:t>文件使自己的合法权益受到损害的，</w:t>
      </w:r>
      <w:r>
        <w:rPr>
          <w:rFonts w:hint="eastAsia" w:ascii="宋体" w:hAnsi="宋体" w:cs="宋体"/>
          <w:color w:val="auto"/>
          <w:kern w:val="0"/>
          <w:szCs w:val="21"/>
          <w:highlight w:val="none"/>
        </w:rPr>
        <w:t>应当在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公告期限届满之日(或收到</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文件之日)起</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rPr>
        <w:t>个工作日之内向</w:t>
      </w:r>
      <w:r>
        <w:rPr>
          <w:rFonts w:hint="eastAsia" w:ascii="宋体" w:hAnsi="宋体" w:cs="宋体"/>
          <w:bCs/>
          <w:color w:val="auto"/>
          <w:kern w:val="0"/>
          <w:szCs w:val="21"/>
          <w:highlight w:val="none"/>
        </w:rPr>
        <w:t>采购人提出质疑；供应商认为</w:t>
      </w:r>
      <w:r>
        <w:rPr>
          <w:rFonts w:hint="eastAsia" w:ascii="宋体" w:hAnsi="宋体" w:cs="宋体"/>
          <w:bCs/>
          <w:color w:val="auto"/>
          <w:kern w:val="0"/>
          <w:szCs w:val="21"/>
          <w:highlight w:val="none"/>
          <w:lang w:eastAsia="zh-CN"/>
        </w:rPr>
        <w:t>磋商</w:t>
      </w:r>
      <w:r>
        <w:rPr>
          <w:rFonts w:hint="eastAsia" w:ascii="宋体" w:hAnsi="宋体" w:cs="宋体"/>
          <w:bCs/>
          <w:color w:val="auto"/>
          <w:kern w:val="0"/>
          <w:szCs w:val="21"/>
          <w:highlight w:val="none"/>
        </w:rPr>
        <w:t>过程和中标结果使自己的合法权益受到损害的，应当在知道或者应知其权益受到损害之日起</w:t>
      </w:r>
      <w:r>
        <w:rPr>
          <w:rFonts w:hint="eastAsia" w:ascii="宋体" w:hAnsi="宋体" w:cs="宋体"/>
          <w:bCs/>
          <w:color w:val="auto"/>
          <w:kern w:val="0"/>
          <w:szCs w:val="21"/>
          <w:highlight w:val="none"/>
          <w:lang w:val="en-US" w:eastAsia="zh-CN"/>
        </w:rPr>
        <w:t>3</w:t>
      </w:r>
      <w:r>
        <w:rPr>
          <w:rFonts w:hint="eastAsia" w:ascii="宋体" w:hAnsi="宋体" w:cs="宋体"/>
          <w:bCs/>
          <w:color w:val="auto"/>
          <w:kern w:val="0"/>
          <w:szCs w:val="21"/>
          <w:highlight w:val="none"/>
        </w:rPr>
        <w:t>个工作日内提出质疑。</w:t>
      </w:r>
      <w:r>
        <w:rPr>
          <w:rFonts w:hint="eastAsia" w:ascii="宋体" w:hAnsi="宋体" w:cs="宋体"/>
          <w:color w:val="auto"/>
          <w:kern w:val="0"/>
          <w:szCs w:val="21"/>
          <w:highlight w:val="none"/>
        </w:rPr>
        <w:t>逾期不再受理,</w:t>
      </w:r>
      <w:r>
        <w:rPr>
          <w:rFonts w:hint="eastAsia" w:ascii="宋体" w:hAnsi="宋体" w:cs="宋体"/>
          <w:bCs/>
          <w:color w:val="auto"/>
          <w:kern w:val="0"/>
          <w:szCs w:val="21"/>
          <w:highlight w:val="none"/>
        </w:rPr>
        <w:t>供应商在法定质疑期内应一次性提出针对同一采购环节的质疑。</w:t>
      </w:r>
      <w:r>
        <w:rPr>
          <w:rFonts w:hint="eastAsia" w:ascii="宋体" w:hAnsi="宋体" w:cs="宋体"/>
          <w:color w:val="auto"/>
          <w:kern w:val="0"/>
          <w:szCs w:val="21"/>
          <w:highlight w:val="none"/>
        </w:rPr>
        <w:t>供应商对</w:t>
      </w:r>
      <w:r>
        <w:rPr>
          <w:rFonts w:hint="eastAsia" w:ascii="宋体" w:hAnsi="宋体" w:cs="宋体"/>
          <w:bCs/>
          <w:color w:val="auto"/>
          <w:kern w:val="0"/>
          <w:szCs w:val="21"/>
          <w:highlight w:val="none"/>
        </w:rPr>
        <w:t>采购人</w:t>
      </w:r>
      <w:r>
        <w:rPr>
          <w:rFonts w:hint="eastAsia" w:ascii="宋体" w:hAnsi="宋体" w:cs="宋体"/>
          <w:color w:val="auto"/>
          <w:kern w:val="0"/>
          <w:szCs w:val="21"/>
          <w:highlight w:val="none"/>
        </w:rPr>
        <w:t>的质疑答复不满意,或</w:t>
      </w:r>
      <w:r>
        <w:rPr>
          <w:rFonts w:hint="eastAsia" w:ascii="宋体" w:hAnsi="宋体" w:cs="宋体"/>
          <w:bCs/>
          <w:color w:val="auto"/>
          <w:kern w:val="0"/>
          <w:szCs w:val="21"/>
          <w:highlight w:val="none"/>
        </w:rPr>
        <w:t>采购人</w:t>
      </w:r>
      <w:r>
        <w:rPr>
          <w:rFonts w:hint="eastAsia" w:ascii="宋体" w:hAnsi="宋体" w:cs="宋体"/>
          <w:color w:val="auto"/>
          <w:kern w:val="0"/>
          <w:szCs w:val="21"/>
          <w:highlight w:val="none"/>
        </w:rPr>
        <w:t>未在规定时间内作出答复的，可以在答复期满后15个工作日内向</w:t>
      </w:r>
      <w:r>
        <w:rPr>
          <w:rFonts w:hint="eastAsia" w:ascii="宋体" w:hAnsi="宋体" w:cs="宋体"/>
          <w:color w:val="auto"/>
          <w:kern w:val="0"/>
          <w:szCs w:val="21"/>
          <w:highlight w:val="none"/>
          <w:lang w:val="en-US" w:eastAsia="zh-CN"/>
        </w:rPr>
        <w:t>医院纪检</w:t>
      </w:r>
      <w:r>
        <w:rPr>
          <w:rFonts w:hint="eastAsia" w:ascii="宋体" w:hAnsi="宋体" w:cs="宋体"/>
          <w:color w:val="auto"/>
          <w:kern w:val="0"/>
          <w:szCs w:val="21"/>
          <w:highlight w:val="none"/>
        </w:rPr>
        <w:t>部门投诉。</w:t>
      </w:r>
    </w:p>
    <w:p>
      <w:pPr>
        <w:keepNext w:val="0"/>
        <w:keepLines w:val="0"/>
        <w:pageBreakBefore w:val="0"/>
        <w:widowControl/>
        <w:shd w:val="clear" w:color="auto" w:fill="FFFFFF"/>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10.2 </w:t>
      </w:r>
      <w:r>
        <w:rPr>
          <w:rFonts w:hint="eastAsia" w:ascii="宋体" w:hAnsi="宋体" w:cs="宋体"/>
          <w:bCs/>
          <w:color w:val="auto"/>
          <w:kern w:val="0"/>
          <w:szCs w:val="21"/>
          <w:highlight w:val="none"/>
        </w:rPr>
        <w:t>质疑、投诉应当采用书面形式，质疑书、投诉书均应明确阐述</w:t>
      </w:r>
      <w:r>
        <w:rPr>
          <w:rFonts w:hint="eastAsia" w:ascii="宋体" w:hAnsi="宋体" w:cs="宋体"/>
          <w:bCs/>
          <w:color w:val="auto"/>
          <w:kern w:val="0"/>
          <w:szCs w:val="21"/>
          <w:highlight w:val="none"/>
          <w:lang w:val="en-US" w:eastAsia="zh-CN"/>
        </w:rPr>
        <w:t>采购</w:t>
      </w:r>
      <w:r>
        <w:rPr>
          <w:rFonts w:hint="eastAsia" w:ascii="宋体" w:hAnsi="宋体" w:cs="宋体"/>
          <w:bCs/>
          <w:color w:val="auto"/>
          <w:kern w:val="0"/>
          <w:szCs w:val="21"/>
          <w:highlight w:val="none"/>
        </w:rPr>
        <w:t>文件、</w:t>
      </w:r>
      <w:r>
        <w:rPr>
          <w:rFonts w:hint="eastAsia" w:ascii="宋体" w:hAnsi="宋体" w:cs="宋体"/>
          <w:bCs/>
          <w:color w:val="auto"/>
          <w:kern w:val="0"/>
          <w:szCs w:val="21"/>
          <w:highlight w:val="none"/>
          <w:lang w:eastAsia="zh-CN"/>
        </w:rPr>
        <w:t>磋商</w:t>
      </w:r>
      <w:r>
        <w:rPr>
          <w:rFonts w:hint="eastAsia" w:ascii="宋体" w:hAnsi="宋体" w:cs="宋体"/>
          <w:bCs/>
          <w:color w:val="auto"/>
          <w:kern w:val="0"/>
          <w:szCs w:val="21"/>
          <w:highlight w:val="none"/>
        </w:rPr>
        <w:t>过程和中标结果中使自己合法权益受到损害的实质性内容，提供相关事实、依据和证据及其来源或线索，便于有关单位调查、答复和处理。</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11.投标人的风险</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 w:val="24"/>
          <w:highlight w:val="none"/>
        </w:rPr>
      </w:pPr>
      <w:r>
        <w:rPr>
          <w:rFonts w:hint="eastAsia" w:ascii="宋体" w:hAnsi="宋体" w:cs="宋体"/>
          <w:color w:val="auto"/>
          <w:kern w:val="0"/>
          <w:szCs w:val="21"/>
          <w:highlight w:val="none"/>
        </w:rPr>
        <w:t>投标人没有按照</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文件要求提供全部资料，或者投标人没有对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文件在各方面都作出实质性响应是投标人的风险，并可能导致其投标被拒绝。</w:t>
      </w:r>
    </w:p>
    <w:p>
      <w:pPr>
        <w:keepNext w:val="0"/>
        <w:keepLines w:val="0"/>
        <w:pageBreakBefore w:val="0"/>
        <w:widowControl/>
        <w:kinsoku/>
        <w:wordWrap/>
        <w:overflowPunct/>
        <w:topLinePunct w:val="0"/>
        <w:bidi w:val="0"/>
        <w:snapToGrid w:val="0"/>
        <w:spacing w:line="360" w:lineRule="auto"/>
        <w:jc w:val="center"/>
        <w:rPr>
          <w:rFonts w:ascii="宋体" w:hAnsi="宋体" w:cs="宋体"/>
          <w:color w:val="auto"/>
          <w:kern w:val="0"/>
          <w:sz w:val="24"/>
          <w:highlight w:val="none"/>
        </w:rPr>
      </w:pPr>
      <w:r>
        <w:rPr>
          <w:rFonts w:hint="eastAsia" w:ascii="黑体" w:hAnsi="宋体" w:eastAsia="黑体" w:cs="宋体"/>
          <w:b/>
          <w:bCs/>
          <w:color w:val="auto"/>
          <w:kern w:val="0"/>
          <w:sz w:val="32"/>
          <w:szCs w:val="32"/>
          <w:highlight w:val="none"/>
        </w:rPr>
        <w:t>二、</w:t>
      </w:r>
      <w:r>
        <w:rPr>
          <w:rFonts w:hint="eastAsia" w:ascii="黑体" w:hAnsi="宋体" w:eastAsia="黑体" w:cs="宋体"/>
          <w:b/>
          <w:bCs/>
          <w:color w:val="auto"/>
          <w:kern w:val="0"/>
          <w:sz w:val="32"/>
          <w:szCs w:val="32"/>
          <w:highlight w:val="none"/>
          <w:lang w:val="en-US" w:eastAsia="zh-CN"/>
        </w:rPr>
        <w:t>采购</w:t>
      </w:r>
      <w:r>
        <w:rPr>
          <w:rFonts w:hint="eastAsia" w:ascii="黑体" w:hAnsi="宋体" w:eastAsia="黑体" w:cs="宋体"/>
          <w:b/>
          <w:bCs/>
          <w:color w:val="auto"/>
          <w:kern w:val="0"/>
          <w:sz w:val="32"/>
          <w:szCs w:val="32"/>
          <w:highlight w:val="none"/>
        </w:rPr>
        <w:t>文件</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color w:val="auto"/>
          <w:kern w:val="0"/>
          <w:szCs w:val="21"/>
          <w:highlight w:val="none"/>
        </w:rPr>
      </w:pPr>
      <w:r>
        <w:rPr>
          <w:rFonts w:hint="eastAsia" w:ascii="宋体" w:hAnsi="宋体" w:cs="宋体"/>
          <w:b/>
          <w:bCs/>
          <w:color w:val="auto"/>
          <w:kern w:val="0"/>
          <w:szCs w:val="21"/>
          <w:highlight w:val="none"/>
        </w:rPr>
        <w:t>12.</w:t>
      </w:r>
      <w:r>
        <w:rPr>
          <w:rFonts w:hint="eastAsia" w:ascii="宋体" w:hAnsi="宋体" w:cs="宋体"/>
          <w:b/>
          <w:bCs/>
          <w:color w:val="auto"/>
          <w:kern w:val="0"/>
          <w:szCs w:val="21"/>
          <w:highlight w:val="none"/>
          <w:lang w:val="en-US" w:eastAsia="zh-CN"/>
        </w:rPr>
        <w:t>采购</w:t>
      </w:r>
      <w:r>
        <w:rPr>
          <w:rFonts w:hint="eastAsia" w:ascii="宋体" w:hAnsi="宋体" w:cs="宋体"/>
          <w:b/>
          <w:bCs/>
          <w:color w:val="auto"/>
          <w:kern w:val="0"/>
          <w:szCs w:val="21"/>
          <w:highlight w:val="none"/>
        </w:rPr>
        <w:t>文件的构成。本</w:t>
      </w:r>
      <w:r>
        <w:rPr>
          <w:rFonts w:hint="eastAsia" w:ascii="宋体" w:hAnsi="宋体" w:cs="宋体"/>
          <w:b/>
          <w:bCs/>
          <w:color w:val="auto"/>
          <w:kern w:val="0"/>
          <w:szCs w:val="21"/>
          <w:highlight w:val="none"/>
          <w:lang w:val="en-US" w:eastAsia="zh-CN"/>
        </w:rPr>
        <w:t>采购</w:t>
      </w:r>
      <w:r>
        <w:rPr>
          <w:rFonts w:hint="eastAsia" w:ascii="宋体" w:hAnsi="宋体" w:cs="宋体"/>
          <w:b/>
          <w:bCs/>
          <w:color w:val="auto"/>
          <w:kern w:val="0"/>
          <w:szCs w:val="21"/>
          <w:highlight w:val="none"/>
        </w:rPr>
        <w:t>文件由以下部分组成：</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12.1 </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12.2 </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需求</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12.3 投标人须知</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12.4 评标办法</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12.5 合同主要条款</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12.6 投标文件格式</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b/>
          <w:bCs/>
          <w:color w:val="auto"/>
          <w:kern w:val="0"/>
          <w:szCs w:val="21"/>
          <w:highlight w:val="none"/>
        </w:rPr>
      </w:pPr>
      <w:r>
        <w:rPr>
          <w:rFonts w:hint="eastAsia" w:ascii="宋体" w:hAnsi="宋体" w:cs="宋体"/>
          <w:b/>
          <w:bCs/>
          <w:color w:val="auto"/>
          <w:kern w:val="0"/>
          <w:szCs w:val="21"/>
          <w:highlight w:val="none"/>
        </w:rPr>
        <w:t>13.</w:t>
      </w:r>
      <w:r>
        <w:rPr>
          <w:rFonts w:hint="eastAsia" w:ascii="宋体" w:hAnsi="宋体" w:cs="宋体"/>
          <w:b/>
          <w:bCs/>
          <w:color w:val="auto"/>
          <w:kern w:val="0"/>
          <w:szCs w:val="21"/>
          <w:highlight w:val="none"/>
          <w:lang w:val="en-US" w:eastAsia="zh-CN"/>
        </w:rPr>
        <w:t>采购</w:t>
      </w:r>
      <w:r>
        <w:rPr>
          <w:rFonts w:hint="eastAsia" w:ascii="宋体" w:hAnsi="宋体" w:cs="宋体"/>
          <w:b/>
          <w:bCs/>
          <w:color w:val="auto"/>
          <w:kern w:val="0"/>
          <w:szCs w:val="21"/>
          <w:highlight w:val="none"/>
        </w:rPr>
        <w:t>文件的澄清与修改</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13.1 </w:t>
      </w:r>
      <w:r>
        <w:rPr>
          <w:rFonts w:hint="eastAsia" w:ascii="宋体" w:hAnsi="宋体" w:cs="宋体"/>
          <w:color w:val="auto"/>
          <w:kern w:val="0"/>
          <w:szCs w:val="21"/>
          <w:highlight w:val="none"/>
          <w:lang w:eastAsia="zh-CN"/>
        </w:rPr>
        <w:t>采购人</w:t>
      </w:r>
      <w:r>
        <w:rPr>
          <w:rFonts w:hint="eastAsia" w:ascii="宋体" w:hAnsi="宋体" w:cs="宋体"/>
          <w:color w:val="auto"/>
          <w:kern w:val="0"/>
          <w:szCs w:val="21"/>
          <w:highlight w:val="none"/>
        </w:rPr>
        <w:t>对已发出的</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文件进行必要澄清、修改或补充的，应当在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文件要求提交投标文件截止时间</w:t>
      </w:r>
      <w:r>
        <w:rPr>
          <w:rFonts w:hint="eastAsia" w:ascii="宋体" w:hAnsi="宋体" w:cs="宋体"/>
          <w:color w:val="auto"/>
          <w:kern w:val="0"/>
          <w:szCs w:val="21"/>
          <w:highlight w:val="none"/>
          <w:lang w:val="en-US" w:eastAsia="zh-CN"/>
        </w:rPr>
        <w:t>3</w:t>
      </w:r>
      <w:r>
        <w:rPr>
          <w:rFonts w:hint="eastAsia" w:ascii="宋体" w:hAnsi="宋体" w:cs="宋体"/>
          <w:bCs/>
          <w:color w:val="auto"/>
          <w:kern w:val="0"/>
          <w:szCs w:val="21"/>
          <w:highlight w:val="none"/>
        </w:rPr>
        <w:t>日</w:t>
      </w:r>
      <w:r>
        <w:rPr>
          <w:rFonts w:hint="eastAsia" w:ascii="宋体" w:hAnsi="宋体" w:cs="宋体"/>
          <w:color w:val="auto"/>
          <w:kern w:val="0"/>
          <w:szCs w:val="21"/>
          <w:highlight w:val="none"/>
        </w:rPr>
        <w:t>前，在</w:t>
      </w:r>
      <w:r>
        <w:rPr>
          <w:rFonts w:hint="eastAsia" w:ascii="宋体" w:hAnsi="宋体" w:cs="宋体"/>
          <w:color w:val="auto"/>
          <w:kern w:val="0"/>
          <w:szCs w:val="21"/>
          <w:highlight w:val="none"/>
          <w:lang w:val="en-US" w:eastAsia="zh-CN"/>
        </w:rPr>
        <w:t>原采购公告发布</w:t>
      </w:r>
      <w:r>
        <w:rPr>
          <w:rFonts w:hint="eastAsia" w:ascii="宋体" w:hAnsi="宋体" w:cs="宋体"/>
          <w:color w:val="auto"/>
          <w:kern w:val="0"/>
          <w:szCs w:val="21"/>
          <w:highlight w:val="none"/>
        </w:rPr>
        <w:t>相关媒体上发布更正公告或变更公告。</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文件公示期间对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文件进行的澄清、修改或补充不受上述限制。</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13.2 </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文件澄清、修改或补充的内容为</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文件的组成部分。</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13.3 </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文件的澄清、修改或补充都应以法定形式发布。采购人未对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文件进行的澄清、修改或补充无效，评标时不予认可。</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 w:val="24"/>
          <w:highlight w:val="none"/>
        </w:rPr>
      </w:pPr>
      <w:r>
        <w:rPr>
          <w:rFonts w:hint="eastAsia" w:ascii="宋体" w:hAnsi="宋体" w:cs="宋体"/>
          <w:color w:val="auto"/>
          <w:kern w:val="0"/>
          <w:szCs w:val="21"/>
          <w:highlight w:val="none"/>
        </w:rPr>
        <w:t>13.4 </w:t>
      </w:r>
      <w:r>
        <w:rPr>
          <w:rFonts w:hint="eastAsia" w:ascii="宋体" w:hAnsi="宋体" w:cs="宋体"/>
          <w:bCs/>
          <w:color w:val="auto"/>
          <w:kern w:val="0"/>
          <w:szCs w:val="21"/>
          <w:highlight w:val="none"/>
        </w:rPr>
        <w:t>采购人</w:t>
      </w:r>
      <w:r>
        <w:rPr>
          <w:rFonts w:hint="eastAsia" w:ascii="宋体" w:hAnsi="宋体" w:cs="宋体"/>
          <w:color w:val="auto"/>
          <w:kern w:val="0"/>
          <w:szCs w:val="21"/>
          <w:highlight w:val="none"/>
        </w:rPr>
        <w:t>可以视招标具体情况延长投标截止时间和开标时间，但至少应当在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文件要求提交投标文件的截止时间3</w:t>
      </w:r>
      <w:r>
        <w:rPr>
          <w:rFonts w:hint="eastAsia" w:ascii="宋体" w:hAnsi="宋体" w:cs="宋体"/>
          <w:bCs/>
          <w:color w:val="auto"/>
          <w:kern w:val="0"/>
          <w:szCs w:val="21"/>
          <w:highlight w:val="none"/>
        </w:rPr>
        <w:t>日</w:t>
      </w:r>
      <w:r>
        <w:rPr>
          <w:rFonts w:hint="eastAsia" w:ascii="宋体" w:hAnsi="宋体" w:cs="宋体"/>
          <w:color w:val="auto"/>
          <w:kern w:val="0"/>
          <w:szCs w:val="21"/>
          <w:highlight w:val="none"/>
        </w:rPr>
        <w:t>前，将变更时间</w:t>
      </w:r>
      <w:r>
        <w:rPr>
          <w:rFonts w:hint="eastAsia" w:ascii="宋体" w:hAnsi="宋体" w:cs="宋体"/>
          <w:color w:val="auto"/>
          <w:kern w:val="0"/>
          <w:szCs w:val="21"/>
          <w:highlight w:val="none"/>
          <w:lang w:val="en-US" w:eastAsia="zh-CN"/>
        </w:rPr>
        <w:t>通知所有潜在投标人</w:t>
      </w:r>
      <w:r>
        <w:rPr>
          <w:rFonts w:hint="eastAsia" w:ascii="宋体" w:hAnsi="宋体" w:cs="宋体"/>
          <w:color w:val="auto"/>
          <w:kern w:val="0"/>
          <w:szCs w:val="21"/>
          <w:highlight w:val="none"/>
        </w:rPr>
        <w:t>。</w:t>
      </w:r>
    </w:p>
    <w:p>
      <w:pPr>
        <w:keepNext w:val="0"/>
        <w:keepLines w:val="0"/>
        <w:pageBreakBefore w:val="0"/>
        <w:widowControl/>
        <w:kinsoku/>
        <w:wordWrap/>
        <w:overflowPunct/>
        <w:topLinePunct w:val="0"/>
        <w:bidi w:val="0"/>
        <w:snapToGrid w:val="0"/>
        <w:spacing w:line="360" w:lineRule="auto"/>
        <w:ind w:firstLine="2229" w:firstLineChars="694"/>
        <w:rPr>
          <w:rFonts w:ascii="宋体" w:hAnsi="宋体" w:cs="宋体"/>
          <w:color w:val="auto"/>
          <w:kern w:val="0"/>
          <w:sz w:val="24"/>
          <w:highlight w:val="none"/>
        </w:rPr>
      </w:pPr>
      <w:r>
        <w:rPr>
          <w:rFonts w:hint="eastAsia" w:ascii="黑体" w:hAnsi="宋体" w:eastAsia="黑体" w:cs="宋体"/>
          <w:b/>
          <w:bCs/>
          <w:color w:val="auto"/>
          <w:kern w:val="0"/>
          <w:sz w:val="32"/>
          <w:szCs w:val="32"/>
          <w:highlight w:val="none"/>
        </w:rPr>
        <w:t>三</w:t>
      </w:r>
      <w:r>
        <w:rPr>
          <w:rFonts w:hint="eastAsia" w:ascii="黑体" w:hAnsi="宋体" w:eastAsia="黑体" w:cs="宋体"/>
          <w:b/>
          <w:bCs/>
          <w:color w:val="auto"/>
          <w:kern w:val="0"/>
          <w:sz w:val="32"/>
          <w:highlight w:val="none"/>
        </w:rPr>
        <w:t>、</w:t>
      </w:r>
      <w:r>
        <w:rPr>
          <w:rFonts w:hint="eastAsia" w:ascii="黑体" w:hAnsi="宋体" w:eastAsia="黑体" w:cs="宋体"/>
          <w:b/>
          <w:bCs/>
          <w:color w:val="auto"/>
          <w:kern w:val="0"/>
          <w:sz w:val="32"/>
          <w:szCs w:val="32"/>
          <w:highlight w:val="none"/>
        </w:rPr>
        <w:t>投标文件的编制</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color w:val="auto"/>
          <w:kern w:val="0"/>
          <w:szCs w:val="21"/>
          <w:highlight w:val="none"/>
        </w:rPr>
      </w:pPr>
      <w:r>
        <w:rPr>
          <w:rFonts w:hint="eastAsia" w:ascii="宋体" w:hAnsi="宋体" w:cs="宋体"/>
          <w:b/>
          <w:bCs/>
          <w:color w:val="auto"/>
          <w:kern w:val="0"/>
          <w:szCs w:val="21"/>
          <w:highlight w:val="none"/>
        </w:rPr>
        <w:t>14.要求</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14.1 投标人应仔细阅读</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文件的所有内容，按照</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文件提供的格式编写投标文件，不得缺少或留空任何</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文件要求填写的表格或提交的资料。</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文件提供格式的按格式填列，未提供格式的可自行拟定。投标文件应对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文件的要求作出实质性响应（包括投标人资格要求、技术要求、商务要求和投标文件格式中对投标的要求），投标人对所提供的全部资料的合法性、真实性负责。</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14.2 投标人应完整签署投标文件格式附件中《投标书》和《抵制商业贿赂承诺》，不得增减或修改内容。否则视为对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文件未作出实质性响应。</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color w:val="auto"/>
          <w:kern w:val="0"/>
          <w:szCs w:val="21"/>
          <w:highlight w:val="none"/>
        </w:rPr>
      </w:pPr>
      <w:r>
        <w:rPr>
          <w:rFonts w:hint="eastAsia" w:ascii="宋体" w:hAnsi="宋体" w:cs="宋体"/>
          <w:b/>
          <w:bCs/>
          <w:color w:val="auto"/>
          <w:kern w:val="0"/>
          <w:szCs w:val="21"/>
          <w:highlight w:val="none"/>
        </w:rPr>
        <w:t>15.投标文件的语言和计量单位</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15.1投标文件以及投标人与采购人就有关投标事宜的所有来往函电均应使用简体中文书写。</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15.2 关于投标计量单位，</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文件已有明确规定的，使用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文件规定的计量单位；</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文件没有规定的，应采用中华人民共和国法定计量单位。否则视为对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文件未作出实质性响应。</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15.3 原版为外文的证书类文件，以及由外国人做出的本人签名、外国公司的名称或外国印章等可以是外文，但应当提供中文翻译文件并加盖投标人公章。必要时评标委员会可以要求投标人提供附有公证书的中文翻译文件或者与原版文件签章相一致的中文翻译文件。</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color w:val="auto"/>
          <w:kern w:val="0"/>
          <w:szCs w:val="21"/>
          <w:highlight w:val="none"/>
        </w:rPr>
      </w:pPr>
      <w:r>
        <w:rPr>
          <w:rFonts w:hint="eastAsia" w:ascii="宋体" w:hAnsi="宋体" w:cs="宋体"/>
          <w:b/>
          <w:bCs/>
          <w:color w:val="auto"/>
          <w:kern w:val="0"/>
          <w:szCs w:val="21"/>
          <w:highlight w:val="none"/>
        </w:rPr>
        <w:t>16.投标文件的组成</w:t>
      </w:r>
      <w:r>
        <w:rPr>
          <w:rFonts w:hint="eastAsia" w:ascii="宋体" w:hAnsi="宋体" w:cs="宋体"/>
          <w:color w:val="auto"/>
          <w:kern w:val="0"/>
          <w:szCs w:val="21"/>
          <w:highlight w:val="none"/>
        </w:rPr>
        <w:t>。</w:t>
      </w:r>
      <w:r>
        <w:rPr>
          <w:rFonts w:hint="eastAsia" w:ascii="宋体" w:hAnsi="宋体" w:cs="宋体"/>
          <w:b/>
          <w:bCs/>
          <w:color w:val="auto"/>
          <w:kern w:val="0"/>
          <w:szCs w:val="21"/>
          <w:highlight w:val="none"/>
        </w:rPr>
        <w:t>投标文件应包括下列部分：</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16.1、投标书及开标一览表</w:t>
      </w:r>
    </w:p>
    <w:p>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16.2、</w:t>
      </w:r>
      <w:r>
        <w:rPr>
          <w:rFonts w:hint="eastAsia" w:ascii="宋体" w:hAnsi="宋体" w:cs="宋体"/>
          <w:color w:val="auto"/>
          <w:kern w:val="0"/>
          <w:szCs w:val="21"/>
          <w:highlight w:val="none"/>
        </w:rPr>
        <w:t>投标报价明细表（格式）</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16.</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rPr>
        <w:t>、技术响应表</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16.</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、商务响应表</w:t>
      </w:r>
    </w:p>
    <w:p>
      <w:pPr>
        <w:keepNext w:val="0"/>
        <w:keepLines w:val="0"/>
        <w:pageBreakBefore w:val="0"/>
        <w:widowControl/>
        <w:kinsoku/>
        <w:wordWrap/>
        <w:overflowPunct/>
        <w:topLinePunct w:val="0"/>
        <w:bidi w:val="0"/>
        <w:snapToGrid w:val="0"/>
        <w:spacing w:line="360" w:lineRule="auto"/>
        <w:ind w:left="208" w:leftChars="99" w:firstLine="210" w:firstLineChars="100"/>
        <w:jc w:val="left"/>
        <w:rPr>
          <w:rFonts w:ascii="宋体" w:hAnsi="宋体" w:cs="宋体"/>
          <w:color w:val="auto"/>
          <w:kern w:val="0"/>
          <w:szCs w:val="21"/>
          <w:highlight w:val="none"/>
        </w:rPr>
      </w:pPr>
      <w:r>
        <w:rPr>
          <w:rFonts w:hint="eastAsia" w:ascii="宋体" w:hAnsi="宋体" w:cs="宋体"/>
          <w:color w:val="auto"/>
          <w:kern w:val="0"/>
          <w:szCs w:val="21"/>
          <w:highlight w:val="none"/>
        </w:rPr>
        <w:t>16.</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、法定代表人身份证明</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16.</w:t>
      </w:r>
      <w:r>
        <w:rPr>
          <w:rFonts w:hint="eastAsia" w:ascii="宋体" w:hAnsi="宋体" w:cs="宋体"/>
          <w:color w:val="auto"/>
          <w:kern w:val="0"/>
          <w:szCs w:val="21"/>
          <w:highlight w:val="none"/>
          <w:lang w:val="en-US" w:eastAsia="zh-CN"/>
        </w:rPr>
        <w:t>6</w:t>
      </w:r>
      <w:r>
        <w:rPr>
          <w:rFonts w:hint="eastAsia" w:ascii="宋体" w:hAnsi="宋体" w:cs="宋体"/>
          <w:color w:val="auto"/>
          <w:kern w:val="0"/>
          <w:szCs w:val="21"/>
          <w:highlight w:val="none"/>
        </w:rPr>
        <w:t>、法定代表人授权书</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16.</w:t>
      </w:r>
      <w:r>
        <w:rPr>
          <w:rFonts w:hint="eastAsia" w:ascii="宋体" w:hAnsi="宋体" w:cs="宋体"/>
          <w:color w:val="auto"/>
          <w:kern w:val="0"/>
          <w:szCs w:val="21"/>
          <w:highlight w:val="none"/>
          <w:lang w:val="en-US" w:eastAsia="zh-CN"/>
        </w:rPr>
        <w:t>7</w:t>
      </w:r>
      <w:r>
        <w:rPr>
          <w:rFonts w:hint="eastAsia" w:ascii="宋体" w:hAnsi="宋体" w:cs="宋体"/>
          <w:color w:val="auto"/>
          <w:kern w:val="0"/>
          <w:szCs w:val="21"/>
          <w:highlight w:val="none"/>
        </w:rPr>
        <w:t>、证明文件</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color w:val="auto"/>
          <w:kern w:val="0"/>
          <w:szCs w:val="21"/>
          <w:highlight w:val="none"/>
        </w:rPr>
        <w:t>16.</w:t>
      </w:r>
      <w:r>
        <w:rPr>
          <w:rFonts w:hint="eastAsia" w:ascii="宋体" w:hAnsi="宋体" w:cs="宋体"/>
          <w:color w:val="auto"/>
          <w:kern w:val="0"/>
          <w:szCs w:val="21"/>
          <w:highlight w:val="none"/>
          <w:lang w:val="en-US" w:eastAsia="zh-CN"/>
        </w:rPr>
        <w:t>8</w:t>
      </w:r>
      <w:r>
        <w:rPr>
          <w:rFonts w:hint="eastAsia" w:ascii="宋体" w:hAnsi="宋体" w:cs="宋体"/>
          <w:color w:val="auto"/>
          <w:kern w:val="0"/>
          <w:szCs w:val="21"/>
          <w:highlight w:val="none"/>
        </w:rPr>
        <w:t>、抵制商业贿赂承诺</w:t>
      </w:r>
    </w:p>
    <w:p>
      <w:pPr>
        <w:pStyle w:val="30"/>
        <w:keepNext w:val="0"/>
        <w:keepLines w:val="0"/>
        <w:pageBreakBefore w:val="0"/>
        <w:kinsoku/>
        <w:wordWrap/>
        <w:overflowPunct/>
        <w:topLinePunct w:val="0"/>
        <w:bidi w:val="0"/>
        <w:snapToGrid w:val="0"/>
        <w:spacing w:beforeAutospacing="0" w:afterAutospacing="0" w:line="360" w:lineRule="auto"/>
        <w:rPr>
          <w:color w:val="auto"/>
          <w:sz w:val="21"/>
          <w:szCs w:val="21"/>
          <w:highlight w:val="none"/>
        </w:rPr>
      </w:pPr>
      <w:r>
        <w:rPr>
          <w:rFonts w:hint="eastAsia"/>
          <w:color w:val="auto"/>
          <w:sz w:val="21"/>
          <w:szCs w:val="21"/>
          <w:highlight w:val="none"/>
        </w:rPr>
        <w:t>16.</w:t>
      </w:r>
      <w:r>
        <w:rPr>
          <w:rFonts w:hint="eastAsia"/>
          <w:color w:val="auto"/>
          <w:sz w:val="21"/>
          <w:szCs w:val="21"/>
          <w:highlight w:val="none"/>
          <w:lang w:val="en-US" w:eastAsia="zh-CN"/>
        </w:rPr>
        <w:t>9</w:t>
      </w:r>
      <w:r>
        <w:rPr>
          <w:rFonts w:hint="eastAsia"/>
          <w:color w:val="auto"/>
          <w:sz w:val="21"/>
          <w:szCs w:val="21"/>
          <w:highlight w:val="none"/>
        </w:rPr>
        <w:t>、投标人认为有必要的其他资料</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b/>
          <w:color w:val="auto"/>
          <w:kern w:val="0"/>
          <w:szCs w:val="21"/>
          <w:highlight w:val="none"/>
        </w:rPr>
      </w:pPr>
      <w:r>
        <w:rPr>
          <w:rFonts w:hint="eastAsia" w:ascii="宋体" w:hAnsi="宋体" w:cs="宋体"/>
          <w:b/>
          <w:color w:val="auto"/>
          <w:kern w:val="0"/>
          <w:szCs w:val="21"/>
          <w:highlight w:val="none"/>
        </w:rPr>
        <w:t>17.投标有效期</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17.1 投标文件从</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公告所规定的投标截止期之后开始生效，在</w:t>
      </w:r>
      <w:r>
        <w:rPr>
          <w:rFonts w:hint="eastAsia" w:ascii="宋体" w:hAnsi="宋体" w:cs="宋体"/>
          <w:bCs/>
          <w:color w:val="auto"/>
          <w:kern w:val="0"/>
          <w:szCs w:val="21"/>
          <w:highlight w:val="none"/>
        </w:rPr>
        <w:t>投标人须知前附表</w:t>
      </w:r>
      <w:r>
        <w:rPr>
          <w:rFonts w:hint="eastAsia" w:ascii="宋体" w:hAnsi="宋体" w:cs="宋体"/>
          <w:color w:val="auto"/>
          <w:kern w:val="0"/>
          <w:szCs w:val="21"/>
          <w:highlight w:val="none"/>
        </w:rPr>
        <w:t>第16项所规定的期限内保持有效。有效期不足将导致其投标文件被拒绝。中标人的投标文件有效期至合同完全履行止。</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17.2特殊情况下</w:t>
      </w:r>
      <w:r>
        <w:rPr>
          <w:rFonts w:hint="eastAsia" w:ascii="宋体" w:hAnsi="宋体" w:cs="宋体"/>
          <w:color w:val="auto"/>
          <w:kern w:val="0"/>
          <w:szCs w:val="21"/>
          <w:highlight w:val="none"/>
          <w:lang w:eastAsia="zh-CN"/>
        </w:rPr>
        <w:t>采购人</w:t>
      </w:r>
      <w:r>
        <w:rPr>
          <w:rFonts w:hint="eastAsia" w:ascii="宋体" w:hAnsi="宋体" w:cs="宋体"/>
          <w:color w:val="auto"/>
          <w:kern w:val="0"/>
          <w:szCs w:val="21"/>
          <w:highlight w:val="none"/>
        </w:rPr>
        <w:t>可于投标有效期满之前书面要求投标人同意延长有效期，投标人应在</w:t>
      </w:r>
      <w:r>
        <w:rPr>
          <w:rFonts w:hint="eastAsia" w:ascii="宋体" w:hAnsi="宋体" w:cs="宋体"/>
          <w:color w:val="auto"/>
          <w:kern w:val="0"/>
          <w:szCs w:val="21"/>
          <w:highlight w:val="none"/>
          <w:lang w:eastAsia="zh-CN"/>
        </w:rPr>
        <w:t>采购人</w:t>
      </w:r>
      <w:r>
        <w:rPr>
          <w:rFonts w:hint="eastAsia" w:ascii="宋体" w:hAnsi="宋体" w:cs="宋体"/>
          <w:color w:val="auto"/>
          <w:kern w:val="0"/>
          <w:szCs w:val="21"/>
          <w:highlight w:val="none"/>
        </w:rPr>
        <w:t>规定的期限内以书面形式予以答复。投标人可以拒绝上述要求。投标人答复不明确或者逾期未答复的，均视为拒绝上述要求。对于接受该要求的投标人，既不要求也不允许其修改投标文件。</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color w:val="auto"/>
          <w:kern w:val="0"/>
          <w:szCs w:val="21"/>
          <w:highlight w:val="none"/>
        </w:rPr>
      </w:pPr>
      <w:r>
        <w:rPr>
          <w:rFonts w:hint="eastAsia" w:ascii="宋体" w:hAnsi="宋体" w:cs="宋体"/>
          <w:b/>
          <w:bCs/>
          <w:color w:val="auto"/>
          <w:kern w:val="0"/>
          <w:szCs w:val="21"/>
          <w:highlight w:val="none"/>
        </w:rPr>
        <w:t>18.投标报价</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18.1 所有投标报价均以人民币元为计算单位。投标人的投标报价为交货地点交货价格，包括货物、随配附件、备品备件、工具、厂家赠品、运抵指定交货地点费用、保险费、安装调试费、服务费、售后服务、税金及其他所有费用的总和。</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18.2 投标人要按开标一览表的内容填写。</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18.3 </w:t>
      </w:r>
      <w:r>
        <w:rPr>
          <w:rFonts w:hint="eastAsia" w:ascii="宋体" w:hAnsi="宋体" w:cs="宋体"/>
          <w:color w:val="auto"/>
          <w:spacing w:val="10"/>
          <w:kern w:val="0"/>
          <w:szCs w:val="21"/>
          <w:highlight w:val="none"/>
        </w:rPr>
        <w:t>投标人投报多标包的，应对每标包分别报价并分别填报开标一览表。</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18.4 开标一览表中标明的价格在政府采购合同执行过程中是固定不变的，投标人不得以任何理由予以变更。以可调整的价格提交的投标将被作为无效投标处理。</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18.5 </w:t>
      </w:r>
      <w:r>
        <w:rPr>
          <w:rFonts w:hint="eastAsia" w:ascii="宋体" w:hAnsi="宋体" w:cs="宋体"/>
          <w:color w:val="auto"/>
          <w:kern w:val="0"/>
          <w:szCs w:val="21"/>
          <w:highlight w:val="none"/>
          <w:lang w:eastAsia="zh-CN"/>
        </w:rPr>
        <w:t>采购人</w:t>
      </w:r>
      <w:r>
        <w:rPr>
          <w:rFonts w:hint="eastAsia" w:ascii="宋体" w:hAnsi="宋体" w:cs="宋体"/>
          <w:color w:val="auto"/>
          <w:kern w:val="0"/>
          <w:szCs w:val="21"/>
          <w:highlight w:val="none"/>
        </w:rPr>
        <w:t>不接受可选择的投标报价。</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18.6 对于投标人在开标一览表和投标文件中列出的赠送条款，在评审时不得作为价格评分因素或者调整评标价格的依据。</w:t>
      </w:r>
    </w:p>
    <w:p>
      <w:pPr>
        <w:keepNext w:val="0"/>
        <w:keepLines w:val="0"/>
        <w:pageBreakBefore w:val="0"/>
        <w:widowControl/>
        <w:kinsoku/>
        <w:wordWrap/>
        <w:overflowPunct/>
        <w:topLinePunct w:val="0"/>
        <w:bidi w:val="0"/>
        <w:snapToGrid w:val="0"/>
        <w:spacing w:line="360" w:lineRule="auto"/>
        <w:ind w:firstLine="417" w:firstLineChars="198"/>
        <w:rPr>
          <w:rFonts w:hint="eastAsia" w:ascii="宋体" w:hAnsi="宋体" w:eastAsia="宋体" w:cs="宋体"/>
          <w:b/>
          <w:color w:val="auto"/>
          <w:kern w:val="0"/>
          <w:szCs w:val="21"/>
          <w:highlight w:val="none"/>
          <w:lang w:eastAsia="zh-CN"/>
        </w:rPr>
      </w:pPr>
      <w:r>
        <w:rPr>
          <w:rFonts w:hint="eastAsia" w:ascii="宋体" w:hAnsi="宋体" w:cs="宋体"/>
          <w:b/>
          <w:color w:val="auto"/>
          <w:kern w:val="0"/>
          <w:szCs w:val="21"/>
          <w:highlight w:val="none"/>
        </w:rPr>
        <w:t>19.投标保证金</w:t>
      </w:r>
      <w:r>
        <w:rPr>
          <w:rFonts w:hint="eastAsia" w:ascii="宋体" w:hAnsi="宋体" w:cs="宋体"/>
          <w:b/>
          <w:color w:val="auto"/>
          <w:kern w:val="0"/>
          <w:szCs w:val="21"/>
          <w:highlight w:val="none"/>
          <w:lang w:eastAsia="zh-CN"/>
        </w:rPr>
        <w:t>（</w:t>
      </w:r>
      <w:r>
        <w:rPr>
          <w:rFonts w:hint="eastAsia" w:ascii="宋体" w:hAnsi="宋体" w:cs="宋体"/>
          <w:b/>
          <w:color w:val="auto"/>
          <w:kern w:val="0"/>
          <w:szCs w:val="21"/>
          <w:highlight w:val="none"/>
          <w:lang w:val="en-US" w:eastAsia="zh-CN"/>
        </w:rPr>
        <w:t>详见采购公告</w:t>
      </w:r>
      <w:r>
        <w:rPr>
          <w:rFonts w:hint="eastAsia" w:ascii="宋体" w:hAnsi="宋体" w:cs="宋体"/>
          <w:b/>
          <w:color w:val="auto"/>
          <w:kern w:val="0"/>
          <w:szCs w:val="21"/>
          <w:highlight w:val="none"/>
          <w:lang w:eastAsia="zh-CN"/>
        </w:rPr>
        <w:t>）</w:t>
      </w:r>
    </w:p>
    <w:p>
      <w:pPr>
        <w:keepNext w:val="0"/>
        <w:keepLines w:val="0"/>
        <w:pageBreakBefore w:val="0"/>
        <w:widowControl/>
        <w:kinsoku/>
        <w:wordWrap/>
        <w:overflowPunct/>
        <w:topLinePunct w:val="0"/>
        <w:bidi w:val="0"/>
        <w:snapToGrid w:val="0"/>
        <w:spacing w:line="360" w:lineRule="auto"/>
        <w:ind w:firstLine="417" w:firstLineChars="198"/>
        <w:rPr>
          <w:rFonts w:hint="default" w:ascii="宋体" w:hAnsi="宋体" w:eastAsia="宋体" w:cs="宋体"/>
          <w:b/>
          <w:color w:val="auto"/>
          <w:kern w:val="0"/>
          <w:szCs w:val="21"/>
          <w:highlight w:val="none"/>
          <w:lang w:val="en-US" w:eastAsia="zh-CN"/>
        </w:rPr>
      </w:pPr>
      <w:r>
        <w:rPr>
          <w:rFonts w:hint="eastAsia" w:ascii="宋体" w:hAnsi="宋体" w:cs="宋体"/>
          <w:b/>
          <w:color w:val="auto"/>
          <w:kern w:val="0"/>
          <w:szCs w:val="21"/>
          <w:highlight w:val="none"/>
        </w:rPr>
        <w:t>20.投标文件的签署</w:t>
      </w:r>
      <w:r>
        <w:rPr>
          <w:rFonts w:hint="eastAsia" w:ascii="宋体" w:hAnsi="宋体" w:cs="宋体"/>
          <w:b/>
          <w:color w:val="auto"/>
          <w:kern w:val="0"/>
          <w:szCs w:val="21"/>
          <w:highlight w:val="none"/>
          <w:lang w:val="en-US" w:eastAsia="zh-CN"/>
        </w:rPr>
        <w:t>及其他规定</w:t>
      </w:r>
    </w:p>
    <w:p>
      <w:pPr>
        <w:keepNext w:val="0"/>
        <w:keepLines w:val="0"/>
        <w:pageBreakBefore w:val="0"/>
        <w:widowControl/>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.1投标文件应按第六章“投标文件格式”进行编写，如有必要，可以增加附页，作为投标文件的组成部分。其中，投标报价一览表在满足</w:t>
      </w:r>
      <w:r>
        <w:rPr>
          <w:rFonts w:hint="eastAsia" w:ascii="宋体" w:hAnsi="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文件实质性要求的基础上，可以提出比</w:t>
      </w:r>
      <w:r>
        <w:rPr>
          <w:rFonts w:hint="eastAsia" w:ascii="宋体" w:hAnsi="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文件要求更有利于采购人的承诺。</w:t>
      </w:r>
    </w:p>
    <w:p>
      <w:pPr>
        <w:keepNext w:val="0"/>
        <w:keepLines w:val="0"/>
        <w:pageBreakBefore w:val="0"/>
        <w:widowControl/>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.2 投标文件应当对</w:t>
      </w:r>
      <w:r>
        <w:rPr>
          <w:rFonts w:hint="eastAsia" w:ascii="宋体" w:hAnsi="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文件有关服务期、投标有效期、质量要求、技术标准和要求、</w:t>
      </w:r>
      <w:r>
        <w:rPr>
          <w:rFonts w:hint="eastAsia" w:ascii="宋体" w:hAnsi="宋体" w:cs="宋体"/>
          <w:color w:val="auto"/>
          <w:kern w:val="0"/>
          <w:szCs w:val="21"/>
          <w:highlight w:val="none"/>
          <w:lang w:eastAsia="zh-CN"/>
        </w:rPr>
        <w:t>磋商</w:t>
      </w:r>
      <w:r>
        <w:rPr>
          <w:rFonts w:hint="eastAsia" w:ascii="宋体" w:hAnsi="宋体" w:eastAsia="宋体" w:cs="宋体"/>
          <w:color w:val="auto"/>
          <w:kern w:val="0"/>
          <w:szCs w:val="21"/>
          <w:highlight w:val="none"/>
        </w:rPr>
        <w:t>范围等实质性内容作出响应。</w:t>
      </w:r>
    </w:p>
    <w:p>
      <w:pPr>
        <w:keepNext w:val="0"/>
        <w:keepLines w:val="0"/>
        <w:pageBreakBefore w:val="0"/>
        <w:widowControl/>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3投标文件应用不褪色的材料书写或打印，并由投标人的法定代表人盖章或盖单位公章；投标文件应尽量避免涂改、行间插字或删除，如果出现上述情况，改动之处应加盖单位公章或由投标人的法定代表人盖章确认。签字或盖章的具体要求见投标人须知前附表。</w:t>
      </w:r>
    </w:p>
    <w:p>
      <w:pPr>
        <w:keepNext w:val="0"/>
        <w:keepLines w:val="0"/>
        <w:pageBreakBefore w:val="0"/>
        <w:widowControl/>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.4投标文件份数见投标人须知前附表。投标文件正本和副本的封面上应清楚地标记“正本”或“副本”的字样。</w:t>
      </w:r>
    </w:p>
    <w:p>
      <w:pPr>
        <w:keepNext w:val="0"/>
        <w:keepLines w:val="0"/>
        <w:pageBreakBefore w:val="0"/>
        <w:widowControl/>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.5投标文件的具体装订要求见投标人须知前附表规定。</w:t>
      </w:r>
    </w:p>
    <w:p>
      <w:pPr>
        <w:keepNext w:val="0"/>
        <w:keepLines w:val="0"/>
        <w:pageBreakBefore w:val="0"/>
        <w:widowControl/>
        <w:kinsoku/>
        <w:wordWrap/>
        <w:overflowPunct/>
        <w:topLinePunct w:val="0"/>
        <w:bidi w:val="0"/>
        <w:snapToGrid w:val="0"/>
        <w:spacing w:line="360" w:lineRule="auto"/>
        <w:ind w:firstLine="2554" w:firstLineChars="795"/>
        <w:jc w:val="left"/>
        <w:rPr>
          <w:rFonts w:ascii="黑体" w:hAnsi="宋体" w:eastAsia="黑体" w:cs="宋体"/>
          <w:b/>
          <w:color w:val="auto"/>
          <w:kern w:val="0"/>
          <w:sz w:val="32"/>
          <w:szCs w:val="32"/>
          <w:highlight w:val="none"/>
        </w:rPr>
      </w:pPr>
      <w:r>
        <w:rPr>
          <w:rFonts w:hint="eastAsia" w:ascii="黑体" w:hAnsi="宋体" w:eastAsia="黑体" w:cs="宋体"/>
          <w:b/>
          <w:color w:val="auto"/>
          <w:kern w:val="0"/>
          <w:sz w:val="32"/>
          <w:szCs w:val="32"/>
          <w:highlight w:val="none"/>
        </w:rPr>
        <w:t>四、投标文件的递交</w:t>
      </w:r>
    </w:p>
    <w:p>
      <w:pPr>
        <w:keepNext w:val="0"/>
        <w:keepLines w:val="0"/>
        <w:pageBreakBefore w:val="0"/>
        <w:widowControl/>
        <w:kinsoku/>
        <w:wordWrap/>
        <w:overflowPunct/>
        <w:topLinePunct w:val="0"/>
        <w:autoSpaceDE/>
        <w:autoSpaceDN/>
        <w:bidi w:val="0"/>
        <w:adjustRightInd/>
        <w:snapToGrid w:val="0"/>
        <w:spacing w:line="360" w:lineRule="auto"/>
        <w:ind w:firstLine="417" w:firstLineChars="198"/>
        <w:textAlignment w:val="auto"/>
        <w:rPr>
          <w:rFonts w:ascii="宋体" w:hAnsi="宋体" w:cs="宋体"/>
          <w:b/>
          <w:color w:val="auto"/>
          <w:kern w:val="0"/>
          <w:szCs w:val="21"/>
          <w:highlight w:val="none"/>
        </w:rPr>
      </w:pPr>
      <w:r>
        <w:rPr>
          <w:rFonts w:hint="eastAsia" w:ascii="宋体" w:hAnsi="宋体" w:cs="宋体"/>
          <w:b/>
          <w:color w:val="auto"/>
          <w:kern w:val="0"/>
          <w:szCs w:val="21"/>
          <w:highlight w:val="none"/>
        </w:rPr>
        <w:t>21. 投标文件的密封、标记</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21.1投标文件的正本与副本应分开包装，加贴封条，并在封套的封口处加盖投标人单位公章。</w:t>
      </w:r>
    </w:p>
    <w:p>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cs="宋体"/>
          <w:color w:val="auto"/>
          <w:kern w:val="0"/>
          <w:szCs w:val="21"/>
          <w:highlight w:val="none"/>
          <w:lang w:eastAsia="zh-CN"/>
        </w:rPr>
      </w:pPr>
      <w:r>
        <w:rPr>
          <w:rFonts w:hint="eastAsia" w:ascii="宋体" w:hAnsi="宋体" w:cs="宋体"/>
          <w:color w:val="auto"/>
          <w:kern w:val="0"/>
          <w:szCs w:val="21"/>
          <w:highlight w:val="none"/>
        </w:rPr>
        <w:t>21.2 投标文件的封套上应清楚地标记“正本”或“副本”字样，封套上应写明的其他内容见投标人须知前附表</w:t>
      </w:r>
      <w:r>
        <w:rPr>
          <w:rFonts w:hint="eastAsia" w:ascii="宋体" w:hAnsi="宋体" w:cs="宋体"/>
          <w:color w:val="auto"/>
          <w:kern w:val="0"/>
          <w:szCs w:val="21"/>
          <w:highlight w:val="none"/>
          <w:lang w:eastAsia="zh-CN"/>
        </w:rPr>
        <w:t>。</w:t>
      </w:r>
    </w:p>
    <w:p>
      <w:pPr>
        <w:keepNext w:val="0"/>
        <w:keepLines w:val="0"/>
        <w:pageBreakBefore w:val="0"/>
        <w:widowControl/>
        <w:kinsoku/>
        <w:wordWrap/>
        <w:overflowPunct/>
        <w:topLinePunct w:val="0"/>
        <w:bidi w:val="0"/>
        <w:snapToGrid w:val="0"/>
        <w:spacing w:line="360" w:lineRule="auto"/>
        <w:ind w:firstLine="420" w:firstLineChars="200"/>
        <w:jc w:val="left"/>
        <w:rPr>
          <w:rFonts w:hint="eastAsia"/>
          <w:color w:val="auto"/>
          <w:lang w:eastAsia="zh-CN"/>
        </w:rPr>
      </w:pPr>
      <w:r>
        <w:rPr>
          <w:rFonts w:hint="eastAsia"/>
          <w:color w:val="auto"/>
          <w:lang w:eastAsia="zh-CN"/>
        </w:rPr>
        <w:t>2</w:t>
      </w:r>
      <w:r>
        <w:rPr>
          <w:rFonts w:hint="eastAsia"/>
          <w:color w:val="auto"/>
          <w:lang w:val="en-US" w:eastAsia="zh-CN"/>
        </w:rPr>
        <w:t>1</w:t>
      </w:r>
      <w:r>
        <w:rPr>
          <w:rFonts w:hint="eastAsia"/>
          <w:color w:val="auto"/>
          <w:lang w:eastAsia="zh-CN"/>
        </w:rPr>
        <w:t>.3 未按本章第2</w:t>
      </w:r>
      <w:r>
        <w:rPr>
          <w:rFonts w:hint="eastAsia"/>
          <w:color w:val="auto"/>
          <w:lang w:val="en-US" w:eastAsia="zh-CN"/>
        </w:rPr>
        <w:t>1</w:t>
      </w:r>
      <w:r>
        <w:rPr>
          <w:rFonts w:hint="eastAsia"/>
          <w:color w:val="auto"/>
          <w:lang w:eastAsia="zh-CN"/>
        </w:rPr>
        <w:t>.1项或第2</w:t>
      </w:r>
      <w:r>
        <w:rPr>
          <w:rFonts w:hint="eastAsia"/>
          <w:color w:val="auto"/>
          <w:lang w:val="en-US" w:eastAsia="zh-CN"/>
        </w:rPr>
        <w:t>1</w:t>
      </w:r>
      <w:r>
        <w:rPr>
          <w:rFonts w:hint="eastAsia"/>
          <w:color w:val="auto"/>
          <w:lang w:eastAsia="zh-CN"/>
        </w:rPr>
        <w:t>.2项要求密封和加写标记的投标文件，采购人不予受理。</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b/>
          <w:color w:val="auto"/>
          <w:kern w:val="0"/>
          <w:szCs w:val="21"/>
          <w:highlight w:val="none"/>
        </w:rPr>
      </w:pPr>
      <w:r>
        <w:rPr>
          <w:rFonts w:hint="eastAsia" w:ascii="宋体" w:hAnsi="宋体" w:cs="宋体"/>
          <w:b/>
          <w:color w:val="auto"/>
          <w:kern w:val="0"/>
          <w:szCs w:val="21"/>
          <w:highlight w:val="none"/>
        </w:rPr>
        <w:t>22. 投标文件的递交</w:t>
      </w:r>
    </w:p>
    <w:p>
      <w:pPr>
        <w:keepNext w:val="0"/>
        <w:keepLines w:val="0"/>
        <w:pageBreakBefore w:val="0"/>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.1 投标人应在规定的投标截止时间前</w:t>
      </w:r>
      <w:r>
        <w:rPr>
          <w:rFonts w:hint="eastAsia" w:ascii="宋体" w:hAnsi="宋体" w:cs="宋体"/>
          <w:color w:val="auto"/>
          <w:kern w:val="0"/>
          <w:szCs w:val="21"/>
          <w:highlight w:val="none"/>
          <w:lang w:eastAsia="zh-CN"/>
        </w:rPr>
        <w:t>递交</w:t>
      </w:r>
      <w:r>
        <w:rPr>
          <w:rFonts w:hint="eastAsia" w:ascii="宋体" w:hAnsi="宋体" w:cs="宋体"/>
          <w:color w:val="auto"/>
          <w:kern w:val="0"/>
          <w:szCs w:val="21"/>
          <w:highlight w:val="none"/>
        </w:rPr>
        <w:t>投标文件。</w:t>
      </w:r>
    </w:p>
    <w:p>
      <w:pPr>
        <w:keepNext w:val="0"/>
        <w:keepLines w:val="0"/>
        <w:pageBreakBefore w:val="0"/>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.2 投标人递交投标文件的地点：见投标人须知前附表。</w:t>
      </w:r>
    </w:p>
    <w:p>
      <w:pPr>
        <w:keepNext w:val="0"/>
        <w:keepLines w:val="0"/>
        <w:pageBreakBefore w:val="0"/>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.3 除投标人须知前附表另有规定外，投标人所递交的投标文件不予退还。</w:t>
      </w:r>
    </w:p>
    <w:p>
      <w:pPr>
        <w:keepNext w:val="0"/>
        <w:keepLines w:val="0"/>
        <w:pageBreakBefore w:val="0"/>
        <w:kinsoku/>
        <w:wordWrap/>
        <w:overflowPunct/>
        <w:topLinePunct w:val="0"/>
        <w:autoSpaceDE w:val="0"/>
        <w:autoSpaceDN w:val="0"/>
        <w:bidi w:val="0"/>
        <w:adjustRightInd w:val="0"/>
        <w:snapToGrid w:val="0"/>
        <w:spacing w:line="360" w:lineRule="auto"/>
        <w:ind w:right="-34" w:rightChars="-16"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.4 逾期送达的或者未送达指定地点的投标文件，采购人不予受理。</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b/>
          <w:color w:val="auto"/>
          <w:kern w:val="0"/>
          <w:szCs w:val="21"/>
          <w:highlight w:val="none"/>
        </w:rPr>
      </w:pPr>
      <w:r>
        <w:rPr>
          <w:rFonts w:hint="eastAsia" w:ascii="宋体" w:hAnsi="宋体" w:cs="宋体"/>
          <w:b/>
          <w:color w:val="auto"/>
          <w:kern w:val="0"/>
          <w:szCs w:val="21"/>
          <w:highlight w:val="none"/>
        </w:rPr>
        <w:t>23. 投标文件的修改和撤回</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23.1 投标人在投标截止时间前，可以对所提交的投标文件进行补充、修改或者撤回，并书面通知</w:t>
      </w:r>
      <w:r>
        <w:rPr>
          <w:rFonts w:hint="eastAsia" w:ascii="宋体" w:hAnsi="宋体" w:cs="宋体"/>
          <w:color w:val="auto"/>
          <w:kern w:val="0"/>
          <w:szCs w:val="21"/>
          <w:highlight w:val="none"/>
          <w:lang w:eastAsia="zh-CN"/>
        </w:rPr>
        <w:t>采购人</w:t>
      </w:r>
      <w:r>
        <w:rPr>
          <w:rFonts w:hint="eastAsia" w:ascii="宋体" w:hAnsi="宋体" w:cs="宋体"/>
          <w:color w:val="auto"/>
          <w:kern w:val="0"/>
          <w:szCs w:val="21"/>
          <w:highlight w:val="none"/>
        </w:rPr>
        <w:t>。补充、修改的内容和撤回通知应当按本须知要求签署、盖章、密封，并作为投标文件的组成部分。</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 w:val="24"/>
          <w:highlight w:val="none"/>
        </w:rPr>
      </w:pPr>
      <w:r>
        <w:rPr>
          <w:rFonts w:hint="eastAsia" w:ascii="宋体" w:hAnsi="宋体" w:cs="宋体"/>
          <w:color w:val="auto"/>
          <w:kern w:val="0"/>
          <w:szCs w:val="21"/>
          <w:highlight w:val="none"/>
        </w:rPr>
        <w:t>23.2 投标人在投标截止期后不得修改、撤回投标文件。投标人在投标截止期后修改投标文件的，其投标将被拒绝。</w:t>
      </w:r>
    </w:p>
    <w:p>
      <w:pPr>
        <w:keepNext w:val="0"/>
        <w:keepLines w:val="0"/>
        <w:pageBreakBefore w:val="0"/>
        <w:widowControl/>
        <w:kinsoku/>
        <w:wordWrap/>
        <w:overflowPunct/>
        <w:topLinePunct w:val="0"/>
        <w:bidi w:val="0"/>
        <w:snapToGrid w:val="0"/>
        <w:spacing w:line="360" w:lineRule="auto"/>
        <w:jc w:val="center"/>
        <w:rPr>
          <w:rFonts w:ascii="宋体" w:hAnsi="宋体" w:cs="宋体"/>
          <w:color w:val="auto"/>
          <w:kern w:val="0"/>
          <w:sz w:val="24"/>
          <w:highlight w:val="none"/>
        </w:rPr>
      </w:pPr>
      <w:r>
        <w:rPr>
          <w:rFonts w:hint="eastAsia" w:ascii="黑体" w:hAnsi="宋体" w:eastAsia="黑体" w:cs="宋体"/>
          <w:b/>
          <w:bCs/>
          <w:color w:val="auto"/>
          <w:kern w:val="0"/>
          <w:sz w:val="32"/>
          <w:szCs w:val="32"/>
          <w:highlight w:val="none"/>
          <w:lang w:val="en-US" w:eastAsia="zh-CN"/>
        </w:rPr>
        <w:t>五</w:t>
      </w:r>
      <w:r>
        <w:rPr>
          <w:rFonts w:hint="eastAsia" w:ascii="黑体" w:hAnsi="宋体" w:eastAsia="黑体" w:cs="宋体"/>
          <w:b/>
          <w:bCs/>
          <w:color w:val="auto"/>
          <w:kern w:val="0"/>
          <w:sz w:val="32"/>
          <w:highlight w:val="none"/>
        </w:rPr>
        <w:t>、</w:t>
      </w:r>
      <w:r>
        <w:rPr>
          <w:rFonts w:hint="eastAsia" w:ascii="黑体" w:hAnsi="宋体" w:eastAsia="黑体" w:cs="宋体"/>
          <w:b/>
          <w:bCs/>
          <w:color w:val="auto"/>
          <w:kern w:val="0"/>
          <w:sz w:val="32"/>
          <w:szCs w:val="32"/>
          <w:highlight w:val="none"/>
        </w:rPr>
        <w:t>评标</w:t>
      </w:r>
    </w:p>
    <w:p>
      <w:pPr>
        <w:keepNext w:val="0"/>
        <w:keepLines w:val="0"/>
        <w:pageBreakBefore w:val="0"/>
        <w:widowControl/>
        <w:kinsoku/>
        <w:wordWrap/>
        <w:overflowPunct/>
        <w:topLinePunct w:val="0"/>
        <w:bidi w:val="0"/>
        <w:snapToGrid w:val="0"/>
        <w:spacing w:line="360" w:lineRule="auto"/>
        <w:ind w:firstLine="422" w:firstLineChars="200"/>
        <w:jc w:val="left"/>
        <w:rPr>
          <w:rFonts w:ascii="宋体" w:hAnsi="宋体" w:cs="宋体"/>
          <w:color w:val="auto"/>
          <w:kern w:val="0"/>
          <w:szCs w:val="21"/>
          <w:highlight w:val="none"/>
        </w:rPr>
      </w:pPr>
      <w:r>
        <w:rPr>
          <w:rFonts w:hint="eastAsia" w:ascii="宋体" w:hAnsi="宋体" w:cs="宋体"/>
          <w:b/>
          <w:bCs/>
          <w:color w:val="auto"/>
          <w:kern w:val="0"/>
          <w:szCs w:val="21"/>
          <w:highlight w:val="none"/>
        </w:rPr>
        <w:t>2</w:t>
      </w:r>
      <w:r>
        <w:rPr>
          <w:rFonts w:hint="eastAsia" w:ascii="宋体" w:hAnsi="宋体" w:cs="宋体"/>
          <w:b/>
          <w:bCs/>
          <w:color w:val="auto"/>
          <w:kern w:val="0"/>
          <w:szCs w:val="21"/>
          <w:highlight w:val="none"/>
          <w:lang w:val="en-US" w:eastAsia="zh-CN"/>
        </w:rPr>
        <w:t>4</w:t>
      </w:r>
      <w:r>
        <w:rPr>
          <w:rFonts w:hint="eastAsia" w:ascii="宋体" w:hAnsi="宋体" w:cs="宋体"/>
          <w:b/>
          <w:bCs/>
          <w:color w:val="auto"/>
          <w:kern w:val="0"/>
          <w:szCs w:val="21"/>
          <w:highlight w:val="none"/>
        </w:rPr>
        <w:t>. 组建评标委员会</w:t>
      </w:r>
    </w:p>
    <w:p>
      <w:pPr>
        <w:keepNext w:val="0"/>
        <w:keepLines w:val="0"/>
        <w:pageBreakBefore w:val="0"/>
        <w:kinsoku/>
        <w:wordWrap/>
        <w:overflowPunct/>
        <w:topLinePunct w:val="0"/>
        <w:bidi w:val="0"/>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.1 评标委员会由采购人代表和评审专家组成。成员由</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rPr>
        <w:t>人以上单数组成。</w:t>
      </w:r>
      <w:r>
        <w:rPr>
          <w:rFonts w:hint="eastAsia" w:ascii="宋体" w:hAnsi="宋体" w:cs="宋体"/>
          <w:color w:val="auto"/>
          <w:szCs w:val="21"/>
          <w:highlight w:val="none"/>
        </w:rPr>
        <w:t>在开标后由评标委员会对投标文件进行审查、质疑、评估和比较，并做合理的建议。</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.2评标委员会成员要依法独立评审，并对评审意见承担个人责任。</w:t>
      </w:r>
      <w:r>
        <w:rPr>
          <w:rFonts w:hint="eastAsia" w:ascii="宋体" w:hAnsi="宋体" w:cs="宋体"/>
          <w:color w:val="auto"/>
          <w:szCs w:val="21"/>
          <w:highlight w:val="none"/>
        </w:rPr>
        <w:t>评标委员会成员对需要共同认定的事项存在争议的，按照少数服从多数的原则</w:t>
      </w:r>
      <w:r>
        <w:rPr>
          <w:rFonts w:hint="eastAsia" w:ascii="宋体" w:hAnsi="宋体" w:cs="宋体"/>
          <w:color w:val="auto"/>
          <w:kern w:val="0"/>
          <w:szCs w:val="21"/>
          <w:highlight w:val="none"/>
        </w:rPr>
        <w:t>做</w:t>
      </w:r>
      <w:r>
        <w:rPr>
          <w:rFonts w:hint="eastAsia" w:ascii="宋体" w:hAnsi="宋体" w:cs="宋体"/>
          <w:color w:val="auto"/>
          <w:szCs w:val="21"/>
          <w:highlight w:val="none"/>
        </w:rPr>
        <w:t>出结论。持不同意见的评标委员会成员应当在评标报告上签署不同意见</w:t>
      </w:r>
      <w:r>
        <w:rPr>
          <w:rFonts w:hint="eastAsia" w:ascii="宋体" w:hAnsi="宋体" w:cs="宋体"/>
          <w:color w:val="auto"/>
          <w:kern w:val="0"/>
          <w:szCs w:val="21"/>
          <w:highlight w:val="none"/>
        </w:rPr>
        <w:t>并说明</w:t>
      </w:r>
      <w:r>
        <w:rPr>
          <w:rFonts w:hint="eastAsia" w:ascii="宋体" w:hAnsi="宋体" w:cs="宋体"/>
          <w:color w:val="auto"/>
          <w:szCs w:val="21"/>
          <w:highlight w:val="none"/>
        </w:rPr>
        <w:t>理由，否则视为同意。</w:t>
      </w:r>
    </w:p>
    <w:p>
      <w:pPr>
        <w:keepNext w:val="0"/>
        <w:keepLines w:val="0"/>
        <w:pageBreakBefore w:val="0"/>
        <w:widowControl/>
        <w:kinsoku/>
        <w:wordWrap/>
        <w:overflowPunct/>
        <w:topLinePunct w:val="0"/>
        <w:bidi w:val="0"/>
        <w:snapToGrid w:val="0"/>
        <w:spacing w:line="360" w:lineRule="auto"/>
        <w:ind w:firstLine="422" w:firstLineChars="200"/>
        <w:jc w:val="left"/>
        <w:rPr>
          <w:rFonts w:ascii="宋体" w:hAnsi="宋体" w:cs="宋体"/>
          <w:b/>
          <w:bCs/>
          <w:color w:val="auto"/>
          <w:szCs w:val="21"/>
          <w:highlight w:val="none"/>
        </w:rPr>
      </w:pPr>
      <w:r>
        <w:rPr>
          <w:rFonts w:hint="eastAsia" w:ascii="宋体" w:hAnsi="宋体" w:cs="宋体"/>
          <w:b/>
          <w:bCs/>
          <w:color w:val="auto"/>
          <w:szCs w:val="21"/>
          <w:highlight w:val="none"/>
        </w:rPr>
        <w:t>2</w:t>
      </w:r>
      <w:r>
        <w:rPr>
          <w:rFonts w:hint="eastAsia" w:ascii="宋体" w:hAnsi="宋体" w:cs="宋体"/>
          <w:b/>
          <w:bCs/>
          <w:color w:val="auto"/>
          <w:szCs w:val="21"/>
          <w:highlight w:val="none"/>
          <w:lang w:val="en-US" w:eastAsia="zh-CN"/>
        </w:rPr>
        <w:t>5</w:t>
      </w:r>
      <w:r>
        <w:rPr>
          <w:rFonts w:hint="eastAsia" w:ascii="宋体" w:hAnsi="宋体" w:cs="宋体"/>
          <w:b/>
          <w:bCs/>
          <w:color w:val="auto"/>
          <w:szCs w:val="21"/>
          <w:highlight w:val="none"/>
        </w:rPr>
        <w:t>. 投标文件的初审</w:t>
      </w:r>
    </w:p>
    <w:p>
      <w:pPr>
        <w:pStyle w:val="27"/>
        <w:keepNext w:val="0"/>
        <w:keepLines w:val="0"/>
        <w:pageBreakBefore w:val="0"/>
        <w:widowControl/>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.1对所有投标人的评估，都采用相同的程序和标准。评标过程将严格按照</w:t>
      </w:r>
      <w:r>
        <w:rPr>
          <w:rFonts w:hint="eastAsia" w:ascii="宋体" w:hAnsi="宋体" w:cs="宋体"/>
          <w:color w:val="auto"/>
          <w:sz w:val="21"/>
          <w:szCs w:val="21"/>
          <w:highlight w:val="none"/>
          <w:lang w:val="en-US" w:eastAsia="zh-CN"/>
        </w:rPr>
        <w:t>采购</w:t>
      </w:r>
      <w:r>
        <w:rPr>
          <w:rFonts w:hint="eastAsia" w:ascii="宋体" w:hAnsi="宋体" w:cs="宋体"/>
          <w:color w:val="auto"/>
          <w:sz w:val="21"/>
          <w:szCs w:val="21"/>
          <w:highlight w:val="none"/>
        </w:rPr>
        <w:t>文件的要求和条件进行。</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.2 评标委员会将对投标文件进行检查，以确定投标文件是否完整、有无计算上的错误、文件是否已正确签署等。</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ascii="宋体" w:hAnsi="宋体" w:cs="宋体"/>
          <w:color w:val="auto"/>
          <w:kern w:val="0"/>
          <w:szCs w:val="21"/>
          <w:highlight w:val="none"/>
        </w:rPr>
        <w:t>.</w:t>
      </w:r>
      <w:r>
        <w:rPr>
          <w:rFonts w:hint="eastAsia" w:ascii="宋体" w:hAnsi="宋体" w:cs="宋体"/>
          <w:color w:val="auto"/>
          <w:kern w:val="0"/>
          <w:szCs w:val="21"/>
          <w:highlight w:val="none"/>
        </w:rPr>
        <w:t>3</w:t>
      </w:r>
      <w:r>
        <w:rPr>
          <w:rFonts w:ascii="宋体" w:hAnsi="宋体" w:cs="宋体"/>
          <w:color w:val="auto"/>
          <w:kern w:val="0"/>
          <w:szCs w:val="21"/>
          <w:highlight w:val="none"/>
        </w:rPr>
        <w:t> </w:t>
      </w:r>
      <w:r>
        <w:rPr>
          <w:rFonts w:hint="eastAsia"/>
          <w:color w:val="auto"/>
          <w:kern w:val="0"/>
          <w:szCs w:val="21"/>
          <w:highlight w:val="none"/>
        </w:rPr>
        <w:t>投标文件报价出现前后不一致的，除</w:t>
      </w:r>
      <w:r>
        <w:rPr>
          <w:rFonts w:hint="eastAsia"/>
          <w:color w:val="auto"/>
          <w:kern w:val="0"/>
          <w:szCs w:val="21"/>
          <w:highlight w:val="none"/>
          <w:lang w:val="en-US" w:eastAsia="zh-CN"/>
        </w:rPr>
        <w:t>采购</w:t>
      </w:r>
      <w:r>
        <w:rPr>
          <w:rFonts w:hint="eastAsia"/>
          <w:color w:val="auto"/>
          <w:kern w:val="0"/>
          <w:szCs w:val="21"/>
          <w:highlight w:val="none"/>
        </w:rPr>
        <w:t>文件另有规定外，</w:t>
      </w:r>
      <w:r>
        <w:rPr>
          <w:rFonts w:hint="eastAsia" w:cs="宋体"/>
          <w:color w:val="auto"/>
          <w:kern w:val="0"/>
          <w:szCs w:val="21"/>
          <w:highlight w:val="none"/>
        </w:rPr>
        <w:t>修正错误的原则如下：</w:t>
      </w:r>
    </w:p>
    <w:p>
      <w:pPr>
        <w:pStyle w:val="27"/>
        <w:keepNext w:val="0"/>
        <w:keepLines w:val="0"/>
        <w:pageBreakBefore w:val="0"/>
        <w:widowControl/>
        <w:shd w:val="clear" w:color="auto" w:fill="FFFFFF"/>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.3.1</w:t>
      </w:r>
      <w:r>
        <w:rPr>
          <w:rFonts w:hint="eastAsia" w:ascii="宋体" w:hAnsi="宋体" w:cs="宋体"/>
          <w:color w:val="auto"/>
          <w:sz w:val="21"/>
          <w:szCs w:val="21"/>
          <w:highlight w:val="none"/>
          <w:shd w:val="clear" w:color="auto" w:fill="FFFFFF"/>
        </w:rPr>
        <w:t>投标文件开标一览表（报价表）内容与投标文件中相应内容不一致的，以开标一览表（报价表）为准；</w:t>
      </w:r>
    </w:p>
    <w:p>
      <w:pPr>
        <w:pStyle w:val="27"/>
        <w:keepNext w:val="0"/>
        <w:keepLines w:val="0"/>
        <w:pageBreakBefore w:val="0"/>
        <w:widowControl/>
        <w:shd w:val="clear" w:color="auto" w:fill="FFFFFF"/>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.3.2</w:t>
      </w:r>
      <w:r>
        <w:rPr>
          <w:rFonts w:hint="eastAsia" w:ascii="宋体" w:hAnsi="宋体" w:cs="宋体"/>
          <w:color w:val="auto"/>
          <w:sz w:val="21"/>
          <w:szCs w:val="21"/>
          <w:highlight w:val="none"/>
          <w:shd w:val="clear" w:color="auto" w:fill="FFFFFF"/>
        </w:rPr>
        <w:t>大写金额</w:t>
      </w:r>
      <w:r>
        <w:rPr>
          <w:rFonts w:hint="eastAsia" w:ascii="宋体" w:hAnsi="宋体" w:cs="宋体"/>
          <w:color w:val="auto"/>
          <w:sz w:val="21"/>
          <w:szCs w:val="21"/>
          <w:highlight w:val="none"/>
        </w:rPr>
        <w:t>与</w:t>
      </w:r>
      <w:r>
        <w:rPr>
          <w:rFonts w:hint="eastAsia" w:ascii="宋体" w:hAnsi="宋体" w:cs="宋体"/>
          <w:color w:val="auto"/>
          <w:sz w:val="21"/>
          <w:szCs w:val="21"/>
          <w:highlight w:val="none"/>
          <w:shd w:val="clear" w:color="auto" w:fill="FFFFFF"/>
        </w:rPr>
        <w:t>小写金额不一致的，以大写金额为准；</w:t>
      </w:r>
    </w:p>
    <w:p>
      <w:pPr>
        <w:pStyle w:val="27"/>
        <w:keepNext w:val="0"/>
        <w:keepLines w:val="0"/>
        <w:pageBreakBefore w:val="0"/>
        <w:widowControl/>
        <w:shd w:val="clear" w:color="auto" w:fill="FFFFFF"/>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.3.3</w:t>
      </w:r>
      <w:r>
        <w:rPr>
          <w:rFonts w:hint="eastAsia" w:ascii="宋体" w:hAnsi="宋体" w:cs="宋体"/>
          <w:color w:val="auto"/>
          <w:sz w:val="21"/>
          <w:szCs w:val="21"/>
          <w:highlight w:val="none"/>
          <w:shd w:val="clear" w:color="auto" w:fill="FFFFFF"/>
        </w:rPr>
        <w:t>单价金额小数点或者百分比有明显错位的，以开标一览表的总价为准，并修改单价；</w:t>
      </w:r>
    </w:p>
    <w:p>
      <w:pPr>
        <w:pStyle w:val="27"/>
        <w:keepNext w:val="0"/>
        <w:keepLines w:val="0"/>
        <w:pageBreakBefore w:val="0"/>
        <w:widowControl/>
        <w:shd w:val="clear" w:color="auto" w:fill="FFFFFF"/>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.3.4</w:t>
      </w:r>
      <w:r>
        <w:rPr>
          <w:rFonts w:hint="eastAsia" w:ascii="宋体" w:hAnsi="宋体" w:cs="宋体"/>
          <w:color w:val="auto"/>
          <w:sz w:val="21"/>
          <w:szCs w:val="21"/>
          <w:highlight w:val="none"/>
          <w:shd w:val="clear" w:color="auto" w:fill="FFFFFF"/>
        </w:rPr>
        <w:t>总价金额与按单价汇总金额不一致的，以单价金额计算结果为准。</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.3.5 对不同文字文本投标文件的解释发生异议的，以中文文本为准。</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.3.6 同时出现两种以上不一致的，按照前款规定的顺序修正。修正后的报价按照财政部87号令第五十一条第二款的规定经投标人确认后产生约束力，投标人不确认的，其投标无效。</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.4 资格性检查和符合性检查。</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color w:val="auto"/>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.4.1</w:t>
      </w:r>
      <w:r>
        <w:rPr>
          <w:rFonts w:hint="eastAsia" w:ascii="宋体" w:hAnsi="宋体"/>
          <w:color w:val="auto"/>
          <w:szCs w:val="21"/>
          <w:highlight w:val="none"/>
        </w:rPr>
        <w:t>资格性检查。依据法规政策和</w:t>
      </w:r>
      <w:r>
        <w:rPr>
          <w:rFonts w:hint="eastAsia" w:ascii="宋体" w:hAnsi="宋体"/>
          <w:color w:val="auto"/>
          <w:szCs w:val="21"/>
          <w:highlight w:val="none"/>
          <w:lang w:val="en-US" w:eastAsia="zh-CN"/>
        </w:rPr>
        <w:t>采购</w:t>
      </w:r>
      <w:r>
        <w:rPr>
          <w:rFonts w:hint="eastAsia" w:ascii="宋体" w:hAnsi="宋体"/>
          <w:color w:val="auto"/>
          <w:szCs w:val="21"/>
          <w:highlight w:val="none"/>
        </w:rPr>
        <w:t>文件的规定，在对投标文件详细评估之前，采购人将依据投标人提交的投标文件按</w:t>
      </w:r>
      <w:r>
        <w:rPr>
          <w:rFonts w:hint="eastAsia" w:ascii="宋体" w:hAnsi="宋体"/>
          <w:color w:val="auto"/>
          <w:szCs w:val="21"/>
          <w:highlight w:val="none"/>
          <w:lang w:val="en-US" w:eastAsia="zh-CN"/>
        </w:rPr>
        <w:t>采购</w:t>
      </w:r>
      <w:r>
        <w:rPr>
          <w:rFonts w:hint="eastAsia" w:ascii="宋体" w:hAnsi="宋体"/>
          <w:color w:val="auto"/>
          <w:szCs w:val="21"/>
          <w:highlight w:val="none"/>
        </w:rPr>
        <w:t>公告第二项和</w:t>
      </w:r>
      <w:r>
        <w:rPr>
          <w:rFonts w:hint="eastAsia" w:ascii="宋体" w:hAnsi="宋体"/>
          <w:color w:val="auto"/>
          <w:szCs w:val="21"/>
          <w:highlight w:val="none"/>
          <w:lang w:val="en-US" w:eastAsia="zh-CN"/>
        </w:rPr>
        <w:t>采购</w:t>
      </w:r>
      <w:r>
        <w:rPr>
          <w:rFonts w:hint="eastAsia" w:ascii="宋体" w:hAnsi="宋体"/>
          <w:color w:val="auto"/>
          <w:szCs w:val="21"/>
          <w:highlight w:val="none"/>
        </w:rPr>
        <w:t>文件第三章4.投标人应提交的证明文件所述的资格标准对投标人进行资格审查,以确定其是否具备投标资格。如果投标人不具备投标资格、不满足</w:t>
      </w:r>
      <w:r>
        <w:rPr>
          <w:rFonts w:hint="eastAsia" w:ascii="宋体" w:hAnsi="宋体"/>
          <w:color w:val="auto"/>
          <w:szCs w:val="21"/>
          <w:highlight w:val="none"/>
          <w:lang w:val="en-US" w:eastAsia="zh-CN"/>
        </w:rPr>
        <w:t>采购</w:t>
      </w:r>
      <w:r>
        <w:rPr>
          <w:rFonts w:hint="eastAsia" w:ascii="宋体" w:hAnsi="宋体"/>
          <w:color w:val="auto"/>
          <w:szCs w:val="21"/>
          <w:highlight w:val="none"/>
        </w:rPr>
        <w:t>文件所规定的资格标准或提供资格证明文件不全,其投标将被作为无效投标。</w:t>
      </w:r>
      <w:r>
        <w:rPr>
          <w:rFonts w:hint="eastAsia" w:ascii="宋体" w:hAnsi="宋体" w:cs="Lucida Sans Unicode"/>
          <w:color w:val="auto"/>
          <w:szCs w:val="21"/>
          <w:highlight w:val="none"/>
        </w:rPr>
        <w:t>在审查过程中，采购人有权要求投标人按</w:t>
      </w:r>
      <w:r>
        <w:rPr>
          <w:rFonts w:hint="eastAsia" w:ascii="宋体" w:hAnsi="宋体" w:cs="Lucida Sans Unicode"/>
          <w:color w:val="auto"/>
          <w:szCs w:val="21"/>
          <w:highlight w:val="none"/>
          <w:lang w:val="en-US" w:eastAsia="zh-CN"/>
        </w:rPr>
        <w:t>采购</w:t>
      </w:r>
      <w:r>
        <w:rPr>
          <w:rFonts w:hint="eastAsia" w:ascii="宋体" w:hAnsi="宋体" w:cs="Lucida Sans Unicode"/>
          <w:color w:val="auto"/>
          <w:szCs w:val="21"/>
          <w:highlight w:val="none"/>
        </w:rPr>
        <w:t>文件的规定提供相关资格证明材料的原件以供审查。投标人应在规定的时限内提供。投标人拒不提供的，或者不能在规定时限内提供的，视为其不具备该资格条件。</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Lucida Sans Unicode"/>
          <w:color w:val="auto"/>
          <w:szCs w:val="21"/>
          <w:highlight w:val="none"/>
        </w:rPr>
      </w:pPr>
      <w:r>
        <w:rPr>
          <w:rFonts w:hint="eastAsia" w:ascii="宋体" w:hAnsi="宋体" w:cs="Lucida Sans Unicode"/>
          <w:color w:val="auto"/>
          <w:szCs w:val="21"/>
          <w:highlight w:val="none"/>
        </w:rPr>
        <w:t>2</w:t>
      </w:r>
      <w:r>
        <w:rPr>
          <w:rFonts w:hint="eastAsia" w:ascii="宋体" w:hAnsi="宋体" w:cs="Lucida Sans Unicode"/>
          <w:color w:val="auto"/>
          <w:szCs w:val="21"/>
          <w:highlight w:val="none"/>
          <w:lang w:val="en-US" w:eastAsia="zh-CN"/>
        </w:rPr>
        <w:t>5</w:t>
      </w:r>
      <w:r>
        <w:rPr>
          <w:rFonts w:hint="eastAsia" w:ascii="宋体" w:hAnsi="宋体" w:cs="Lucida Sans Unicode"/>
          <w:color w:val="auto"/>
          <w:szCs w:val="21"/>
          <w:highlight w:val="none"/>
        </w:rPr>
        <w:t>.4.2 资格审查后合格的投标人不足3家的，不得评标。</w:t>
      </w:r>
    </w:p>
    <w:p>
      <w:pPr>
        <w:keepNext w:val="0"/>
        <w:keepLines w:val="0"/>
        <w:pageBreakBefore w:val="0"/>
        <w:widowControl/>
        <w:kinsoku/>
        <w:wordWrap/>
        <w:overflowPunct/>
        <w:topLinePunct w:val="0"/>
        <w:bidi w:val="0"/>
        <w:snapToGrid w:val="0"/>
        <w:spacing w:line="360" w:lineRule="auto"/>
        <w:ind w:firstLine="420" w:firstLineChars="200"/>
        <w:jc w:val="left"/>
        <w:rPr>
          <w:color w:val="auto"/>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.4.3 符合性检查。依据</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文件的规定，评标委员会将从投标文件的有效性、完整性和对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文件的响应程度进行审查，以确定是否符合对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文件的实质性要求作出响应。对没有实质性响应的投标文件将不进行评估，其投标被作为无效投标。凡有下列情况之一者，投标文件也将被视为未实质性响应</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文件要求：</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（1）投标文件未按规定签字、盖章的。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（2）投标人未能出具有效身份证明，或与身份不符的。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（3）资格证明文件不全的，或不符合</w:t>
      </w:r>
      <w:r>
        <w:rPr>
          <w:rFonts w:hint="eastAsia" w:ascii="宋体" w:hAnsi="宋体"/>
          <w:color w:val="auto"/>
          <w:szCs w:val="21"/>
          <w:highlight w:val="none"/>
          <w:lang w:val="en-US" w:eastAsia="zh-CN"/>
        </w:rPr>
        <w:t>采购</w:t>
      </w:r>
      <w:r>
        <w:rPr>
          <w:rFonts w:hint="eastAsia" w:ascii="宋体" w:hAnsi="宋体"/>
          <w:color w:val="auto"/>
          <w:szCs w:val="21"/>
          <w:highlight w:val="none"/>
        </w:rPr>
        <w:t>文件标明的资格要求的。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（4）投标有效期、交货时间、质保期等不满足</w:t>
      </w:r>
      <w:r>
        <w:rPr>
          <w:rFonts w:hint="eastAsia" w:ascii="宋体" w:hAnsi="宋体"/>
          <w:color w:val="auto"/>
          <w:szCs w:val="21"/>
          <w:highlight w:val="none"/>
          <w:lang w:val="en-US" w:eastAsia="zh-CN"/>
        </w:rPr>
        <w:t>采购</w:t>
      </w:r>
      <w:r>
        <w:rPr>
          <w:rFonts w:hint="eastAsia" w:ascii="宋体" w:hAnsi="宋体"/>
          <w:color w:val="auto"/>
          <w:szCs w:val="21"/>
          <w:highlight w:val="none"/>
        </w:rPr>
        <w:t>文件要求的。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（5）未按</w:t>
      </w:r>
      <w:r>
        <w:rPr>
          <w:rFonts w:hint="eastAsia" w:ascii="宋体" w:hAnsi="宋体"/>
          <w:color w:val="auto"/>
          <w:szCs w:val="21"/>
          <w:highlight w:val="none"/>
          <w:lang w:val="en-US" w:eastAsia="zh-CN"/>
        </w:rPr>
        <w:t>采购</w:t>
      </w:r>
      <w:r>
        <w:rPr>
          <w:rFonts w:hint="eastAsia" w:ascii="宋体" w:hAnsi="宋体"/>
          <w:color w:val="auto"/>
          <w:szCs w:val="21"/>
          <w:highlight w:val="none"/>
        </w:rPr>
        <w:t>文件提供的格式填列、项目不齐全或内容虚假的。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（6）投标文件的实质性内容未使用中文表述，或意思表述不明确，或前后矛盾，或使用计量单位不符合</w:t>
      </w:r>
      <w:r>
        <w:rPr>
          <w:rFonts w:hint="eastAsia" w:ascii="宋体" w:hAnsi="宋体"/>
          <w:color w:val="auto"/>
          <w:szCs w:val="21"/>
          <w:highlight w:val="none"/>
          <w:lang w:val="en-US" w:eastAsia="zh-CN"/>
        </w:rPr>
        <w:t>采购</w:t>
      </w:r>
      <w:r>
        <w:rPr>
          <w:rFonts w:hint="eastAsia" w:ascii="宋体" w:hAnsi="宋体"/>
          <w:color w:val="auto"/>
          <w:szCs w:val="21"/>
          <w:highlight w:val="none"/>
        </w:rPr>
        <w:t>文件要求的。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（7）投标文件的关键内容字迹模糊、无法辨认,或投标文件中经修正的内容字迹模糊无法辩认，或修改处未按规定签名盖章的。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s="宋体"/>
          <w:color w:val="auto"/>
          <w:kern w:val="0"/>
          <w:szCs w:val="21"/>
          <w:highlight w:val="none"/>
        </w:rPr>
      </w:pPr>
      <w:r>
        <w:rPr>
          <w:rFonts w:hint="eastAsia" w:ascii="宋体" w:hAnsi="宋体"/>
          <w:color w:val="auto"/>
          <w:szCs w:val="21"/>
          <w:highlight w:val="none"/>
        </w:rPr>
        <w:t>（8）投标文件内容未按</w:t>
      </w:r>
      <w:r>
        <w:rPr>
          <w:rFonts w:hint="eastAsia" w:ascii="宋体" w:hAnsi="宋体"/>
          <w:color w:val="auto"/>
          <w:szCs w:val="21"/>
          <w:highlight w:val="none"/>
          <w:lang w:val="en-US" w:eastAsia="zh-CN"/>
        </w:rPr>
        <w:t>采购</w:t>
      </w:r>
      <w:r>
        <w:rPr>
          <w:rFonts w:hint="eastAsia" w:ascii="宋体" w:hAnsi="宋体"/>
          <w:color w:val="auto"/>
          <w:szCs w:val="21"/>
          <w:highlight w:val="none"/>
        </w:rPr>
        <w:t>文件响应的。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s="宋体"/>
          <w:color w:val="auto"/>
          <w:kern w:val="0"/>
          <w:szCs w:val="21"/>
          <w:highlight w:val="none"/>
        </w:rPr>
      </w:pPr>
      <w:r>
        <w:rPr>
          <w:rFonts w:hint="eastAsia" w:ascii="宋体" w:hAnsi="宋体" w:cs="宋体"/>
          <w:color w:val="auto"/>
          <w:kern w:val="0"/>
          <w:szCs w:val="21"/>
          <w:highlight w:val="none"/>
        </w:rPr>
        <w:t>（9）不符合</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文件中规定的其它实质性条款。</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s="宋体"/>
          <w:color w:val="auto"/>
          <w:kern w:val="0"/>
          <w:szCs w:val="21"/>
          <w:highlight w:val="none"/>
        </w:rPr>
      </w:pPr>
      <w:r>
        <w:rPr>
          <w:rFonts w:hint="eastAsia" w:ascii="宋体" w:hAnsi="宋体" w:cs="宋体"/>
          <w:color w:val="auto"/>
          <w:kern w:val="0"/>
          <w:szCs w:val="21"/>
          <w:highlight w:val="none"/>
        </w:rPr>
        <w:t>评标委员会决定投标的响应性只根据投标文件本身的内容，而不寻求其他的外部证据。</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eastAsia="zh-CN"/>
        </w:rPr>
        <w:t>5</w:t>
      </w:r>
      <w:r>
        <w:rPr>
          <w:rFonts w:hint="eastAsia" w:ascii="宋体" w:hAnsi="宋体" w:cs="宋体"/>
          <w:color w:val="auto"/>
          <w:kern w:val="0"/>
          <w:szCs w:val="21"/>
          <w:highlight w:val="none"/>
        </w:rPr>
        <w:t>.4.4 对资格性检查和符合性检查不合格的投标人，将</w:t>
      </w:r>
      <w:r>
        <w:rPr>
          <w:rFonts w:hint="eastAsia" w:ascii="宋体" w:hAnsi="宋体" w:cs="宋体"/>
          <w:color w:val="auto"/>
          <w:kern w:val="0"/>
          <w:szCs w:val="21"/>
          <w:highlight w:val="none"/>
          <w:lang w:val="en-US" w:eastAsia="zh-CN"/>
        </w:rPr>
        <w:t>通过评标系统</w:t>
      </w:r>
      <w:r>
        <w:rPr>
          <w:rFonts w:hint="eastAsia" w:ascii="宋体" w:hAnsi="宋体" w:cs="宋体"/>
          <w:color w:val="auto"/>
          <w:kern w:val="0"/>
          <w:szCs w:val="21"/>
          <w:highlight w:val="none"/>
        </w:rPr>
        <w:t>告知其理由。</w:t>
      </w:r>
    </w:p>
    <w:p>
      <w:pPr>
        <w:pStyle w:val="27"/>
        <w:keepNext w:val="0"/>
        <w:keepLines w:val="0"/>
        <w:pageBreakBefore w:val="0"/>
        <w:widowControl/>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eastAsia="zh-CN"/>
        </w:rPr>
        <w:t>5</w:t>
      </w:r>
      <w:r>
        <w:rPr>
          <w:rFonts w:hint="eastAsia" w:ascii="宋体" w:hAnsi="宋体" w:cs="宋体"/>
          <w:color w:val="auto"/>
          <w:sz w:val="21"/>
          <w:szCs w:val="21"/>
          <w:highlight w:val="none"/>
        </w:rPr>
        <w:t>.5 在评审过程中，评标委员会发现投标人有下列情形之一的，视为投标人串通投标，其投标无效：</w:t>
      </w:r>
    </w:p>
    <w:p>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eastAsia="zh-CN"/>
        </w:rPr>
        <w:t>5</w:t>
      </w:r>
      <w:r>
        <w:rPr>
          <w:rFonts w:hint="eastAsia" w:ascii="宋体" w:hAnsi="宋体" w:cs="宋体"/>
          <w:color w:val="auto"/>
          <w:kern w:val="0"/>
          <w:szCs w:val="21"/>
          <w:highlight w:val="none"/>
        </w:rPr>
        <w:t>.5.1不同投标人的投标文件异常一致。</w:t>
      </w:r>
    </w:p>
    <w:p>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5</w:t>
      </w:r>
      <w:r>
        <w:rPr>
          <w:rFonts w:hint="eastAsia" w:ascii="宋体" w:hAnsi="宋体" w:cs="宋体"/>
          <w:color w:val="auto"/>
          <w:szCs w:val="21"/>
          <w:highlight w:val="none"/>
        </w:rPr>
        <w:t>.5.2不同投标人的投标文件由同一单位或者个人编制；</w:t>
      </w:r>
    </w:p>
    <w:p>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5</w:t>
      </w:r>
      <w:r>
        <w:rPr>
          <w:rFonts w:hint="eastAsia" w:ascii="宋体" w:hAnsi="宋体" w:cs="宋体"/>
          <w:color w:val="auto"/>
          <w:szCs w:val="21"/>
          <w:highlight w:val="none"/>
        </w:rPr>
        <w:t>.5.3不同投标人委托同一单位或者个人办理投标事宜；</w:t>
      </w:r>
    </w:p>
    <w:p>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5</w:t>
      </w:r>
      <w:r>
        <w:rPr>
          <w:rFonts w:hint="eastAsia" w:ascii="宋体" w:hAnsi="宋体" w:cs="宋体"/>
          <w:color w:val="auto"/>
          <w:szCs w:val="21"/>
          <w:highlight w:val="none"/>
        </w:rPr>
        <w:t>.5.4不同投标人的投标文件载明的项目管理成员或者联系人员为同一人；　　</w:t>
      </w:r>
    </w:p>
    <w:p>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5</w:t>
      </w:r>
      <w:r>
        <w:rPr>
          <w:rFonts w:hint="eastAsia" w:ascii="宋体" w:hAnsi="宋体" w:cs="宋体"/>
          <w:color w:val="auto"/>
          <w:szCs w:val="21"/>
          <w:highlight w:val="none"/>
        </w:rPr>
        <w:t>.5.5不同投标人的投标文件相互混装；</w:t>
      </w:r>
    </w:p>
    <w:p>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5</w:t>
      </w:r>
      <w:r>
        <w:rPr>
          <w:rFonts w:hint="eastAsia" w:ascii="宋体" w:hAnsi="宋体" w:cs="宋体"/>
          <w:color w:val="auto"/>
          <w:szCs w:val="21"/>
          <w:highlight w:val="none"/>
        </w:rPr>
        <w:t>.5.6不同投标人的投标保证金从同一单位或者个人的账户转出（若收取）。</w:t>
      </w:r>
    </w:p>
    <w:p>
      <w:pPr>
        <w:keepNext w:val="0"/>
        <w:keepLines w:val="0"/>
        <w:pageBreakBefore w:val="0"/>
        <w:widowControl/>
        <w:kinsoku/>
        <w:wordWrap/>
        <w:overflowPunct/>
        <w:topLinePunct w:val="0"/>
        <w:bidi w:val="0"/>
        <w:adjustRightInd w:val="0"/>
        <w:snapToGrid w:val="0"/>
        <w:spacing w:line="360" w:lineRule="auto"/>
        <w:ind w:left="19" w:leftChars="9" w:firstLine="399" w:firstLineChars="190"/>
        <w:jc w:val="left"/>
        <w:textAlignment w:val="baseline"/>
        <w:rPr>
          <w:color w:val="auto"/>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eastAsia="zh-CN"/>
        </w:rPr>
        <w:t>5</w:t>
      </w:r>
      <w:r>
        <w:rPr>
          <w:rFonts w:hint="eastAsia" w:ascii="宋体" w:hAnsi="宋体" w:cs="宋体"/>
          <w:color w:val="auto"/>
          <w:kern w:val="0"/>
          <w:szCs w:val="21"/>
          <w:highlight w:val="none"/>
        </w:rPr>
        <w:t>.5.7 有证据证明投标人串通投标的其他情形的；</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eastAsia="zh-CN"/>
        </w:rPr>
        <w:t>5</w:t>
      </w:r>
      <w:r>
        <w:rPr>
          <w:rFonts w:hint="eastAsia" w:ascii="宋体" w:hAnsi="宋体" w:cs="宋体"/>
          <w:color w:val="auto"/>
          <w:kern w:val="0"/>
          <w:szCs w:val="21"/>
          <w:highlight w:val="none"/>
        </w:rPr>
        <w:t>.5.8 不同投标人的投标文件制作机器码一致；</w:t>
      </w:r>
    </w:p>
    <w:p>
      <w:pPr>
        <w:keepNext w:val="0"/>
        <w:keepLines w:val="0"/>
        <w:pageBreakBefore w:val="0"/>
        <w:widowControl/>
        <w:kinsoku/>
        <w:wordWrap/>
        <w:overflowPunct/>
        <w:topLinePunct w:val="0"/>
        <w:bidi w:val="0"/>
        <w:snapToGrid w:val="0"/>
        <w:spacing w:line="360" w:lineRule="auto"/>
        <w:ind w:firstLine="420" w:firstLineChars="200"/>
        <w:jc w:val="left"/>
        <w:rPr>
          <w:color w:val="auto"/>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eastAsia="zh-CN"/>
        </w:rPr>
        <w:t>5</w:t>
      </w:r>
      <w:r>
        <w:rPr>
          <w:rFonts w:hint="eastAsia" w:ascii="宋体" w:hAnsi="宋体" w:cs="宋体"/>
          <w:color w:val="auto"/>
          <w:kern w:val="0"/>
          <w:szCs w:val="21"/>
          <w:highlight w:val="none"/>
        </w:rPr>
        <w:t>.5.9 评标委员会认定的其他串通投标情形。</w:t>
      </w:r>
    </w:p>
    <w:p>
      <w:pPr>
        <w:keepNext w:val="0"/>
        <w:keepLines w:val="0"/>
        <w:pageBreakBefore w:val="0"/>
        <w:widowControl/>
        <w:kinsoku/>
        <w:wordWrap/>
        <w:overflowPunct/>
        <w:topLinePunct w:val="0"/>
        <w:bidi w:val="0"/>
        <w:snapToGrid w:val="0"/>
        <w:spacing w:line="360" w:lineRule="auto"/>
        <w:ind w:firstLine="422" w:firstLineChars="200"/>
        <w:jc w:val="left"/>
        <w:rPr>
          <w:rFonts w:ascii="宋体" w:hAnsi="宋体" w:cs="宋体"/>
          <w:color w:val="auto"/>
          <w:kern w:val="0"/>
          <w:szCs w:val="21"/>
          <w:highlight w:val="none"/>
        </w:rPr>
      </w:pPr>
      <w:r>
        <w:rPr>
          <w:rFonts w:hint="eastAsia" w:ascii="宋体" w:hAnsi="宋体" w:cs="宋体"/>
          <w:b/>
          <w:bCs/>
          <w:color w:val="auto"/>
          <w:kern w:val="0"/>
          <w:szCs w:val="21"/>
          <w:highlight w:val="none"/>
        </w:rPr>
        <w:t>2</w:t>
      </w:r>
      <w:r>
        <w:rPr>
          <w:rFonts w:hint="eastAsia" w:ascii="宋体" w:hAnsi="宋体" w:cs="宋体"/>
          <w:b/>
          <w:bCs/>
          <w:color w:val="auto"/>
          <w:kern w:val="0"/>
          <w:szCs w:val="21"/>
          <w:highlight w:val="none"/>
          <w:lang w:val="en-US" w:eastAsia="zh-CN"/>
        </w:rPr>
        <w:t>6</w:t>
      </w:r>
      <w:r>
        <w:rPr>
          <w:rFonts w:hint="eastAsia" w:ascii="宋体" w:hAnsi="宋体" w:cs="宋体"/>
          <w:b/>
          <w:bCs/>
          <w:color w:val="auto"/>
          <w:kern w:val="0"/>
          <w:szCs w:val="21"/>
          <w:highlight w:val="none"/>
        </w:rPr>
        <w:t>. 投标文件的澄清</w:t>
      </w:r>
    </w:p>
    <w:p>
      <w:pPr>
        <w:keepNext w:val="0"/>
        <w:keepLines w:val="0"/>
        <w:pageBreakBefore w:val="0"/>
        <w:widowControl/>
        <w:kinsoku/>
        <w:wordWrap/>
        <w:overflowPunct/>
        <w:topLinePunct w:val="0"/>
        <w:bidi w:val="0"/>
        <w:snapToGrid w:val="0"/>
        <w:spacing w:line="360" w:lineRule="auto"/>
        <w:ind w:firstLine="420" w:firstLineChars="200"/>
        <w:jc w:val="left"/>
        <w:rPr>
          <w:color w:val="auto"/>
          <w:szCs w:val="21"/>
          <w:highlight w:val="none"/>
        </w:rPr>
      </w:pPr>
      <w:r>
        <w:rPr>
          <w:rFonts w:hint="eastAsia" w:ascii="宋体" w:hAnsi="宋体" w:cs="宋体"/>
          <w:color w:val="auto"/>
          <w:kern w:val="0"/>
          <w:szCs w:val="21"/>
          <w:highlight w:val="none"/>
        </w:rPr>
        <w:t>对投标文件中含义不明确、同类问题表述不一致或者有明显文字和计算错误的内容，评标委员会可以书面形式要求投标人作出必要的澄清。投标人的澄清应当在评标委员会规定的时间内以书面形式作出，由其投标人代表签字。但澄清事项不得超出投标文件的范围，不得实质性改变投标文件的内容，不得通过澄清等方式对投标人实行差别对待。评标委员会不得接受投标人主动提出的澄清和解释。</w:t>
      </w:r>
    </w:p>
    <w:p>
      <w:pPr>
        <w:keepNext w:val="0"/>
        <w:keepLines w:val="0"/>
        <w:pageBreakBefore w:val="0"/>
        <w:widowControl/>
        <w:kinsoku/>
        <w:wordWrap/>
        <w:overflowPunct/>
        <w:topLinePunct w:val="0"/>
        <w:bidi w:val="0"/>
        <w:snapToGrid w:val="0"/>
        <w:spacing w:line="360" w:lineRule="auto"/>
        <w:ind w:firstLine="422" w:firstLineChars="200"/>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2</w:t>
      </w:r>
      <w:r>
        <w:rPr>
          <w:rFonts w:hint="eastAsia" w:ascii="宋体" w:hAnsi="宋体" w:cs="宋体"/>
          <w:b/>
          <w:bCs/>
          <w:color w:val="auto"/>
          <w:kern w:val="0"/>
          <w:szCs w:val="21"/>
          <w:highlight w:val="none"/>
          <w:lang w:val="en-US" w:eastAsia="zh-CN"/>
        </w:rPr>
        <w:t>7</w:t>
      </w:r>
      <w:r>
        <w:rPr>
          <w:rFonts w:hint="eastAsia" w:ascii="宋体" w:hAnsi="宋体" w:cs="宋体"/>
          <w:b/>
          <w:bCs/>
          <w:color w:val="auto"/>
          <w:kern w:val="0"/>
          <w:szCs w:val="21"/>
          <w:highlight w:val="none"/>
        </w:rPr>
        <w:t>. 比较与评价</w:t>
      </w:r>
    </w:p>
    <w:p>
      <w:pPr>
        <w:pStyle w:val="27"/>
        <w:keepNext w:val="0"/>
        <w:keepLines w:val="0"/>
        <w:pageBreakBefore w:val="0"/>
        <w:widowControl/>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eastAsia="zh-CN"/>
        </w:rPr>
        <w:t>7</w:t>
      </w:r>
      <w:r>
        <w:rPr>
          <w:rFonts w:hint="eastAsia" w:ascii="宋体" w:hAnsi="宋体" w:cs="宋体"/>
          <w:color w:val="auto"/>
          <w:sz w:val="21"/>
          <w:szCs w:val="21"/>
          <w:highlight w:val="none"/>
        </w:rPr>
        <w:t>.1 评标委员会将按本</w:t>
      </w:r>
      <w:r>
        <w:rPr>
          <w:rFonts w:hint="eastAsia" w:ascii="宋体" w:hAnsi="宋体" w:cs="宋体"/>
          <w:color w:val="auto"/>
          <w:sz w:val="21"/>
          <w:szCs w:val="21"/>
          <w:highlight w:val="none"/>
          <w:lang w:val="en-US" w:eastAsia="zh-CN"/>
        </w:rPr>
        <w:t>采购</w:t>
      </w:r>
      <w:r>
        <w:rPr>
          <w:rFonts w:hint="eastAsia" w:ascii="宋体" w:hAnsi="宋体" w:cs="宋体"/>
          <w:color w:val="auto"/>
          <w:sz w:val="21"/>
          <w:szCs w:val="21"/>
          <w:highlight w:val="none"/>
        </w:rPr>
        <w:t>文件规定的评标方法与标准，对资格性检查和符合性检查合格的投标文件进行商务和技术评估，综合比较与评价。</w:t>
      </w:r>
    </w:p>
    <w:p>
      <w:pPr>
        <w:pStyle w:val="27"/>
        <w:keepNext w:val="0"/>
        <w:keepLines w:val="0"/>
        <w:pageBreakBefore w:val="0"/>
        <w:widowControl/>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eastAsia="zh-CN"/>
        </w:rPr>
        <w:t>7</w:t>
      </w:r>
      <w:r>
        <w:rPr>
          <w:rFonts w:hint="eastAsia" w:ascii="宋体" w:hAnsi="宋体" w:cs="宋体"/>
          <w:color w:val="auto"/>
          <w:sz w:val="21"/>
          <w:szCs w:val="21"/>
          <w:highlight w:val="none"/>
        </w:rPr>
        <w:t>.2对漏（缺）报项的处理：</w:t>
      </w:r>
      <w:r>
        <w:rPr>
          <w:rFonts w:hint="eastAsia" w:ascii="宋体" w:hAnsi="宋体" w:cs="宋体"/>
          <w:color w:val="auto"/>
          <w:sz w:val="21"/>
          <w:szCs w:val="21"/>
          <w:highlight w:val="none"/>
          <w:lang w:val="en-US" w:eastAsia="zh-CN"/>
        </w:rPr>
        <w:t>采购</w:t>
      </w:r>
      <w:r>
        <w:rPr>
          <w:rFonts w:hint="eastAsia" w:ascii="宋体" w:hAnsi="宋体" w:cs="宋体"/>
          <w:color w:val="auto"/>
          <w:sz w:val="21"/>
          <w:szCs w:val="21"/>
          <w:highlight w:val="none"/>
        </w:rPr>
        <w:t>文件中要求列入报价的费用（含配置、功能），漏（缺）报的视同已含在投标总价中。</w:t>
      </w:r>
    </w:p>
    <w:p>
      <w:pPr>
        <w:pStyle w:val="27"/>
        <w:keepNext w:val="0"/>
        <w:keepLines w:val="0"/>
        <w:pageBreakBefore w:val="0"/>
        <w:widowControl/>
        <w:kinsoku/>
        <w:wordWrap/>
        <w:overflowPunct/>
        <w:topLinePunct w:val="0"/>
        <w:bidi w:val="0"/>
        <w:snapToGrid w:val="0"/>
        <w:spacing w:before="0" w:beforeAutospacing="0" w:after="0" w:afterAutospacing="0" w:line="360" w:lineRule="auto"/>
        <w:ind w:firstLine="420" w:firstLineChars="200"/>
        <w:jc w:val="both"/>
        <w:rPr>
          <w:rFonts w:ascii="宋体" w:hAnsi="宋体" w:cs="宋体"/>
          <w:b/>
          <w:bCs/>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eastAsia="zh-CN"/>
        </w:rPr>
        <w:t>7</w:t>
      </w:r>
      <w:r>
        <w:rPr>
          <w:rFonts w:hint="eastAsia" w:ascii="宋体" w:hAnsi="宋体" w:cs="宋体"/>
          <w:color w:val="auto"/>
          <w:sz w:val="21"/>
          <w:szCs w:val="21"/>
          <w:highlight w:val="none"/>
        </w:rPr>
        <w:t>.3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keepNext w:val="0"/>
        <w:keepLines w:val="0"/>
        <w:pageBreakBefore w:val="0"/>
        <w:widowControl/>
        <w:kinsoku/>
        <w:wordWrap/>
        <w:overflowPunct/>
        <w:topLinePunct w:val="0"/>
        <w:bidi w:val="0"/>
        <w:snapToGrid w:val="0"/>
        <w:spacing w:line="360" w:lineRule="auto"/>
        <w:ind w:firstLine="422" w:firstLineChars="200"/>
        <w:jc w:val="left"/>
        <w:rPr>
          <w:rFonts w:ascii="宋体" w:hAnsi="宋体" w:cs="宋体"/>
          <w:color w:val="auto"/>
          <w:kern w:val="0"/>
          <w:szCs w:val="21"/>
          <w:highlight w:val="none"/>
        </w:rPr>
      </w:pPr>
      <w:r>
        <w:rPr>
          <w:rFonts w:hint="eastAsia" w:ascii="宋体" w:hAnsi="宋体" w:cs="宋体"/>
          <w:b/>
          <w:bCs/>
          <w:color w:val="auto"/>
          <w:kern w:val="0"/>
          <w:szCs w:val="21"/>
          <w:highlight w:val="none"/>
        </w:rPr>
        <w:t>2</w:t>
      </w:r>
      <w:r>
        <w:rPr>
          <w:rFonts w:hint="eastAsia" w:ascii="宋体" w:hAnsi="宋体" w:cs="宋体"/>
          <w:b/>
          <w:bCs/>
          <w:color w:val="auto"/>
          <w:kern w:val="0"/>
          <w:szCs w:val="21"/>
          <w:highlight w:val="none"/>
          <w:lang w:val="en-US" w:eastAsia="zh-CN"/>
        </w:rPr>
        <w:t>8</w:t>
      </w:r>
      <w:r>
        <w:rPr>
          <w:rFonts w:hint="eastAsia" w:ascii="宋体" w:hAnsi="宋体" w:cs="宋体"/>
          <w:b/>
          <w:bCs/>
          <w:color w:val="auto"/>
          <w:kern w:val="0"/>
          <w:szCs w:val="21"/>
          <w:highlight w:val="none"/>
        </w:rPr>
        <w:t>. 评标过程及保密原则</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8</w:t>
      </w:r>
      <w:r>
        <w:rPr>
          <w:rFonts w:hint="eastAsia" w:ascii="宋体" w:hAnsi="宋体" w:cs="宋体"/>
          <w:color w:val="auto"/>
          <w:kern w:val="0"/>
          <w:szCs w:val="21"/>
          <w:highlight w:val="none"/>
        </w:rPr>
        <w:t>.1 凡与本次</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有关人员对属于审查、澄清、评价和比较投标的有关资料以及定标意向等，均不得向投标人或其他人员透露。否则,将按有关规定追究相关人员的责任。</w:t>
      </w:r>
    </w:p>
    <w:p>
      <w:pPr>
        <w:keepNext w:val="0"/>
        <w:keepLines w:val="0"/>
        <w:pageBreakBefore w:val="0"/>
        <w:widowControl/>
        <w:kinsoku/>
        <w:wordWrap/>
        <w:overflowPunct/>
        <w:topLinePunct w:val="0"/>
        <w:bidi w:val="0"/>
        <w:snapToGrid w:val="0"/>
        <w:spacing w:line="360" w:lineRule="auto"/>
        <w:ind w:firstLine="420" w:firstLineChars="200"/>
        <w:jc w:val="left"/>
        <w:rPr>
          <w:color w:val="auto"/>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8</w:t>
      </w:r>
      <w:r>
        <w:rPr>
          <w:rFonts w:hint="eastAsia" w:ascii="宋体" w:hAnsi="宋体" w:cs="宋体"/>
          <w:color w:val="auto"/>
          <w:kern w:val="0"/>
          <w:szCs w:val="21"/>
          <w:highlight w:val="none"/>
        </w:rPr>
        <w:t>.2 在评标期间，投标人试图影响或干预评审的任何行为，将导致其投标被作为无效投标，并承担相应的法律责任。</w:t>
      </w:r>
    </w:p>
    <w:p>
      <w:pPr>
        <w:keepNext w:val="0"/>
        <w:keepLines w:val="0"/>
        <w:pageBreakBefore w:val="0"/>
        <w:widowControl/>
        <w:kinsoku/>
        <w:wordWrap/>
        <w:overflowPunct/>
        <w:topLinePunct w:val="0"/>
        <w:bidi w:val="0"/>
        <w:snapToGrid w:val="0"/>
        <w:spacing w:line="360" w:lineRule="auto"/>
        <w:ind w:firstLine="422" w:firstLineChars="200"/>
        <w:jc w:val="left"/>
        <w:rPr>
          <w:rFonts w:ascii="宋体" w:hAnsi="宋体" w:cs="宋体"/>
          <w:b/>
          <w:color w:val="auto"/>
          <w:kern w:val="0"/>
          <w:szCs w:val="21"/>
          <w:highlight w:val="none"/>
        </w:rPr>
      </w:pPr>
      <w:r>
        <w:rPr>
          <w:rFonts w:hint="eastAsia" w:ascii="宋体" w:hAnsi="宋体" w:cs="宋体"/>
          <w:b/>
          <w:color w:val="auto"/>
          <w:kern w:val="0"/>
          <w:szCs w:val="21"/>
          <w:highlight w:val="none"/>
          <w:lang w:val="en-US" w:eastAsia="zh-CN"/>
        </w:rPr>
        <w:t>29</w:t>
      </w:r>
      <w:r>
        <w:rPr>
          <w:rFonts w:hint="eastAsia" w:ascii="宋体" w:hAnsi="宋体" w:cs="宋体"/>
          <w:b/>
          <w:color w:val="auto"/>
          <w:kern w:val="0"/>
          <w:szCs w:val="21"/>
          <w:highlight w:val="none"/>
        </w:rPr>
        <w:t>.评标异议登记</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 w:val="24"/>
          <w:highlight w:val="none"/>
        </w:rPr>
      </w:pPr>
      <w:r>
        <w:rPr>
          <w:rFonts w:hint="eastAsia" w:ascii="宋体" w:hAnsi="宋体" w:cs="宋体"/>
          <w:bCs/>
          <w:color w:val="auto"/>
          <w:kern w:val="0"/>
          <w:szCs w:val="21"/>
          <w:highlight w:val="none"/>
        </w:rPr>
        <w:t>采购人</w:t>
      </w:r>
      <w:r>
        <w:rPr>
          <w:rFonts w:hint="eastAsia" w:ascii="宋体" w:hAnsi="宋体" w:cs="宋体"/>
          <w:color w:val="auto"/>
          <w:kern w:val="0"/>
          <w:szCs w:val="21"/>
          <w:highlight w:val="none"/>
        </w:rPr>
        <w:t>工作人员对评审专家等相关人员在评审过程中发现、提出的异议进行逐项登记。</w:t>
      </w:r>
    </w:p>
    <w:p>
      <w:pPr>
        <w:keepNext w:val="0"/>
        <w:keepLines w:val="0"/>
        <w:pageBreakBefore w:val="0"/>
        <w:widowControl/>
        <w:kinsoku/>
        <w:wordWrap/>
        <w:overflowPunct/>
        <w:topLinePunct w:val="0"/>
        <w:bidi w:val="0"/>
        <w:snapToGrid w:val="0"/>
        <w:spacing w:line="360" w:lineRule="auto"/>
        <w:ind w:firstLine="3050"/>
        <w:jc w:val="left"/>
        <w:rPr>
          <w:rFonts w:ascii="宋体" w:hAnsi="宋体" w:cs="宋体"/>
          <w:color w:val="auto"/>
          <w:kern w:val="0"/>
          <w:sz w:val="24"/>
          <w:highlight w:val="none"/>
        </w:rPr>
      </w:pPr>
      <w:r>
        <w:rPr>
          <w:rFonts w:hint="eastAsia" w:ascii="黑体" w:hAnsi="宋体" w:eastAsia="黑体" w:cs="宋体"/>
          <w:b/>
          <w:bCs/>
          <w:color w:val="auto"/>
          <w:kern w:val="0"/>
          <w:sz w:val="32"/>
          <w:szCs w:val="32"/>
          <w:highlight w:val="none"/>
          <w:lang w:val="en-US" w:eastAsia="zh-CN"/>
        </w:rPr>
        <w:t>六</w:t>
      </w:r>
      <w:r>
        <w:rPr>
          <w:rFonts w:hint="eastAsia" w:ascii="黑体" w:hAnsi="宋体" w:eastAsia="黑体" w:cs="宋体"/>
          <w:b/>
          <w:bCs/>
          <w:color w:val="auto"/>
          <w:kern w:val="0"/>
          <w:sz w:val="32"/>
          <w:highlight w:val="none"/>
        </w:rPr>
        <w:t>、</w:t>
      </w:r>
      <w:r>
        <w:rPr>
          <w:rFonts w:hint="eastAsia" w:ascii="黑体" w:hAnsi="宋体" w:eastAsia="黑体" w:cs="宋体"/>
          <w:b/>
          <w:bCs/>
          <w:color w:val="auto"/>
          <w:kern w:val="0"/>
          <w:sz w:val="32"/>
          <w:szCs w:val="32"/>
          <w:highlight w:val="none"/>
        </w:rPr>
        <w:t>定标</w:t>
      </w:r>
    </w:p>
    <w:p>
      <w:pPr>
        <w:keepNext w:val="0"/>
        <w:keepLines w:val="0"/>
        <w:pageBreakBefore w:val="0"/>
        <w:widowControl/>
        <w:kinsoku/>
        <w:wordWrap/>
        <w:overflowPunct/>
        <w:topLinePunct w:val="0"/>
        <w:bidi w:val="0"/>
        <w:snapToGrid w:val="0"/>
        <w:spacing w:line="360" w:lineRule="auto"/>
        <w:ind w:firstLine="422" w:firstLineChars="200"/>
        <w:rPr>
          <w:rFonts w:ascii="宋体" w:hAnsi="宋体" w:cs="宋体"/>
          <w:color w:val="auto"/>
          <w:kern w:val="0"/>
          <w:szCs w:val="21"/>
          <w:highlight w:val="none"/>
        </w:rPr>
      </w:pPr>
      <w:r>
        <w:rPr>
          <w:rFonts w:hint="eastAsia" w:ascii="宋体" w:hAnsi="宋体" w:cs="宋体"/>
          <w:b/>
          <w:bCs/>
          <w:color w:val="auto"/>
          <w:kern w:val="0"/>
          <w:szCs w:val="21"/>
          <w:highlight w:val="none"/>
        </w:rPr>
        <w:t>3</w:t>
      </w:r>
      <w:r>
        <w:rPr>
          <w:rFonts w:hint="eastAsia" w:ascii="宋体" w:hAnsi="宋体" w:cs="宋体"/>
          <w:b/>
          <w:bCs/>
          <w:color w:val="auto"/>
          <w:kern w:val="0"/>
          <w:szCs w:val="21"/>
          <w:highlight w:val="none"/>
          <w:lang w:val="en-US" w:eastAsia="zh-CN"/>
        </w:rPr>
        <w:t>0</w:t>
      </w:r>
      <w:r>
        <w:rPr>
          <w:rFonts w:hint="eastAsia" w:ascii="宋体" w:hAnsi="宋体" w:cs="宋体"/>
          <w:b/>
          <w:bCs/>
          <w:color w:val="auto"/>
          <w:kern w:val="0"/>
          <w:szCs w:val="21"/>
          <w:highlight w:val="none"/>
        </w:rPr>
        <w:t>. 定标原则</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0</w:t>
      </w:r>
      <w:r>
        <w:rPr>
          <w:rFonts w:hint="eastAsia" w:ascii="宋体" w:hAnsi="宋体" w:cs="宋体"/>
          <w:bCs/>
          <w:color w:val="auto"/>
          <w:kern w:val="0"/>
          <w:szCs w:val="21"/>
          <w:highlight w:val="none"/>
        </w:rPr>
        <w:t>.1 最低投标价不作为中标的保证。</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0</w:t>
      </w:r>
      <w:r>
        <w:rPr>
          <w:rFonts w:hint="eastAsia" w:ascii="宋体" w:hAnsi="宋体" w:cs="宋体"/>
          <w:bCs/>
          <w:color w:val="auto"/>
          <w:kern w:val="0"/>
          <w:szCs w:val="21"/>
          <w:highlight w:val="none"/>
        </w:rPr>
        <w:t>.2 确定实质上响应</w:t>
      </w:r>
      <w:r>
        <w:rPr>
          <w:rFonts w:hint="eastAsia" w:ascii="宋体" w:hAnsi="宋体" w:cs="宋体"/>
          <w:bCs/>
          <w:color w:val="auto"/>
          <w:kern w:val="0"/>
          <w:szCs w:val="21"/>
          <w:highlight w:val="none"/>
          <w:lang w:val="en-US" w:eastAsia="zh-CN"/>
        </w:rPr>
        <w:t>采购</w:t>
      </w:r>
      <w:r>
        <w:rPr>
          <w:rFonts w:hint="eastAsia" w:ascii="宋体" w:hAnsi="宋体" w:cs="宋体"/>
          <w:bCs/>
          <w:color w:val="auto"/>
          <w:kern w:val="0"/>
          <w:szCs w:val="21"/>
          <w:highlight w:val="none"/>
        </w:rPr>
        <w:t>文件且满足下列条件的为中标候选人（或中标人）</w:t>
      </w:r>
    </w:p>
    <w:p>
      <w:pPr>
        <w:keepNext w:val="0"/>
        <w:keepLines w:val="0"/>
        <w:pageBreakBefore w:val="0"/>
        <w:kinsoku/>
        <w:wordWrap/>
        <w:overflowPunct/>
        <w:topLinePunct w:val="0"/>
        <w:bidi w:val="0"/>
        <w:snapToGrid w:val="0"/>
        <w:spacing w:line="360" w:lineRule="auto"/>
        <w:ind w:firstLine="420" w:firstLineChars="200"/>
        <w:rPr>
          <w:rFonts w:ascii="宋体" w:hAnsi="宋体" w:cs="宋体"/>
          <w:color w:val="auto"/>
          <w:szCs w:val="21"/>
          <w:highlight w:val="none"/>
        </w:rPr>
      </w:pPr>
      <w:bookmarkStart w:id="53" w:name="_Toc32200"/>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0</w:t>
      </w:r>
      <w:r>
        <w:rPr>
          <w:rFonts w:hint="eastAsia" w:ascii="宋体" w:hAnsi="宋体" w:cs="宋体"/>
          <w:bCs/>
          <w:color w:val="auto"/>
          <w:kern w:val="0"/>
          <w:szCs w:val="21"/>
          <w:highlight w:val="none"/>
        </w:rPr>
        <w:t>.2.1</w:t>
      </w:r>
      <w:bookmarkEnd w:id="53"/>
      <w:r>
        <w:rPr>
          <w:rFonts w:hint="eastAsia" w:ascii="宋体" w:hAnsi="宋体" w:cs="宋体"/>
          <w:bCs/>
          <w:color w:val="auto"/>
          <w:kern w:val="0"/>
          <w:szCs w:val="21"/>
          <w:highlight w:val="none"/>
        </w:rPr>
        <w:t>本次评标采用</w:t>
      </w:r>
      <w:r>
        <w:rPr>
          <w:rFonts w:hint="eastAsia" w:ascii="宋体" w:hAnsi="宋体" w:cs="宋体"/>
          <w:color w:val="auto"/>
          <w:szCs w:val="21"/>
          <w:highlight w:val="none"/>
        </w:rPr>
        <w:t>综合评分法，是指响应文件满足采购文件全部实质性要求，且按照评审因素的量化指标评审得分最高的投标人为中标候选人的评标方法。</w:t>
      </w:r>
    </w:p>
    <w:p>
      <w:pPr>
        <w:keepNext w:val="0"/>
        <w:keepLines w:val="0"/>
        <w:pageBreakBefore w:val="0"/>
        <w:kinsoku/>
        <w:wordWrap/>
        <w:overflowPunct/>
        <w:topLinePunct w:val="0"/>
        <w:bidi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采用综合评分法的，评标结果按评审后得分由高到低顺序排列。投标文件满足</w:t>
      </w:r>
      <w:r>
        <w:rPr>
          <w:rFonts w:hint="eastAsia" w:ascii="宋体" w:hAnsi="宋体" w:cs="宋体"/>
          <w:color w:val="auto"/>
          <w:szCs w:val="21"/>
          <w:highlight w:val="none"/>
          <w:lang w:val="en-US" w:eastAsia="zh-CN"/>
        </w:rPr>
        <w:t>采购</w:t>
      </w:r>
      <w:r>
        <w:rPr>
          <w:rFonts w:hint="eastAsia" w:ascii="宋体" w:hAnsi="宋体" w:cs="宋体"/>
          <w:color w:val="auto"/>
          <w:szCs w:val="21"/>
          <w:highlight w:val="none"/>
        </w:rPr>
        <w:t>文件全部实质性要求，且按照评审因素的量化指标评审得分最高的投标人为排名第一的中标候选人，以此类推。得分相同的，按投标报价由低到高顺序排列。得分且投标报价相同的，按技术部分得分顺序排列。得分与技术指标优劣均相同的，通过随机抽取产生。</w:t>
      </w:r>
    </w:p>
    <w:p>
      <w:pPr>
        <w:keepNext w:val="0"/>
        <w:keepLines w:val="0"/>
        <w:pageBreakBefore w:val="0"/>
        <w:widowControl/>
        <w:kinsoku/>
        <w:wordWrap/>
        <w:overflowPunct/>
        <w:topLinePunct w:val="0"/>
        <w:bidi w:val="0"/>
        <w:snapToGrid w:val="0"/>
        <w:spacing w:line="360" w:lineRule="auto"/>
        <w:ind w:firstLine="422" w:firstLineChars="200"/>
        <w:rPr>
          <w:rFonts w:ascii="宋体" w:hAnsi="宋体" w:cs="宋体"/>
          <w:color w:val="auto"/>
          <w:kern w:val="0"/>
          <w:szCs w:val="21"/>
          <w:highlight w:val="none"/>
        </w:rPr>
      </w:pPr>
      <w:r>
        <w:rPr>
          <w:rFonts w:hint="eastAsia" w:ascii="宋体" w:hAnsi="宋体" w:cs="宋体"/>
          <w:b/>
          <w:bCs/>
          <w:color w:val="auto"/>
          <w:kern w:val="0"/>
          <w:szCs w:val="21"/>
          <w:highlight w:val="none"/>
        </w:rPr>
        <w:t>3</w:t>
      </w:r>
      <w:r>
        <w:rPr>
          <w:rFonts w:hint="eastAsia" w:ascii="宋体" w:hAnsi="宋体" w:cs="宋体"/>
          <w:b/>
          <w:bCs/>
          <w:color w:val="auto"/>
          <w:kern w:val="0"/>
          <w:szCs w:val="21"/>
          <w:highlight w:val="none"/>
          <w:lang w:val="en-US" w:eastAsia="zh-CN"/>
        </w:rPr>
        <w:t>1</w:t>
      </w:r>
      <w:r>
        <w:rPr>
          <w:rFonts w:hint="eastAsia" w:ascii="宋体" w:hAnsi="宋体" w:cs="宋体"/>
          <w:b/>
          <w:bCs/>
          <w:color w:val="auto"/>
          <w:kern w:val="0"/>
          <w:szCs w:val="21"/>
          <w:highlight w:val="none"/>
        </w:rPr>
        <w:t>. 确定中标人和中标候选人</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bCs/>
          <w:color w:val="auto"/>
          <w:kern w:val="0"/>
          <w:szCs w:val="21"/>
          <w:highlight w:val="none"/>
        </w:rPr>
        <w:t>本项目由采购人授权评标委员会确定一名中标人并推荐两名中标候选人</w:t>
      </w:r>
      <w:r>
        <w:rPr>
          <w:rFonts w:hint="eastAsia" w:ascii="宋体" w:hAnsi="宋体" w:cs="宋体"/>
          <w:color w:val="auto"/>
          <w:kern w:val="0"/>
          <w:szCs w:val="21"/>
          <w:highlight w:val="none"/>
        </w:rPr>
        <w:t>。</w:t>
      </w:r>
    </w:p>
    <w:p>
      <w:pPr>
        <w:keepNext w:val="0"/>
        <w:keepLines w:val="0"/>
        <w:pageBreakBefore w:val="0"/>
        <w:widowControl/>
        <w:kinsoku/>
        <w:wordWrap/>
        <w:overflowPunct/>
        <w:topLinePunct w:val="0"/>
        <w:bidi w:val="0"/>
        <w:snapToGrid w:val="0"/>
        <w:spacing w:line="360" w:lineRule="auto"/>
        <w:ind w:firstLine="422" w:firstLineChars="200"/>
        <w:rPr>
          <w:rFonts w:ascii="宋体" w:hAnsi="宋体" w:cs="宋体"/>
          <w:b/>
          <w:bCs/>
          <w:color w:val="auto"/>
          <w:kern w:val="0"/>
          <w:szCs w:val="21"/>
          <w:highlight w:val="none"/>
        </w:rPr>
      </w:pPr>
      <w:r>
        <w:rPr>
          <w:rFonts w:hint="eastAsia" w:ascii="宋体" w:hAnsi="宋体" w:cs="宋体"/>
          <w:b/>
          <w:bCs/>
          <w:color w:val="auto"/>
          <w:kern w:val="0"/>
          <w:szCs w:val="21"/>
          <w:highlight w:val="none"/>
        </w:rPr>
        <w:t>3</w:t>
      </w:r>
      <w:r>
        <w:rPr>
          <w:rFonts w:hint="eastAsia" w:ascii="宋体" w:hAnsi="宋体" w:cs="宋体"/>
          <w:b/>
          <w:bCs/>
          <w:color w:val="auto"/>
          <w:kern w:val="0"/>
          <w:szCs w:val="21"/>
          <w:highlight w:val="none"/>
          <w:lang w:val="en-US" w:eastAsia="zh-CN"/>
        </w:rPr>
        <w:t>2</w:t>
      </w:r>
      <w:r>
        <w:rPr>
          <w:rFonts w:hint="eastAsia" w:ascii="宋体" w:hAnsi="宋体" w:cs="宋体"/>
          <w:b/>
          <w:bCs/>
          <w:color w:val="auto"/>
          <w:kern w:val="0"/>
          <w:szCs w:val="21"/>
          <w:highlight w:val="none"/>
        </w:rPr>
        <w:t>. 中标通知书及中标公告</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.1评审结束后，</w:t>
      </w:r>
      <w:r>
        <w:rPr>
          <w:rFonts w:hint="eastAsia" w:ascii="宋体" w:hAnsi="宋体" w:cs="宋体"/>
          <w:color w:val="auto"/>
          <w:kern w:val="0"/>
          <w:szCs w:val="21"/>
          <w:highlight w:val="none"/>
          <w:lang w:eastAsia="zh-CN"/>
        </w:rPr>
        <w:t>采购</w:t>
      </w:r>
      <w:r>
        <w:rPr>
          <w:rFonts w:hint="eastAsia" w:ascii="宋体" w:hAnsi="宋体" w:cs="宋体"/>
          <w:color w:val="auto"/>
          <w:kern w:val="0"/>
          <w:szCs w:val="21"/>
          <w:highlight w:val="none"/>
        </w:rPr>
        <w:t>人将中标候选人的情况在本</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项目</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公告发布的同一媒介予以公示，公示</w:t>
      </w:r>
      <w:r>
        <w:rPr>
          <w:rFonts w:hint="eastAsia" w:ascii="宋体" w:hAnsi="宋体" w:cs="宋体"/>
          <w:color w:val="auto"/>
          <w:kern w:val="0"/>
          <w:szCs w:val="21"/>
          <w:highlight w:val="none"/>
          <w:lang w:eastAsia="zh-CN"/>
        </w:rPr>
        <w:t>期限</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lang w:eastAsia="zh-CN"/>
        </w:rPr>
        <w:t>个工作日</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val="en-US" w:eastAsia="zh-CN"/>
        </w:rPr>
        <w:t>公示期结束后</w:t>
      </w:r>
      <w:r>
        <w:rPr>
          <w:rFonts w:hint="eastAsia" w:ascii="宋体" w:hAnsi="宋体" w:cs="宋体"/>
          <w:color w:val="auto"/>
          <w:kern w:val="0"/>
          <w:szCs w:val="21"/>
          <w:highlight w:val="none"/>
        </w:rPr>
        <w:t>向中标人发出中标通知书。</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.2中标人在规定的时间内不领取中标通知书的，视为中标后自动放弃中标资格；中标人在有效报价中报价最低,非不可抗力放弃中标资格的。发生上述情况的承担由此引起的一切后果。</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.3中标通知书对采购人和中标人具有同等法律效力。中标通知书发出后，采购人改变中标结果，或者中标人放弃中标，应按相关法律、规章、规范性文件的要求承担相应的法律责任。</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2</w:t>
      </w:r>
      <w:r>
        <w:rPr>
          <w:rFonts w:hint="eastAsia" w:ascii="宋体" w:hAnsi="宋体" w:cs="宋体"/>
          <w:bCs/>
          <w:color w:val="auto"/>
          <w:kern w:val="0"/>
          <w:szCs w:val="21"/>
          <w:highlight w:val="none"/>
        </w:rPr>
        <w:t>.4中标通知书将作为签订合同的依据。合同签订后，中标通知书成为合同的一部分。</w:t>
      </w:r>
    </w:p>
    <w:p>
      <w:pPr>
        <w:keepNext w:val="0"/>
        <w:keepLines w:val="0"/>
        <w:pageBreakBefore w:val="0"/>
        <w:widowControl/>
        <w:kinsoku/>
        <w:wordWrap/>
        <w:overflowPunct/>
        <w:topLinePunct w:val="0"/>
        <w:bidi w:val="0"/>
        <w:snapToGrid w:val="0"/>
        <w:spacing w:line="360" w:lineRule="auto"/>
        <w:ind w:firstLine="422" w:firstLineChars="200"/>
        <w:rPr>
          <w:rFonts w:ascii="宋体" w:hAnsi="宋体" w:cs="宋体"/>
          <w:b/>
          <w:bCs/>
          <w:color w:val="auto"/>
          <w:kern w:val="0"/>
          <w:szCs w:val="21"/>
          <w:highlight w:val="none"/>
        </w:rPr>
      </w:pPr>
      <w:r>
        <w:rPr>
          <w:rFonts w:hint="eastAsia" w:ascii="宋体" w:hAnsi="宋体" w:cs="宋体"/>
          <w:b/>
          <w:bCs/>
          <w:color w:val="auto"/>
          <w:kern w:val="0"/>
          <w:szCs w:val="21"/>
          <w:highlight w:val="none"/>
        </w:rPr>
        <w:t>3</w:t>
      </w:r>
      <w:r>
        <w:rPr>
          <w:rFonts w:hint="eastAsia" w:ascii="宋体" w:hAnsi="宋体" w:cs="宋体"/>
          <w:b/>
          <w:bCs/>
          <w:color w:val="auto"/>
          <w:kern w:val="0"/>
          <w:szCs w:val="21"/>
          <w:highlight w:val="none"/>
          <w:lang w:val="en-US" w:eastAsia="zh-CN"/>
        </w:rPr>
        <w:t>3</w:t>
      </w:r>
      <w:r>
        <w:rPr>
          <w:rFonts w:hint="eastAsia" w:ascii="宋体" w:hAnsi="宋体" w:cs="宋体"/>
          <w:b/>
          <w:bCs/>
          <w:color w:val="auto"/>
          <w:kern w:val="0"/>
          <w:szCs w:val="21"/>
          <w:highlight w:val="none"/>
        </w:rPr>
        <w:t>. 采购人宣布废标的权利</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3</w:t>
      </w:r>
      <w:r>
        <w:rPr>
          <w:rFonts w:hint="eastAsia" w:ascii="宋体" w:hAnsi="宋体" w:cs="宋体"/>
          <w:bCs/>
          <w:color w:val="auto"/>
          <w:kern w:val="0"/>
          <w:szCs w:val="21"/>
          <w:highlight w:val="none"/>
        </w:rPr>
        <w:t>.1出现下列情况之一时，采购人有权宣布废标，并将理由通知所有投标人：</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3</w:t>
      </w:r>
      <w:r>
        <w:rPr>
          <w:rFonts w:hint="eastAsia" w:ascii="宋体" w:hAnsi="宋体" w:cs="宋体"/>
          <w:bCs/>
          <w:color w:val="auto"/>
          <w:kern w:val="0"/>
          <w:szCs w:val="21"/>
          <w:highlight w:val="none"/>
        </w:rPr>
        <w:t>.1.1出现影响采购公正的违法、违规行为的。</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3</w:t>
      </w:r>
      <w:r>
        <w:rPr>
          <w:rFonts w:hint="eastAsia" w:ascii="宋体" w:hAnsi="宋体" w:cs="宋体"/>
          <w:bCs/>
          <w:color w:val="auto"/>
          <w:kern w:val="0"/>
          <w:szCs w:val="21"/>
          <w:highlight w:val="none"/>
        </w:rPr>
        <w:t>.1.2投标人的报价均超过了</w:t>
      </w:r>
      <w:r>
        <w:rPr>
          <w:rFonts w:hint="eastAsia" w:ascii="宋体" w:hAnsi="宋体" w:cs="宋体"/>
          <w:bCs/>
          <w:color w:val="auto"/>
          <w:kern w:val="0"/>
          <w:szCs w:val="21"/>
          <w:highlight w:val="none"/>
          <w:lang w:val="en-US" w:eastAsia="zh-CN"/>
        </w:rPr>
        <w:t>采购预算金额</w:t>
      </w:r>
      <w:r>
        <w:rPr>
          <w:rFonts w:hint="eastAsia" w:ascii="宋体" w:hAnsi="宋体" w:cs="宋体"/>
          <w:bCs/>
          <w:color w:val="auto"/>
          <w:kern w:val="0"/>
          <w:szCs w:val="21"/>
          <w:highlight w:val="none"/>
        </w:rPr>
        <w:t>，采购人不能支付的。</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3</w:t>
      </w:r>
      <w:r>
        <w:rPr>
          <w:rFonts w:hint="eastAsia" w:ascii="宋体" w:hAnsi="宋体" w:cs="宋体"/>
          <w:bCs/>
          <w:color w:val="auto"/>
          <w:kern w:val="0"/>
          <w:szCs w:val="21"/>
          <w:highlight w:val="none"/>
        </w:rPr>
        <w:t>.1.3因重大变故，采购任务取消的。</w:t>
      </w:r>
    </w:p>
    <w:p>
      <w:pPr>
        <w:keepNext w:val="0"/>
        <w:keepLines w:val="0"/>
        <w:pageBreakBefore w:val="0"/>
        <w:kinsoku/>
        <w:wordWrap/>
        <w:overflowPunct/>
        <w:topLinePunct w:val="0"/>
        <w:bidi w:val="0"/>
        <w:snapToGrid w:val="0"/>
        <w:spacing w:line="360" w:lineRule="auto"/>
        <w:ind w:firstLine="420" w:firstLineChars="200"/>
        <w:rPr>
          <w:rFonts w:ascii="宋体" w:hAnsi="宋体" w:cs="宋体"/>
          <w:color w:val="auto"/>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3</w:t>
      </w:r>
      <w:r>
        <w:rPr>
          <w:rFonts w:hint="eastAsia" w:ascii="宋体" w:hAnsi="宋体" w:cs="宋体"/>
          <w:color w:val="auto"/>
          <w:kern w:val="0"/>
          <w:szCs w:val="21"/>
          <w:highlight w:val="none"/>
        </w:rPr>
        <w:t xml:space="preserve">.2 </w:t>
      </w:r>
      <w:r>
        <w:rPr>
          <w:rFonts w:hint="eastAsia" w:ascii="宋体" w:hAnsi="宋体" w:cs="宋体"/>
          <w:color w:val="auto"/>
          <w:szCs w:val="21"/>
          <w:highlight w:val="none"/>
        </w:rPr>
        <w:t>投标截止后投标人不足3家或通过资格性检查或符合性检查的投标人不足3家的，除采购任务取消情形外，按照以下方式处理：</w:t>
      </w:r>
    </w:p>
    <w:p>
      <w:pPr>
        <w:keepNext w:val="0"/>
        <w:keepLines w:val="0"/>
        <w:pageBreakBefore w:val="0"/>
        <w:numPr>
          <w:ilvl w:val="0"/>
          <w:numId w:val="2"/>
        </w:numPr>
        <w:kinsoku/>
        <w:wordWrap/>
        <w:overflowPunct/>
        <w:topLinePunct w:val="0"/>
        <w:bidi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采购</w:t>
      </w:r>
      <w:r>
        <w:rPr>
          <w:rFonts w:hint="eastAsia" w:ascii="宋体" w:hAnsi="宋体" w:cs="宋体"/>
          <w:color w:val="auto"/>
          <w:szCs w:val="21"/>
          <w:highlight w:val="none"/>
        </w:rPr>
        <w:t>文件存在不合理条款或者招标程序不符合规定的，采购人正后依法重新招标；　</w:t>
      </w:r>
    </w:p>
    <w:p>
      <w:pPr>
        <w:keepNext w:val="0"/>
        <w:keepLines w:val="0"/>
        <w:pageBreakBefore w:val="0"/>
        <w:kinsoku/>
        <w:wordWrap/>
        <w:overflowPunct/>
        <w:topLinePunct w:val="0"/>
        <w:bidi w:val="0"/>
        <w:snapToGrid w:val="0"/>
        <w:spacing w:line="360" w:lineRule="auto"/>
        <w:ind w:firstLine="420" w:firstLineChars="200"/>
        <w:rPr>
          <w:rFonts w:ascii="宋体" w:hAnsi="宋体" w:cs="宋体"/>
          <w:b/>
          <w:color w:val="auto"/>
          <w:kern w:val="0"/>
          <w:sz w:val="52"/>
          <w:szCs w:val="52"/>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采购</w:t>
      </w:r>
      <w:r>
        <w:rPr>
          <w:rFonts w:hint="eastAsia" w:ascii="宋体" w:hAnsi="宋体" w:cs="宋体"/>
          <w:color w:val="auto"/>
          <w:szCs w:val="21"/>
          <w:highlight w:val="none"/>
        </w:rPr>
        <w:t>文件没有不合理条款、招标程序符合规定，需要采用其他采购方式采购的，采购人应当依法报财政部门批准。</w:t>
      </w:r>
    </w:p>
    <w:p>
      <w:pPr>
        <w:keepNext w:val="0"/>
        <w:keepLines w:val="0"/>
        <w:pageBreakBefore w:val="0"/>
        <w:widowControl/>
        <w:kinsoku/>
        <w:wordWrap/>
        <w:overflowPunct/>
        <w:topLinePunct w:val="0"/>
        <w:bidi w:val="0"/>
        <w:snapToGrid w:val="0"/>
        <w:spacing w:line="360" w:lineRule="auto"/>
        <w:ind w:firstLine="2570" w:firstLineChars="800"/>
        <w:jc w:val="left"/>
        <w:rPr>
          <w:rFonts w:ascii="宋体" w:hAnsi="宋体" w:cs="宋体"/>
          <w:color w:val="auto"/>
          <w:kern w:val="0"/>
          <w:sz w:val="24"/>
          <w:highlight w:val="none"/>
        </w:rPr>
      </w:pPr>
      <w:r>
        <w:rPr>
          <w:rFonts w:hint="eastAsia" w:ascii="黑体" w:hAnsi="宋体" w:eastAsia="黑体" w:cs="宋体"/>
          <w:b/>
          <w:bCs/>
          <w:color w:val="auto"/>
          <w:kern w:val="0"/>
          <w:sz w:val="32"/>
          <w:szCs w:val="32"/>
          <w:highlight w:val="none"/>
          <w:lang w:val="en-US" w:eastAsia="zh-CN"/>
        </w:rPr>
        <w:t>七</w:t>
      </w:r>
      <w:r>
        <w:rPr>
          <w:rFonts w:hint="eastAsia" w:ascii="黑体" w:hAnsi="宋体" w:eastAsia="黑体" w:cs="宋体"/>
          <w:b/>
          <w:bCs/>
          <w:color w:val="auto"/>
          <w:kern w:val="0"/>
          <w:sz w:val="32"/>
          <w:szCs w:val="32"/>
          <w:highlight w:val="none"/>
        </w:rPr>
        <w:t>、合同授予</w:t>
      </w:r>
    </w:p>
    <w:p>
      <w:pPr>
        <w:keepNext w:val="0"/>
        <w:keepLines w:val="0"/>
        <w:pageBreakBefore w:val="0"/>
        <w:widowControl/>
        <w:kinsoku/>
        <w:wordWrap/>
        <w:overflowPunct/>
        <w:topLinePunct w:val="0"/>
        <w:bidi w:val="0"/>
        <w:snapToGrid w:val="0"/>
        <w:spacing w:line="360" w:lineRule="auto"/>
        <w:ind w:firstLine="472" w:firstLineChars="224"/>
        <w:rPr>
          <w:rFonts w:ascii="宋体" w:hAnsi="宋体" w:cs="宋体"/>
          <w:color w:val="auto"/>
          <w:kern w:val="0"/>
          <w:szCs w:val="21"/>
          <w:highlight w:val="none"/>
        </w:rPr>
      </w:pPr>
      <w:r>
        <w:rPr>
          <w:rFonts w:hint="eastAsia" w:ascii="宋体" w:hAnsi="宋体" w:cs="宋体"/>
          <w:b/>
          <w:bCs/>
          <w:color w:val="auto"/>
          <w:kern w:val="0"/>
          <w:szCs w:val="21"/>
          <w:highlight w:val="none"/>
        </w:rPr>
        <w:t>3</w:t>
      </w:r>
      <w:r>
        <w:rPr>
          <w:rFonts w:hint="eastAsia" w:ascii="宋体" w:hAnsi="宋体" w:cs="宋体"/>
          <w:b/>
          <w:bCs/>
          <w:color w:val="auto"/>
          <w:kern w:val="0"/>
          <w:szCs w:val="21"/>
          <w:highlight w:val="none"/>
          <w:lang w:val="en-US" w:eastAsia="zh-CN"/>
        </w:rPr>
        <w:t>4</w:t>
      </w:r>
      <w:r>
        <w:rPr>
          <w:rFonts w:hint="eastAsia" w:ascii="宋体" w:hAnsi="宋体" w:cs="宋体"/>
          <w:b/>
          <w:bCs/>
          <w:color w:val="auto"/>
          <w:kern w:val="0"/>
          <w:szCs w:val="21"/>
          <w:highlight w:val="none"/>
        </w:rPr>
        <w:t>.合同签订</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u w:val="single"/>
        </w:rPr>
      </w:pPr>
      <w:bookmarkStart w:id="54" w:name="_Toc8594"/>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.1 采购人、中标人自中标通知书发出之日起，在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文件第三章《投标人须知前附表》规定的时间内，根据</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文件确定的事项和中标人投标文件签订合同。双方所签订的合同不得对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文件和中标人投标文件作实质性修改。</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 xml:space="preserve">.2 </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文件的修改文件、中标人的投标文件、补充或修改的文件及澄清或承诺文件等，均为双方签订合同的组成部分，并与合同一并作为本</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文件所列采购项目的互补性法律文件，与合同具有同等法律效力。</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.3 中标人</w:t>
      </w:r>
      <w:r>
        <w:rPr>
          <w:rFonts w:hint="eastAsia" w:cs="宋体"/>
          <w:color w:val="auto"/>
          <w:kern w:val="0"/>
          <w:szCs w:val="21"/>
          <w:highlight w:val="none"/>
        </w:rPr>
        <w:t>放弃中标、因不可抗力不能履行合同、不按照</w:t>
      </w:r>
      <w:r>
        <w:rPr>
          <w:rFonts w:hint="eastAsia" w:cs="宋体"/>
          <w:color w:val="auto"/>
          <w:kern w:val="0"/>
          <w:szCs w:val="21"/>
          <w:highlight w:val="none"/>
          <w:lang w:val="en-US" w:eastAsia="zh-CN"/>
        </w:rPr>
        <w:t>采购</w:t>
      </w:r>
      <w:r>
        <w:rPr>
          <w:rFonts w:hint="eastAsia" w:cs="宋体"/>
          <w:color w:val="auto"/>
          <w:kern w:val="0"/>
          <w:szCs w:val="21"/>
          <w:highlight w:val="none"/>
        </w:rPr>
        <w:t>文件要求提交履约保证金，或者被查实存在影响中标结果的违法行为等情形，不符合中标条件的，</w:t>
      </w:r>
      <w:r>
        <w:rPr>
          <w:rFonts w:hint="eastAsia" w:ascii="宋体" w:hAnsi="宋体" w:cs="宋体"/>
          <w:color w:val="auto"/>
          <w:kern w:val="0"/>
          <w:szCs w:val="21"/>
          <w:highlight w:val="none"/>
        </w:rPr>
        <w:t>采购人可以</w:t>
      </w:r>
      <w:r>
        <w:rPr>
          <w:rFonts w:hint="eastAsia" w:cs="宋体"/>
          <w:color w:val="auto"/>
          <w:kern w:val="0"/>
          <w:szCs w:val="21"/>
          <w:highlight w:val="none"/>
        </w:rPr>
        <w:t>按照评标委员会提出的中标候选</w:t>
      </w:r>
      <w:r>
        <w:rPr>
          <w:rFonts w:hint="eastAsia" w:ascii="宋体" w:hAnsi="宋体" w:cs="宋体"/>
          <w:color w:val="auto"/>
          <w:kern w:val="0"/>
          <w:szCs w:val="21"/>
          <w:highlight w:val="none"/>
        </w:rPr>
        <w:t>人</w:t>
      </w:r>
      <w:r>
        <w:rPr>
          <w:rFonts w:hint="eastAsia" w:cs="宋体"/>
          <w:color w:val="auto"/>
          <w:kern w:val="0"/>
          <w:szCs w:val="21"/>
          <w:highlight w:val="none"/>
        </w:rPr>
        <w:t>名单排序依次确定其他中标候选</w:t>
      </w:r>
      <w:r>
        <w:rPr>
          <w:rFonts w:hint="eastAsia" w:ascii="宋体" w:hAnsi="宋体" w:cs="宋体"/>
          <w:color w:val="auto"/>
          <w:kern w:val="0"/>
          <w:szCs w:val="21"/>
          <w:highlight w:val="none"/>
        </w:rPr>
        <w:t>人</w:t>
      </w:r>
      <w:r>
        <w:rPr>
          <w:rFonts w:hint="eastAsia" w:cs="宋体"/>
          <w:color w:val="auto"/>
          <w:kern w:val="0"/>
          <w:szCs w:val="21"/>
          <w:highlight w:val="none"/>
        </w:rPr>
        <w:t>为中标</w:t>
      </w:r>
      <w:r>
        <w:rPr>
          <w:rFonts w:hint="eastAsia" w:ascii="宋体" w:hAnsi="宋体" w:cs="宋体"/>
          <w:color w:val="auto"/>
          <w:kern w:val="0"/>
          <w:szCs w:val="21"/>
          <w:highlight w:val="none"/>
        </w:rPr>
        <w:t>人</w:t>
      </w:r>
      <w:r>
        <w:rPr>
          <w:rFonts w:hint="eastAsia" w:cs="宋体"/>
          <w:color w:val="auto"/>
          <w:kern w:val="0"/>
          <w:szCs w:val="21"/>
          <w:highlight w:val="none"/>
        </w:rPr>
        <w:t>，也可以重新招标。</w:t>
      </w:r>
    </w:p>
    <w:bookmarkEnd w:id="54"/>
    <w:p>
      <w:pPr>
        <w:rPr>
          <w:color w:val="auto"/>
          <w:highlight w:val="none"/>
        </w:rPr>
      </w:pPr>
      <w:bookmarkStart w:id="55" w:name="_Toc4700"/>
      <w:bookmarkStart w:id="56" w:name="_Toc16669"/>
      <w:r>
        <w:rPr>
          <w:color w:val="auto"/>
          <w:highlight w:val="none"/>
        </w:rPr>
        <w:br w:type="page"/>
      </w:r>
    </w:p>
    <w:p>
      <w:pPr>
        <w:rPr>
          <w:color w:val="auto"/>
          <w:highlight w:val="none"/>
        </w:rPr>
      </w:pP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outlineLvl w:val="0"/>
        <w:rPr>
          <w:rFonts w:ascii="宋体" w:hAnsi="宋体" w:cs="宋体"/>
          <w:color w:val="auto"/>
          <w:kern w:val="0"/>
          <w:sz w:val="24"/>
          <w:highlight w:val="none"/>
        </w:rPr>
      </w:pPr>
      <w:bookmarkStart w:id="57" w:name="_Toc9022"/>
      <w:r>
        <w:rPr>
          <w:rFonts w:hint="eastAsia" w:ascii="黑体" w:hAnsi="宋体" w:eastAsia="黑体" w:cs="宋体"/>
          <w:b/>
          <w:bCs/>
          <w:color w:val="auto"/>
          <w:kern w:val="0"/>
          <w:sz w:val="32"/>
          <w:szCs w:val="32"/>
          <w:highlight w:val="none"/>
        </w:rPr>
        <w:t>第四章  评标办法及评分标准</w:t>
      </w:r>
      <w:bookmarkEnd w:id="55"/>
      <w:bookmarkEnd w:id="57"/>
    </w:p>
    <w:p>
      <w:pPr>
        <w:rPr>
          <w:color w:val="auto"/>
          <w:highlight w:val="none"/>
        </w:rPr>
      </w:pPr>
    </w:p>
    <w:p>
      <w:pPr>
        <w:keepNext w:val="0"/>
        <w:keepLines w:val="0"/>
        <w:pageBreakBefore w:val="0"/>
        <w:tabs>
          <w:tab w:val="left" w:pos="1620"/>
        </w:tabs>
        <w:kinsoku/>
        <w:overflowPunct/>
        <w:topLinePunct w:val="0"/>
        <w:bidi w:val="0"/>
        <w:snapToGrid w:val="0"/>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（一）评标原则</w:t>
      </w:r>
    </w:p>
    <w:p>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按照“公平、公正”的原则对待所有投标人</w:t>
      </w:r>
      <w:r>
        <w:rPr>
          <w:rFonts w:hint="eastAsia" w:ascii="宋体" w:hAnsi="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按照</w:t>
      </w:r>
      <w:r>
        <w:rPr>
          <w:rFonts w:hint="eastAsia" w:ascii="宋体" w:hAnsi="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文件的相关规定进行评标、定标。</w:t>
      </w:r>
    </w:p>
    <w:p>
      <w:pPr>
        <w:keepNext w:val="0"/>
        <w:keepLines w:val="0"/>
        <w:pageBreakBefore w:val="0"/>
        <w:tabs>
          <w:tab w:val="left" w:pos="1620"/>
        </w:tabs>
        <w:kinsoku/>
        <w:overflowPunct/>
        <w:topLinePunct w:val="0"/>
        <w:bidi w:val="0"/>
        <w:snapToGrid w:val="0"/>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w:t>
      </w:r>
      <w:r>
        <w:rPr>
          <w:rFonts w:hint="eastAsia" w:ascii="宋体" w:hAnsi="宋体" w:cs="宋体"/>
          <w:b w:val="0"/>
          <w:bCs w:val="0"/>
          <w:color w:val="auto"/>
          <w:sz w:val="21"/>
          <w:szCs w:val="21"/>
          <w:highlight w:val="none"/>
          <w:lang w:val="en-US" w:eastAsia="zh-CN"/>
        </w:rPr>
        <w:t>二</w:t>
      </w:r>
      <w:r>
        <w:rPr>
          <w:rFonts w:hint="eastAsia" w:ascii="宋体" w:hAnsi="宋体" w:eastAsia="宋体" w:cs="宋体"/>
          <w:b w:val="0"/>
          <w:bCs w:val="0"/>
          <w:color w:val="auto"/>
          <w:sz w:val="21"/>
          <w:szCs w:val="21"/>
          <w:highlight w:val="none"/>
        </w:rPr>
        <w:t>）评标办法</w:t>
      </w:r>
    </w:p>
    <w:p>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1．本项目采用综合评分法，总分为100分。</w:t>
      </w:r>
    </w:p>
    <w:p>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2．评标委员会按照</w:t>
      </w:r>
      <w:r>
        <w:rPr>
          <w:rFonts w:hint="eastAsia" w:ascii="宋体" w:hAnsi="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文件中规定的评标方法和标准，对投标文件进行综合比较与评价。</w:t>
      </w:r>
    </w:p>
    <w:p>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w:t>
      </w:r>
      <w:r>
        <w:rPr>
          <w:rFonts w:hint="eastAsia" w:ascii="宋体" w:hAnsi="宋体" w:cs="宋体"/>
          <w:b w:val="0"/>
          <w:bCs w:val="0"/>
          <w:color w:val="auto"/>
          <w:sz w:val="21"/>
          <w:szCs w:val="21"/>
          <w:highlight w:val="none"/>
          <w:lang w:val="en-US" w:eastAsia="zh-CN"/>
        </w:rPr>
        <w:t xml:space="preserve"> </w:t>
      </w:r>
      <w:r>
        <w:rPr>
          <w:rFonts w:hint="eastAsia" w:ascii="宋体" w:hAnsi="宋体" w:eastAsia="宋体" w:cs="宋体"/>
          <w:b w:val="0"/>
          <w:bCs w:val="0"/>
          <w:color w:val="auto"/>
          <w:sz w:val="21"/>
          <w:szCs w:val="21"/>
          <w:highlight w:val="none"/>
        </w:rPr>
        <w:t>评标结果按评审后得分由高到低顺序排列，得分相同的，按投标报价由低到高顺序排列。得分且投标报价相同的，按技术部分得分顺序排列。</w:t>
      </w:r>
    </w:p>
    <w:p>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rPr>
        <w:t>.投标文件满足</w:t>
      </w:r>
      <w:r>
        <w:rPr>
          <w:rFonts w:hint="eastAsia" w:ascii="宋体" w:hAnsi="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文件全部实质性要求，且评审得分最高的投标人为第一中标候选人。</w:t>
      </w:r>
    </w:p>
    <w:p>
      <w:pPr>
        <w:keepNext w:val="0"/>
        <w:keepLines w:val="0"/>
        <w:pageBreakBefore w:val="0"/>
        <w:tabs>
          <w:tab w:val="left" w:pos="1620"/>
        </w:tabs>
        <w:kinsoku/>
        <w:overflowPunct/>
        <w:topLinePunct w:val="0"/>
        <w:bidi w:val="0"/>
        <w:snapToGrid w:val="0"/>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w:t>
      </w:r>
      <w:r>
        <w:rPr>
          <w:rFonts w:hint="eastAsia" w:ascii="宋体" w:hAnsi="宋体" w:cs="宋体"/>
          <w:b w:val="0"/>
          <w:bCs w:val="0"/>
          <w:color w:val="auto"/>
          <w:sz w:val="21"/>
          <w:szCs w:val="21"/>
          <w:highlight w:val="none"/>
          <w:lang w:val="en-US" w:eastAsia="zh-CN"/>
        </w:rPr>
        <w:t>三</w:t>
      </w:r>
      <w:r>
        <w:rPr>
          <w:rFonts w:hint="eastAsia" w:ascii="宋体" w:hAnsi="宋体" w:eastAsia="宋体" w:cs="宋体"/>
          <w:b w:val="0"/>
          <w:bCs w:val="0"/>
          <w:color w:val="auto"/>
          <w:sz w:val="21"/>
          <w:szCs w:val="21"/>
          <w:highlight w:val="none"/>
        </w:rPr>
        <w:t>）评标程序</w:t>
      </w:r>
    </w:p>
    <w:p>
      <w:pPr>
        <w:keepNext w:val="0"/>
        <w:keepLines w:val="0"/>
        <w:pageBreakBefore w:val="0"/>
        <w:numPr>
          <w:ilvl w:val="0"/>
          <w:numId w:val="3"/>
        </w:numPr>
        <w:kinsoku/>
        <w:overflowPunct/>
        <w:topLinePunct w:val="0"/>
        <w:bidi w:val="0"/>
        <w:snapToGrid w:val="0"/>
        <w:spacing w:line="360" w:lineRule="auto"/>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详细评审（100分）</w:t>
      </w:r>
    </w:p>
    <w:tbl>
      <w:tblPr>
        <w:tblStyle w:val="32"/>
        <w:tblW w:w="94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9"/>
        <w:gridCol w:w="2140"/>
        <w:gridCol w:w="61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9482" w:type="dxa"/>
            <w:gridSpan w:val="3"/>
            <w:noWrap w:val="0"/>
            <w:vAlign w:val="center"/>
          </w:tcPr>
          <w:p>
            <w:pPr>
              <w:keepNext w:val="0"/>
              <w:keepLines w:val="0"/>
              <w:pageBreakBefore w:val="0"/>
              <w:widowControl w:val="0"/>
              <w:tabs>
                <w:tab w:val="left" w:pos="3000"/>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5" w:hRule="atLeast"/>
          <w:jc w:val="center"/>
        </w:trPr>
        <w:tc>
          <w:tcPr>
            <w:tcW w:w="1239" w:type="dxa"/>
            <w:noWrap w:val="0"/>
            <w:vAlign w:val="center"/>
          </w:tcPr>
          <w:p>
            <w:pPr>
              <w:keepNext w:val="0"/>
              <w:keepLines w:val="0"/>
              <w:pageBreakBefore w:val="0"/>
              <w:kinsoku/>
              <w:wordWrap/>
              <w:overflowPunct/>
              <w:topLinePunct w:val="0"/>
              <w:bidi w:val="0"/>
              <w:snapToGrid w:val="0"/>
              <w:spacing w:line="320" w:lineRule="exact"/>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价格标部分 (30分)</w:t>
            </w:r>
          </w:p>
        </w:tc>
        <w:tc>
          <w:tcPr>
            <w:tcW w:w="8243" w:type="dxa"/>
            <w:gridSpan w:val="2"/>
            <w:noWrap w:val="0"/>
            <w:vAlign w:val="center"/>
          </w:tcPr>
          <w:p>
            <w:pPr>
              <w:pStyle w:val="49"/>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u w:val="none"/>
              </w:rPr>
            </w:pPr>
            <w:r>
              <w:rPr>
                <w:rFonts w:hint="eastAsia" w:ascii="宋体" w:hAnsi="宋体" w:eastAsia="宋体" w:cs="宋体"/>
                <w:b w:val="0"/>
                <w:bCs w:val="0"/>
                <w:color w:val="auto"/>
                <w:sz w:val="21"/>
                <w:szCs w:val="21"/>
                <w:highlight w:val="none"/>
                <w:u w:val="none"/>
              </w:rPr>
              <w:t>说明：当评标委员会发现投标人的投标报价明显低于其他投标报价，使其投标报价可能低于其个别成本的，评标委员会可对其质询，并要求该投标人做出书面说明和提供相关的证明材料；该投标人不能合理说明或提供证明材料的，评标委员会应按无效投标处理。</w:t>
            </w:r>
          </w:p>
          <w:p>
            <w:pPr>
              <w:pStyle w:val="49"/>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有效投标报价：投标报价</w:t>
            </w:r>
            <w:r>
              <w:rPr>
                <w:rFonts w:hint="eastAsia" w:hAnsi="宋体" w:cs="宋体"/>
                <w:b w:val="0"/>
                <w:bCs w:val="0"/>
                <w:color w:val="auto"/>
                <w:sz w:val="21"/>
                <w:szCs w:val="21"/>
                <w:highlight w:val="none"/>
                <w:lang w:val="en-US" w:eastAsia="zh-CN"/>
              </w:rPr>
              <w:t>不高于</w:t>
            </w:r>
            <w:r>
              <w:rPr>
                <w:rFonts w:hint="eastAsia" w:ascii="宋体" w:hAnsi="宋体" w:eastAsia="宋体" w:cs="宋体"/>
                <w:b w:val="0"/>
                <w:bCs w:val="0"/>
                <w:color w:val="auto"/>
                <w:sz w:val="21"/>
                <w:szCs w:val="21"/>
                <w:highlight w:val="none"/>
              </w:rPr>
              <w:t>采购预算价的为有效投标报价。</w:t>
            </w:r>
          </w:p>
          <w:p>
            <w:pPr>
              <w:pStyle w:val="49"/>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评标基准值的确定：满足</w:t>
            </w:r>
            <w:r>
              <w:rPr>
                <w:rFonts w:hint="eastAsia" w:hAnsi="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文件要求且投标价格最低的有效投标报价为评标基准价。</w:t>
            </w:r>
          </w:p>
          <w:p>
            <w:pPr>
              <w:keepNext w:val="0"/>
              <w:keepLines w:val="0"/>
              <w:pageBreakBefore w:val="0"/>
              <w:widowControl/>
              <w:kinsoku/>
              <w:wordWrap/>
              <w:overflowPunct/>
              <w:topLinePunct w:val="0"/>
              <w:bidi w:val="0"/>
              <w:snapToGrid w:val="0"/>
              <w:spacing w:line="320" w:lineRule="exac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投标报价得分=（评标基准价/有效投标报价）×30分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jc w:val="center"/>
        </w:trPr>
        <w:tc>
          <w:tcPr>
            <w:tcW w:w="1239" w:type="dxa"/>
            <w:noWrap w:val="0"/>
            <w:vAlign w:val="center"/>
          </w:tcPr>
          <w:p>
            <w:pPr>
              <w:keepNext w:val="0"/>
              <w:keepLines w:val="0"/>
              <w:pageBreakBefore w:val="0"/>
              <w:kinsoku/>
              <w:wordWrap/>
              <w:overflowPunct/>
              <w:topLinePunct w:val="0"/>
              <w:bidi w:val="0"/>
              <w:snapToGrid w:val="0"/>
              <w:spacing w:line="320" w:lineRule="exact"/>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eastAsia="zh-CN"/>
              </w:rPr>
              <w:t>产品质量（30分）</w:t>
            </w:r>
          </w:p>
        </w:tc>
        <w:tc>
          <w:tcPr>
            <w:tcW w:w="2140" w:type="dxa"/>
            <w:noWrap w:val="0"/>
            <w:vAlign w:val="center"/>
          </w:tcPr>
          <w:p>
            <w:pPr>
              <w:keepNext w:val="0"/>
              <w:keepLines w:val="0"/>
              <w:pageBreakBefore w:val="0"/>
              <w:widowControl/>
              <w:kinsoku/>
              <w:wordWrap/>
              <w:overflowPunct/>
              <w:topLinePunct w:val="0"/>
              <w:autoSpaceDE/>
              <w:autoSpaceDN/>
              <w:bidi w:val="0"/>
              <w:adjustRightInd/>
              <w:snapToGrid w:val="0"/>
              <w:spacing w:line="320" w:lineRule="exac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rPr>
              <w:t>1</w:t>
            </w:r>
            <w:r>
              <w:rPr>
                <w:rFonts w:hint="eastAsia" w:ascii="宋体" w:hAnsi="宋体" w:eastAsia="宋体" w:cs="宋体"/>
                <w:b w:val="0"/>
                <w:bCs w:val="0"/>
                <w:color w:val="auto"/>
                <w:kern w:val="0"/>
                <w:sz w:val="21"/>
                <w:szCs w:val="21"/>
                <w:highlight w:val="none"/>
                <w:lang w:eastAsia="zh-CN"/>
              </w:rPr>
              <w:t>、技术参数、性能及产品功能等</w:t>
            </w:r>
          </w:p>
        </w:tc>
        <w:tc>
          <w:tcPr>
            <w:tcW w:w="6103" w:type="dxa"/>
            <w:noWrap w:val="0"/>
            <w:vAlign w:val="center"/>
          </w:tcPr>
          <w:p>
            <w:pPr>
              <w:keepNext w:val="0"/>
              <w:keepLines w:val="0"/>
              <w:pageBreakBefore w:val="0"/>
              <w:kinsoku/>
              <w:wordWrap/>
              <w:overflowPunct/>
              <w:topLinePunct w:val="0"/>
              <w:autoSpaceDE/>
              <w:autoSpaceDN/>
              <w:bidi w:val="0"/>
              <w:adjustRightInd/>
              <w:snapToGrid w:val="0"/>
              <w:spacing w:line="32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.所投</w:t>
            </w:r>
            <w:r>
              <w:rPr>
                <w:rFonts w:hint="eastAsia" w:ascii="宋体" w:hAnsi="宋体" w:cs="宋体"/>
                <w:b w:val="0"/>
                <w:bCs w:val="0"/>
                <w:color w:val="auto"/>
                <w:sz w:val="21"/>
                <w:szCs w:val="21"/>
                <w:highlight w:val="none"/>
                <w:lang w:val="en-US" w:eastAsia="zh-CN"/>
              </w:rPr>
              <w:t>产品或设备</w:t>
            </w:r>
            <w:r>
              <w:rPr>
                <w:rFonts w:hint="eastAsia" w:ascii="宋体" w:hAnsi="宋体" w:eastAsia="宋体" w:cs="宋体"/>
                <w:b w:val="0"/>
                <w:bCs w:val="0"/>
                <w:color w:val="auto"/>
                <w:sz w:val="21"/>
                <w:szCs w:val="21"/>
                <w:highlight w:val="none"/>
              </w:rPr>
              <w:t>均应提供</w:t>
            </w:r>
            <w:r>
              <w:rPr>
                <w:rFonts w:hint="eastAsia" w:ascii="宋体" w:hAnsi="宋体" w:cs="宋体"/>
                <w:b w:val="0"/>
                <w:bCs w:val="0"/>
                <w:color w:val="auto"/>
                <w:sz w:val="21"/>
                <w:szCs w:val="21"/>
                <w:highlight w:val="none"/>
                <w:lang w:val="en-US" w:eastAsia="zh-CN"/>
              </w:rPr>
              <w:t>相关证明文件资料</w:t>
            </w:r>
            <w:r>
              <w:rPr>
                <w:rFonts w:hint="eastAsia" w:ascii="宋体" w:hAnsi="宋体" w:eastAsia="宋体" w:cs="宋体"/>
                <w:b w:val="0"/>
                <w:bCs w:val="0"/>
                <w:color w:val="auto"/>
                <w:sz w:val="21"/>
                <w:szCs w:val="21"/>
                <w:highlight w:val="none"/>
              </w:rPr>
              <w:t>，所</w:t>
            </w:r>
            <w:r>
              <w:rPr>
                <w:rFonts w:hint="eastAsia" w:ascii="宋体" w:hAnsi="宋体" w:cs="宋体"/>
                <w:b w:val="0"/>
                <w:bCs w:val="0"/>
                <w:color w:val="auto"/>
                <w:sz w:val="21"/>
                <w:szCs w:val="21"/>
                <w:highlight w:val="none"/>
                <w:lang w:val="en-US" w:eastAsia="zh-CN"/>
              </w:rPr>
              <w:t>投产品</w:t>
            </w:r>
            <w:r>
              <w:rPr>
                <w:rFonts w:hint="eastAsia" w:ascii="宋体" w:hAnsi="宋体" w:eastAsia="宋体" w:cs="宋体"/>
                <w:b w:val="0"/>
                <w:bCs w:val="0"/>
                <w:color w:val="auto"/>
                <w:sz w:val="21"/>
                <w:szCs w:val="21"/>
                <w:highlight w:val="none"/>
              </w:rPr>
              <w:t>必须是正规厂家生产的原装正品；</w:t>
            </w:r>
          </w:p>
          <w:p>
            <w:pPr>
              <w:keepNext w:val="0"/>
              <w:keepLines w:val="0"/>
              <w:pageBreakBefore w:val="0"/>
              <w:kinsoku/>
              <w:wordWrap/>
              <w:overflowPunct/>
              <w:topLinePunct w:val="0"/>
              <w:autoSpaceDE/>
              <w:autoSpaceDN/>
              <w:bidi w:val="0"/>
              <w:adjustRightInd/>
              <w:snapToGrid w:val="0"/>
              <w:spacing w:line="32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.产品需有注册证</w:t>
            </w:r>
            <w:r>
              <w:rPr>
                <w:rFonts w:hint="eastAsia" w:ascii="宋体" w:hAnsi="宋体" w:eastAsia="宋体" w:cs="宋体"/>
                <w:b w:val="0"/>
                <w:bCs w:val="0"/>
                <w:color w:val="auto"/>
                <w:sz w:val="21"/>
                <w:szCs w:val="21"/>
                <w:highlight w:val="none"/>
                <w:lang w:val="en-US" w:eastAsia="zh-CN"/>
              </w:rPr>
              <w:t>或备案凭</w:t>
            </w:r>
            <w:r>
              <w:rPr>
                <w:rFonts w:hint="eastAsia" w:ascii="宋体" w:hAnsi="宋体" w:eastAsia="宋体" w:cs="宋体"/>
                <w:b w:val="0"/>
                <w:bCs w:val="0"/>
                <w:color w:val="auto"/>
                <w:sz w:val="21"/>
                <w:szCs w:val="21"/>
                <w:highlight w:val="none"/>
              </w:rPr>
              <w:t>证；</w:t>
            </w:r>
          </w:p>
          <w:p>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.提供有关投标货物符合</w:t>
            </w:r>
            <w:r>
              <w:rPr>
                <w:rFonts w:hint="eastAsia" w:ascii="宋体" w:hAnsi="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文件要求的相关证明文件。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1239" w:type="dxa"/>
            <w:noWrap w:val="0"/>
            <w:vAlign w:val="center"/>
          </w:tcPr>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eastAsia="zh-CN"/>
              </w:rPr>
              <w:t>商务</w:t>
            </w:r>
            <w:r>
              <w:rPr>
                <w:rFonts w:hint="eastAsia" w:ascii="宋体" w:hAnsi="宋体" w:eastAsia="宋体" w:cs="宋体"/>
                <w:b w:val="0"/>
                <w:bCs w:val="0"/>
                <w:color w:val="auto"/>
                <w:sz w:val="21"/>
                <w:szCs w:val="21"/>
                <w:highlight w:val="none"/>
              </w:rPr>
              <w:t>部分（</w:t>
            </w:r>
            <w:r>
              <w:rPr>
                <w:rFonts w:hint="eastAsia" w:ascii="宋体" w:hAnsi="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rPr>
              <w:t>0分）</w:t>
            </w:r>
          </w:p>
        </w:tc>
        <w:tc>
          <w:tcPr>
            <w:tcW w:w="2140" w:type="dxa"/>
            <w:tcBorders>
              <w:top w:val="single" w:color="auto" w:sz="4" w:space="0"/>
            </w:tcBorders>
            <w:noWrap w:val="0"/>
            <w:vAlign w:val="center"/>
          </w:tcPr>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证书、资信等级、类似业绩、质保期、配件及其他优惠承诺等</w:t>
            </w:r>
          </w:p>
        </w:tc>
        <w:tc>
          <w:tcPr>
            <w:tcW w:w="6103" w:type="dxa"/>
            <w:noWrap w:val="0"/>
            <w:vAlign w:val="center"/>
          </w:tcPr>
          <w:p>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default" w:ascii="宋体" w:hAnsi="宋体" w:eastAsia="宋体" w:cs="宋体"/>
                <w:b w:val="0"/>
                <w:bCs w:val="0"/>
                <w:color w:val="auto"/>
                <w:kern w:val="0"/>
                <w:sz w:val="21"/>
                <w:szCs w:val="21"/>
                <w:highlight w:val="none"/>
                <w:lang w:val="en-US" w:eastAsia="zh-CN"/>
              </w:rPr>
            </w:pPr>
            <w:r>
              <w:rPr>
                <w:rFonts w:hint="eastAsia" w:ascii="宋体" w:hAnsi="宋体" w:cs="宋体"/>
                <w:b w:val="0"/>
                <w:bCs w:val="0"/>
                <w:color w:val="auto"/>
                <w:kern w:val="0"/>
                <w:sz w:val="21"/>
                <w:szCs w:val="21"/>
                <w:highlight w:val="none"/>
                <w:lang w:val="en-US" w:eastAsia="zh-CN"/>
              </w:rPr>
              <w:t>提供相关有效证件等资料的复印件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1239" w:type="dxa"/>
            <w:noWrap w:val="0"/>
            <w:vAlign w:val="center"/>
          </w:tcPr>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售后服务</w:t>
            </w:r>
          </w:p>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(20分)</w:t>
            </w:r>
          </w:p>
        </w:tc>
        <w:tc>
          <w:tcPr>
            <w:tcW w:w="2140" w:type="dxa"/>
            <w:noWrap w:val="0"/>
            <w:vAlign w:val="center"/>
          </w:tcPr>
          <w:p>
            <w:pPr>
              <w:pStyle w:val="49"/>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培训方案、服务站点、服务响应及时性、售后服务方案等</w:t>
            </w:r>
          </w:p>
        </w:tc>
        <w:tc>
          <w:tcPr>
            <w:tcW w:w="6103" w:type="dxa"/>
            <w:noWrap w:val="0"/>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auto"/>
              <w:rPr>
                <w:rFonts w:hint="eastAsia" w:ascii="宋体" w:hAnsi="宋体" w:eastAsia="宋体" w:cs="宋体"/>
                <w:b w:val="0"/>
                <w:bCs w:val="0"/>
                <w:color w:val="auto"/>
                <w:kern w:val="2"/>
                <w:sz w:val="21"/>
                <w:szCs w:val="21"/>
                <w:highlight w:val="none"/>
              </w:rPr>
            </w:pPr>
            <w:r>
              <w:rPr>
                <w:rFonts w:hint="eastAsia" w:ascii="宋体" w:hAnsi="宋体" w:cs="宋体"/>
                <w:b w:val="0"/>
                <w:bCs w:val="0"/>
                <w:color w:val="auto"/>
                <w:kern w:val="0"/>
                <w:sz w:val="21"/>
                <w:szCs w:val="21"/>
                <w:highlight w:val="none"/>
                <w:lang w:val="en-US" w:eastAsia="zh-CN"/>
              </w:rPr>
              <w:t>根据</w:t>
            </w:r>
            <w:r>
              <w:rPr>
                <w:rFonts w:hint="eastAsia" w:ascii="宋体" w:hAnsi="宋体" w:eastAsia="宋体" w:cs="宋体"/>
                <w:b w:val="0"/>
                <w:bCs w:val="0"/>
                <w:color w:val="auto"/>
                <w:kern w:val="0"/>
                <w:sz w:val="21"/>
                <w:szCs w:val="21"/>
                <w:highlight w:val="none"/>
                <w:lang w:val="en-US" w:eastAsia="zh-CN"/>
              </w:rPr>
              <w:t>投标人在投标文件中所投产品的售后服务站设立情况（配备有专业售后服务技术人员，提供售后服务人员名单和售后服务地址、电话）</w:t>
            </w:r>
            <w:r>
              <w:rPr>
                <w:rFonts w:hint="eastAsia" w:ascii="宋体" w:hAnsi="宋体" w:cs="宋体"/>
                <w:b w:val="0"/>
                <w:bCs w:val="0"/>
                <w:color w:val="auto"/>
                <w:kern w:val="0"/>
                <w:sz w:val="21"/>
                <w:szCs w:val="21"/>
                <w:highlight w:val="none"/>
                <w:lang w:val="en-US" w:eastAsia="zh-CN"/>
              </w:rPr>
              <w:t>、培训方案、</w:t>
            </w:r>
            <w:r>
              <w:rPr>
                <w:rFonts w:hint="eastAsia" w:ascii="宋体" w:hAnsi="宋体" w:eastAsia="宋体" w:cs="宋体"/>
                <w:b w:val="0"/>
                <w:bCs w:val="0"/>
                <w:color w:val="auto"/>
                <w:kern w:val="2"/>
                <w:sz w:val="21"/>
                <w:szCs w:val="21"/>
                <w:highlight w:val="none"/>
              </w:rPr>
              <w:t>售后服务及时率、服务到位程度、详细的维修时间和处理办法及针对本项目的售后服务方案及相应的安全质量保障措施等内容</w:t>
            </w:r>
            <w:r>
              <w:rPr>
                <w:rFonts w:hint="eastAsia" w:ascii="宋体" w:hAnsi="宋体" w:cs="宋体"/>
                <w:b w:val="0"/>
                <w:bCs w:val="0"/>
                <w:color w:val="auto"/>
                <w:kern w:val="0"/>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1239" w:type="dxa"/>
            <w:noWrap w:val="0"/>
            <w:vAlign w:val="top"/>
          </w:tcPr>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得分的计算</w:t>
            </w:r>
          </w:p>
        </w:tc>
        <w:tc>
          <w:tcPr>
            <w:tcW w:w="8243" w:type="dxa"/>
            <w:gridSpan w:val="2"/>
            <w:noWrap w:val="0"/>
            <w:vAlign w:val="center"/>
          </w:tcPr>
          <w:p>
            <w:pPr>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评标委员会成员评分=各项评分因素的汇总得分。</w:t>
            </w:r>
          </w:p>
          <w:p>
            <w:pPr>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评标总得分=评标委员会所有成员合计评分/评标委员会组成人员数。</w:t>
            </w:r>
          </w:p>
        </w:tc>
      </w:tr>
    </w:tbl>
    <w:p>
      <w:pPr>
        <w:spacing w:line="500" w:lineRule="exact"/>
        <w:ind w:firstLine="420" w:firstLineChars="200"/>
        <w:rPr>
          <w:rFonts w:ascii="宋体" w:hAnsi="宋体" w:cs="宋体"/>
          <w:color w:val="auto"/>
          <w:kern w:val="0"/>
          <w:szCs w:val="21"/>
          <w:highlight w:val="none"/>
        </w:rPr>
      </w:pPr>
    </w:p>
    <w:p>
      <w:pPr>
        <w:rPr>
          <w:b/>
          <w:color w:val="auto"/>
          <w:highlight w:val="none"/>
        </w:rPr>
      </w:pPr>
      <w:r>
        <w:rPr>
          <w:rFonts w:hint="eastAsia"/>
          <w:b/>
          <w:color w:val="auto"/>
          <w:highlight w:val="none"/>
        </w:rPr>
        <w:br w:type="page"/>
      </w:r>
    </w:p>
    <w:bookmarkEnd w:id="56"/>
    <w:p>
      <w:pPr>
        <w:rPr>
          <w:color w:val="auto"/>
          <w:highlight w:val="none"/>
        </w:rPr>
      </w:pPr>
      <w:bookmarkStart w:id="58" w:name="_Toc1947"/>
      <w:bookmarkStart w:id="59" w:name="_Toc1482"/>
      <w:bookmarkStart w:id="60" w:name="_Toc326786897"/>
      <w:bookmarkStart w:id="61" w:name="_Toc256519703"/>
    </w:p>
    <w:p>
      <w:pPr>
        <w:pStyle w:val="3"/>
        <w:snapToGrid w:val="0"/>
        <w:spacing w:before="0" w:after="0" w:line="480" w:lineRule="auto"/>
        <w:jc w:val="center"/>
        <w:rPr>
          <w:color w:val="auto"/>
          <w:sz w:val="28"/>
          <w:szCs w:val="28"/>
          <w:highlight w:val="yellow"/>
        </w:rPr>
      </w:pPr>
      <w:bookmarkStart w:id="62" w:name="_Toc28988"/>
      <w:r>
        <w:rPr>
          <w:rFonts w:hint="eastAsia"/>
          <w:color w:val="auto"/>
          <w:sz w:val="28"/>
          <w:szCs w:val="28"/>
          <w:highlight w:val="none"/>
        </w:rPr>
        <w:t>第五章  采购合同</w:t>
      </w:r>
      <w:bookmarkEnd w:id="62"/>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center"/>
        <w:textAlignment w:val="auto"/>
        <w:rPr>
          <w:rFonts w:hint="eastAsia" w:ascii="宋体" w:hAnsi="宋体" w:eastAsia="宋体"/>
          <w:color w:val="auto"/>
          <w:sz w:val="21"/>
          <w:szCs w:val="21"/>
          <w:lang w:eastAsia="zh-CN"/>
        </w:rPr>
      </w:pPr>
      <w:r>
        <w:rPr>
          <w:rFonts w:hint="eastAsia" w:ascii="宋体" w:hAnsi="宋体"/>
          <w:color w:val="auto"/>
          <w:sz w:val="21"/>
          <w:szCs w:val="21"/>
          <w:lang w:eastAsia="zh-CN"/>
        </w:rPr>
        <w:t>（</w:t>
      </w:r>
      <w:r>
        <w:rPr>
          <w:rFonts w:hint="eastAsia" w:ascii="宋体" w:hAnsi="宋体"/>
          <w:color w:val="auto"/>
          <w:sz w:val="21"/>
          <w:szCs w:val="21"/>
          <w:lang w:val="en-US" w:eastAsia="zh-CN"/>
        </w:rPr>
        <w:t>以实际合同为准</w:t>
      </w:r>
      <w:r>
        <w:rPr>
          <w:rFonts w:hint="eastAsia" w:ascii="宋体" w:hAnsi="宋体"/>
          <w:color w:val="auto"/>
          <w:sz w:val="21"/>
          <w:szCs w:val="21"/>
          <w:lang w:eastAsia="zh-CN"/>
        </w:rPr>
        <w:t>）</w:t>
      </w:r>
    </w:p>
    <w:p>
      <w:pPr>
        <w:rPr>
          <w:color w:val="auto"/>
          <w:sz w:val="32"/>
          <w:szCs w:val="32"/>
          <w:highlight w:val="none"/>
        </w:rPr>
      </w:pPr>
    </w:p>
    <w:p>
      <w:pPr>
        <w:rPr>
          <w:color w:val="auto"/>
          <w:highlight w:val="none"/>
        </w:rPr>
      </w:pPr>
      <w:r>
        <w:rPr>
          <w:color w:val="auto"/>
          <w:highlight w:val="none"/>
        </w:rPr>
        <w:br w:type="page"/>
      </w:r>
    </w:p>
    <w:p>
      <w:pPr>
        <w:pStyle w:val="29"/>
        <w:rPr>
          <w:color w:val="auto"/>
        </w:rPr>
      </w:pPr>
    </w:p>
    <w:p>
      <w:pPr>
        <w:pStyle w:val="3"/>
        <w:jc w:val="center"/>
        <w:rPr>
          <w:rFonts w:ascii="宋体" w:hAnsi="宋体" w:cs="宋体"/>
          <w:color w:val="auto"/>
          <w:kern w:val="0"/>
          <w:highlight w:val="none"/>
        </w:rPr>
      </w:pPr>
      <w:bookmarkStart w:id="63" w:name="_Toc2638"/>
      <w:r>
        <w:rPr>
          <w:rFonts w:hint="eastAsia"/>
          <w:color w:val="auto"/>
          <w:sz w:val="32"/>
          <w:szCs w:val="32"/>
          <w:highlight w:val="none"/>
        </w:rPr>
        <w:t>第六章  投标文件格式</w:t>
      </w:r>
      <w:bookmarkEnd w:id="58"/>
      <w:bookmarkEnd w:id="59"/>
      <w:bookmarkEnd w:id="63"/>
    </w:p>
    <w:p>
      <w:pPr>
        <w:spacing w:line="440" w:lineRule="exact"/>
        <w:rPr>
          <w:color w:val="auto"/>
          <w:sz w:val="24"/>
          <w:highlight w:val="none"/>
        </w:rPr>
      </w:pPr>
    </w:p>
    <w:p>
      <w:pPr>
        <w:jc w:val="center"/>
        <w:rPr>
          <w:b/>
          <w:bCs/>
          <w:color w:val="auto"/>
          <w:sz w:val="32"/>
          <w:szCs w:val="32"/>
          <w:highlight w:val="none"/>
        </w:rPr>
      </w:pPr>
      <w:bookmarkStart w:id="64" w:name="_Toc13604"/>
      <w:r>
        <w:rPr>
          <w:rFonts w:hint="eastAsia"/>
          <w:b/>
          <w:bCs/>
          <w:color w:val="auto"/>
          <w:sz w:val="32"/>
          <w:szCs w:val="32"/>
          <w:highlight w:val="none"/>
        </w:rPr>
        <w:t>目    录</w:t>
      </w:r>
      <w:bookmarkEnd w:id="64"/>
    </w:p>
    <w:p>
      <w:pPr>
        <w:widowControl/>
        <w:wordWrap w:val="0"/>
        <w:spacing w:line="460" w:lineRule="exact"/>
        <w:ind w:firstLine="480" w:firstLineChars="200"/>
        <w:jc w:val="left"/>
        <w:rPr>
          <w:rFonts w:ascii="宋体" w:hAnsi="宋体" w:cs="宋体"/>
          <w:color w:val="auto"/>
          <w:kern w:val="0"/>
          <w:sz w:val="24"/>
          <w:highlight w:val="none"/>
        </w:rPr>
      </w:pPr>
    </w:p>
    <w:p>
      <w:pPr>
        <w:snapToGrid w:val="0"/>
        <w:spacing w:line="360" w:lineRule="auto"/>
        <w:ind w:firstLine="480" w:firstLineChars="200"/>
        <w:rPr>
          <w:color w:val="auto"/>
          <w:sz w:val="24"/>
          <w:highlight w:val="none"/>
        </w:rPr>
      </w:pPr>
      <w:bookmarkStart w:id="65" w:name="_Toc11308"/>
      <w:r>
        <w:rPr>
          <w:rFonts w:hint="eastAsia"/>
          <w:color w:val="auto"/>
          <w:sz w:val="24"/>
          <w:highlight w:val="none"/>
        </w:rPr>
        <w:t>附件1投标文件封面（格式）</w:t>
      </w:r>
      <w:bookmarkEnd w:id="65"/>
    </w:p>
    <w:p>
      <w:pPr>
        <w:snapToGrid w:val="0"/>
        <w:spacing w:line="360" w:lineRule="auto"/>
        <w:ind w:firstLine="480" w:firstLineChars="200"/>
        <w:rPr>
          <w:color w:val="auto"/>
          <w:sz w:val="24"/>
          <w:highlight w:val="none"/>
        </w:rPr>
      </w:pPr>
      <w:bookmarkStart w:id="66" w:name="_Toc25345"/>
      <w:r>
        <w:rPr>
          <w:rFonts w:hint="eastAsia"/>
          <w:color w:val="auto"/>
          <w:sz w:val="24"/>
          <w:highlight w:val="none"/>
        </w:rPr>
        <w:t>附件2 投标书（格式）</w:t>
      </w:r>
      <w:bookmarkEnd w:id="66"/>
    </w:p>
    <w:p>
      <w:pPr>
        <w:snapToGrid w:val="0"/>
        <w:spacing w:line="360" w:lineRule="auto"/>
        <w:ind w:firstLine="480" w:firstLineChars="200"/>
        <w:rPr>
          <w:color w:val="auto"/>
          <w:sz w:val="24"/>
          <w:highlight w:val="none"/>
        </w:rPr>
      </w:pPr>
      <w:bookmarkStart w:id="67" w:name="_Toc10217"/>
      <w:r>
        <w:rPr>
          <w:rFonts w:hint="eastAsia"/>
          <w:color w:val="auto"/>
          <w:sz w:val="24"/>
          <w:highlight w:val="none"/>
        </w:rPr>
        <w:t>附件3 开标一览表（格式）</w:t>
      </w:r>
      <w:bookmarkEnd w:id="67"/>
    </w:p>
    <w:p>
      <w:pPr>
        <w:snapToGrid w:val="0"/>
        <w:spacing w:line="360" w:lineRule="auto"/>
        <w:ind w:firstLine="480" w:firstLineChars="200"/>
        <w:rPr>
          <w:color w:val="auto"/>
          <w:sz w:val="24"/>
          <w:highlight w:val="none"/>
        </w:rPr>
      </w:pPr>
      <w:bookmarkStart w:id="68" w:name="_Toc9579"/>
      <w:r>
        <w:rPr>
          <w:rFonts w:hint="eastAsia"/>
          <w:color w:val="auto"/>
          <w:sz w:val="24"/>
          <w:highlight w:val="none"/>
        </w:rPr>
        <w:t>附件4 投标报价明细表（格式）</w:t>
      </w:r>
      <w:bookmarkEnd w:id="68"/>
    </w:p>
    <w:p>
      <w:pPr>
        <w:snapToGrid w:val="0"/>
        <w:spacing w:line="360" w:lineRule="auto"/>
        <w:ind w:firstLine="480" w:firstLineChars="200"/>
        <w:rPr>
          <w:color w:val="auto"/>
          <w:sz w:val="24"/>
          <w:highlight w:val="none"/>
        </w:rPr>
      </w:pPr>
      <w:bookmarkStart w:id="69" w:name="_Toc28392"/>
      <w:r>
        <w:rPr>
          <w:rFonts w:hint="eastAsia"/>
          <w:color w:val="auto"/>
          <w:sz w:val="24"/>
          <w:highlight w:val="none"/>
        </w:rPr>
        <w:t>附件5技术响应表（格式）</w:t>
      </w:r>
      <w:bookmarkEnd w:id="69"/>
    </w:p>
    <w:p>
      <w:pPr>
        <w:snapToGrid w:val="0"/>
        <w:spacing w:line="360" w:lineRule="auto"/>
        <w:ind w:firstLine="480" w:firstLineChars="200"/>
        <w:rPr>
          <w:color w:val="auto"/>
          <w:sz w:val="24"/>
          <w:highlight w:val="none"/>
        </w:rPr>
      </w:pPr>
      <w:bookmarkStart w:id="70" w:name="_Toc6234"/>
      <w:r>
        <w:rPr>
          <w:rFonts w:hint="eastAsia"/>
          <w:color w:val="auto"/>
          <w:sz w:val="24"/>
          <w:highlight w:val="none"/>
        </w:rPr>
        <w:t>附件6 商务响应表（格式）</w:t>
      </w:r>
      <w:bookmarkEnd w:id="70"/>
    </w:p>
    <w:p>
      <w:pPr>
        <w:snapToGrid w:val="0"/>
        <w:spacing w:line="360" w:lineRule="auto"/>
        <w:ind w:firstLine="480" w:firstLineChars="200"/>
        <w:rPr>
          <w:color w:val="auto"/>
          <w:sz w:val="24"/>
          <w:highlight w:val="none"/>
        </w:rPr>
      </w:pPr>
      <w:bookmarkStart w:id="71" w:name="_Toc26231"/>
      <w:r>
        <w:rPr>
          <w:rFonts w:hint="eastAsia"/>
          <w:color w:val="auto"/>
          <w:sz w:val="24"/>
          <w:highlight w:val="none"/>
        </w:rPr>
        <w:t>附件7</w:t>
      </w:r>
      <w:r>
        <w:rPr>
          <w:rFonts w:hint="eastAsia"/>
          <w:color w:val="auto"/>
          <w:sz w:val="24"/>
          <w:highlight w:val="none"/>
          <w:lang w:val="en-US" w:eastAsia="zh-CN"/>
        </w:rPr>
        <w:t xml:space="preserve"> </w:t>
      </w:r>
      <w:r>
        <w:rPr>
          <w:rFonts w:hint="eastAsia"/>
          <w:color w:val="auto"/>
          <w:sz w:val="24"/>
          <w:highlight w:val="none"/>
        </w:rPr>
        <w:t>法定代表人身份证明（格式）</w:t>
      </w:r>
      <w:bookmarkEnd w:id="71"/>
    </w:p>
    <w:p>
      <w:pPr>
        <w:snapToGrid w:val="0"/>
        <w:spacing w:line="360" w:lineRule="auto"/>
        <w:ind w:firstLine="480" w:firstLineChars="200"/>
        <w:rPr>
          <w:color w:val="auto"/>
          <w:sz w:val="24"/>
          <w:highlight w:val="none"/>
        </w:rPr>
      </w:pPr>
      <w:bookmarkStart w:id="72" w:name="_Toc18484"/>
      <w:r>
        <w:rPr>
          <w:rFonts w:hint="eastAsia"/>
          <w:color w:val="auto"/>
          <w:sz w:val="24"/>
          <w:highlight w:val="none"/>
        </w:rPr>
        <w:t>附件8</w:t>
      </w:r>
      <w:r>
        <w:rPr>
          <w:rFonts w:hint="eastAsia"/>
          <w:color w:val="auto"/>
          <w:sz w:val="24"/>
          <w:highlight w:val="none"/>
          <w:lang w:val="en-US" w:eastAsia="zh-CN"/>
        </w:rPr>
        <w:t xml:space="preserve"> </w:t>
      </w:r>
      <w:r>
        <w:rPr>
          <w:rFonts w:hint="eastAsia"/>
          <w:color w:val="auto"/>
          <w:sz w:val="24"/>
          <w:highlight w:val="none"/>
        </w:rPr>
        <w:t>法定代表人授权书（格式）</w:t>
      </w:r>
      <w:bookmarkEnd w:id="72"/>
    </w:p>
    <w:p>
      <w:pPr>
        <w:snapToGrid w:val="0"/>
        <w:spacing w:line="360" w:lineRule="auto"/>
        <w:ind w:firstLine="480" w:firstLineChars="200"/>
        <w:rPr>
          <w:color w:val="auto"/>
          <w:sz w:val="24"/>
          <w:highlight w:val="none"/>
        </w:rPr>
      </w:pPr>
      <w:bookmarkStart w:id="73" w:name="_Toc31857"/>
      <w:r>
        <w:rPr>
          <w:rFonts w:hint="eastAsia"/>
          <w:color w:val="auto"/>
          <w:sz w:val="24"/>
          <w:highlight w:val="none"/>
        </w:rPr>
        <w:t>附件9 证明文件</w:t>
      </w:r>
      <w:bookmarkEnd w:id="73"/>
    </w:p>
    <w:p>
      <w:pPr>
        <w:snapToGrid w:val="0"/>
        <w:spacing w:line="360" w:lineRule="auto"/>
        <w:ind w:firstLine="480" w:firstLineChars="200"/>
        <w:rPr>
          <w:rFonts w:hint="eastAsia"/>
          <w:color w:val="auto"/>
          <w:sz w:val="24"/>
          <w:highlight w:val="none"/>
        </w:rPr>
      </w:pPr>
      <w:bookmarkStart w:id="74" w:name="_Toc23116"/>
      <w:r>
        <w:rPr>
          <w:rFonts w:hint="eastAsia"/>
          <w:color w:val="auto"/>
          <w:sz w:val="24"/>
          <w:highlight w:val="none"/>
        </w:rPr>
        <w:t>附件10 供应商承诺书（格式）</w:t>
      </w:r>
      <w:bookmarkEnd w:id="74"/>
    </w:p>
    <w:p>
      <w:pPr>
        <w:widowControl/>
        <w:wordWrap w:val="0"/>
        <w:snapToGrid w:val="0"/>
        <w:spacing w:line="460" w:lineRule="exact"/>
        <w:ind w:firstLine="482" w:firstLineChars="200"/>
        <w:jc w:val="center"/>
        <w:rPr>
          <w:rFonts w:ascii="宋体" w:hAnsi="宋体" w:cs="宋体"/>
          <w:b/>
          <w:bCs/>
          <w:color w:val="auto"/>
          <w:kern w:val="0"/>
          <w:sz w:val="24"/>
          <w:highlight w:val="none"/>
        </w:rPr>
      </w:pPr>
    </w:p>
    <w:p>
      <w:pPr>
        <w:widowControl/>
        <w:wordWrap w:val="0"/>
        <w:snapToGrid w:val="0"/>
        <w:spacing w:line="460" w:lineRule="exact"/>
        <w:ind w:firstLine="482" w:firstLineChars="200"/>
        <w:jc w:val="center"/>
        <w:rPr>
          <w:rFonts w:ascii="宋体" w:hAnsi="宋体" w:cs="宋体"/>
          <w:b/>
          <w:bCs/>
          <w:color w:val="auto"/>
          <w:kern w:val="0"/>
          <w:sz w:val="24"/>
          <w:highlight w:val="none"/>
        </w:rPr>
      </w:pPr>
    </w:p>
    <w:p>
      <w:pPr>
        <w:widowControl/>
        <w:wordWrap w:val="0"/>
        <w:snapToGrid w:val="0"/>
        <w:spacing w:line="460" w:lineRule="exact"/>
        <w:ind w:firstLine="482" w:firstLineChars="200"/>
        <w:jc w:val="center"/>
        <w:rPr>
          <w:rFonts w:ascii="宋体" w:hAnsi="宋体" w:cs="宋体"/>
          <w:b/>
          <w:bCs/>
          <w:color w:val="auto"/>
          <w:kern w:val="0"/>
          <w:sz w:val="24"/>
          <w:highlight w:val="none"/>
        </w:rPr>
      </w:pPr>
    </w:p>
    <w:p>
      <w:pPr>
        <w:pStyle w:val="11"/>
        <w:rPr>
          <w:rFonts w:ascii="宋体" w:hAnsi="宋体" w:cs="宋体"/>
          <w:b/>
          <w:bCs/>
          <w:color w:val="auto"/>
          <w:kern w:val="0"/>
          <w:sz w:val="24"/>
          <w:highlight w:val="none"/>
        </w:rPr>
      </w:pPr>
    </w:p>
    <w:p>
      <w:pPr>
        <w:pStyle w:val="49"/>
        <w:rPr>
          <w:rFonts w:hAnsi="宋体"/>
          <w:b/>
          <w:bCs/>
          <w:color w:val="auto"/>
          <w:highlight w:val="none"/>
        </w:rPr>
      </w:pPr>
    </w:p>
    <w:p>
      <w:pPr>
        <w:pStyle w:val="49"/>
        <w:rPr>
          <w:rFonts w:hAnsi="宋体"/>
          <w:b/>
          <w:bCs/>
          <w:color w:val="auto"/>
          <w:highlight w:val="none"/>
        </w:rPr>
      </w:pPr>
    </w:p>
    <w:p>
      <w:pPr>
        <w:rPr>
          <w:color w:val="auto"/>
          <w:highlight w:val="none"/>
        </w:rPr>
      </w:pPr>
      <w:r>
        <w:rPr>
          <w:rFonts w:hint="eastAsia"/>
          <w:color w:val="auto"/>
          <w:highlight w:val="none"/>
        </w:rPr>
        <w:br w:type="page"/>
      </w:r>
    </w:p>
    <w:p>
      <w:pPr>
        <w:pStyle w:val="12"/>
        <w:rPr>
          <w:color w:val="auto"/>
          <w:highlight w:val="none"/>
        </w:rPr>
      </w:pPr>
    </w:p>
    <w:p>
      <w:pPr>
        <w:pStyle w:val="2"/>
        <w:rPr>
          <w:color w:val="auto"/>
          <w:highlight w:val="none"/>
        </w:rPr>
      </w:pPr>
      <w:bookmarkStart w:id="75" w:name="_Toc24743"/>
      <w:bookmarkStart w:id="76" w:name="_Toc31798"/>
      <w:r>
        <w:rPr>
          <w:rFonts w:hint="eastAsia"/>
          <w:color w:val="auto"/>
          <w:highlight w:val="none"/>
        </w:rPr>
        <w:t>附件1               投标文件封面（格式）</w:t>
      </w:r>
      <w:bookmarkEnd w:id="75"/>
      <w:bookmarkEnd w:id="76"/>
    </w:p>
    <w:p>
      <w:pPr>
        <w:widowControl/>
        <w:wordWrap w:val="0"/>
        <w:spacing w:line="460" w:lineRule="exact"/>
        <w:ind w:firstLine="482" w:firstLineChars="200"/>
        <w:jc w:val="center"/>
        <w:rPr>
          <w:rFonts w:ascii="宋体" w:hAnsi="宋体" w:cs="宋体"/>
          <w:b/>
          <w:color w:val="auto"/>
          <w:kern w:val="0"/>
          <w:sz w:val="24"/>
          <w:highlight w:val="none"/>
        </w:rPr>
      </w:pPr>
    </w:p>
    <w:p>
      <w:pPr>
        <w:snapToGrid w:val="0"/>
        <w:spacing w:line="360" w:lineRule="auto"/>
        <w:jc w:val="center"/>
        <w:rPr>
          <w:rFonts w:hint="default" w:ascii="宋体" w:hAnsi="宋体" w:eastAsia="宋体" w:cs="宋体"/>
          <w:b/>
          <w:color w:val="auto"/>
          <w:spacing w:val="90"/>
          <w:sz w:val="52"/>
          <w:szCs w:val="52"/>
          <w:highlight w:val="none"/>
          <w:u w:val="single"/>
          <w:lang w:val="en-US" w:eastAsia="zh-CN"/>
        </w:rPr>
      </w:pPr>
      <w:r>
        <w:rPr>
          <w:rFonts w:hint="eastAsia" w:ascii="宋体" w:hAnsi="宋体" w:eastAsia="宋体" w:cs="宋体"/>
          <w:b/>
          <w:snapToGrid w:val="0"/>
          <w:color w:val="auto"/>
          <w:spacing w:val="0"/>
          <w:kern w:val="0"/>
          <w:sz w:val="44"/>
          <w:szCs w:val="44"/>
          <w:highlight w:val="none"/>
          <w:u w:val="none"/>
          <w:lang w:val="en-US" w:eastAsia="zh-CN"/>
        </w:rPr>
        <w:t>驻马店中心医院</w:t>
      </w:r>
      <w:r>
        <w:rPr>
          <w:rFonts w:hint="eastAsia" w:ascii="宋体" w:hAnsi="宋体" w:eastAsia="宋体" w:cs="宋体"/>
          <w:b/>
          <w:snapToGrid w:val="0"/>
          <w:color w:val="auto"/>
          <w:spacing w:val="0"/>
          <w:kern w:val="0"/>
          <w:sz w:val="44"/>
          <w:szCs w:val="44"/>
          <w:highlight w:val="none"/>
          <w:u w:val="single"/>
          <w:lang w:val="en-US" w:eastAsia="zh-CN"/>
        </w:rPr>
        <w:t xml:space="preserve">      </w:t>
      </w:r>
      <w:r>
        <w:rPr>
          <w:rFonts w:hint="eastAsia" w:ascii="宋体" w:hAnsi="宋体" w:eastAsia="宋体" w:cs="宋体"/>
          <w:b/>
          <w:snapToGrid w:val="0"/>
          <w:color w:val="auto"/>
          <w:spacing w:val="0"/>
          <w:kern w:val="0"/>
          <w:sz w:val="44"/>
          <w:szCs w:val="44"/>
          <w:highlight w:val="none"/>
          <w:u w:val="none"/>
          <w:lang w:val="en-US" w:eastAsia="zh-CN"/>
        </w:rPr>
        <w:t>项目</w:t>
      </w:r>
    </w:p>
    <w:p>
      <w:pPr>
        <w:snapToGrid w:val="0"/>
        <w:spacing w:line="360" w:lineRule="auto"/>
        <w:jc w:val="center"/>
        <w:rPr>
          <w:rFonts w:hint="eastAsia" w:ascii="宋体" w:hAnsi="宋体" w:eastAsia="宋体" w:cs="宋体"/>
          <w:b/>
          <w:color w:val="auto"/>
          <w:spacing w:val="90"/>
          <w:sz w:val="52"/>
          <w:szCs w:val="52"/>
          <w:highlight w:val="none"/>
        </w:rPr>
      </w:pPr>
    </w:p>
    <w:p>
      <w:pPr>
        <w:snapToGrid w:val="0"/>
        <w:spacing w:line="360" w:lineRule="auto"/>
        <w:jc w:val="center"/>
        <w:rPr>
          <w:rFonts w:hint="eastAsia" w:ascii="宋体" w:hAnsi="宋体" w:eastAsia="宋体" w:cs="宋体"/>
          <w:b/>
          <w:color w:val="auto"/>
          <w:spacing w:val="90"/>
          <w:sz w:val="52"/>
          <w:szCs w:val="52"/>
          <w:highlight w:val="none"/>
        </w:rPr>
      </w:pPr>
      <w:r>
        <w:rPr>
          <w:rFonts w:hint="eastAsia" w:ascii="宋体" w:hAnsi="宋体" w:eastAsia="宋体" w:cs="宋体"/>
          <w:b/>
          <w:color w:val="auto"/>
          <w:spacing w:val="90"/>
          <w:sz w:val="52"/>
          <w:szCs w:val="52"/>
          <w:highlight w:val="none"/>
        </w:rPr>
        <w:t>投标文件</w:t>
      </w:r>
    </w:p>
    <w:p>
      <w:pPr>
        <w:spacing w:line="360" w:lineRule="auto"/>
        <w:rPr>
          <w:rFonts w:hint="eastAsia" w:ascii="宋体" w:hAnsi="宋体" w:eastAsia="宋体" w:cs="宋体"/>
          <w:color w:val="auto"/>
          <w:sz w:val="28"/>
          <w:highlight w:val="none"/>
        </w:rPr>
      </w:pPr>
    </w:p>
    <w:p>
      <w:pPr>
        <w:pStyle w:val="49"/>
        <w:spacing w:line="360" w:lineRule="auto"/>
        <w:rPr>
          <w:rFonts w:hint="eastAsia" w:ascii="宋体" w:hAnsi="宋体" w:eastAsia="宋体" w:cs="宋体"/>
          <w:color w:val="auto"/>
          <w:highlight w:val="none"/>
        </w:rPr>
      </w:pPr>
    </w:p>
    <w:p>
      <w:pPr>
        <w:pStyle w:val="49"/>
        <w:spacing w:line="360" w:lineRule="auto"/>
        <w:rPr>
          <w:rFonts w:hint="eastAsia" w:ascii="宋体" w:hAnsi="宋体" w:eastAsia="宋体" w:cs="宋体"/>
          <w:color w:val="auto"/>
          <w:highlight w:val="none"/>
        </w:rPr>
      </w:pPr>
    </w:p>
    <w:p>
      <w:pPr>
        <w:spacing w:line="360" w:lineRule="auto"/>
        <w:rPr>
          <w:rFonts w:hint="eastAsia" w:ascii="宋体" w:hAnsi="宋体" w:eastAsia="宋体" w:cs="宋体"/>
          <w:color w:val="auto"/>
          <w:sz w:val="28"/>
          <w:highlight w:val="none"/>
        </w:rPr>
      </w:pPr>
    </w:p>
    <w:p>
      <w:pPr>
        <w:spacing w:line="360" w:lineRule="auto"/>
        <w:rPr>
          <w:rFonts w:hint="eastAsia" w:ascii="宋体" w:hAnsi="宋体" w:eastAsia="宋体" w:cs="宋体"/>
          <w:color w:val="auto"/>
          <w:sz w:val="28"/>
          <w:highlight w:val="none"/>
        </w:rPr>
      </w:pPr>
    </w:p>
    <w:p>
      <w:pPr>
        <w:spacing w:line="360" w:lineRule="auto"/>
        <w:rPr>
          <w:rFonts w:hint="eastAsia" w:ascii="宋体" w:hAnsi="宋体" w:eastAsia="宋体" w:cs="宋体"/>
          <w:color w:val="auto"/>
          <w:sz w:val="28"/>
          <w:highlight w:val="none"/>
        </w:rPr>
      </w:pPr>
    </w:p>
    <w:p>
      <w:pPr>
        <w:spacing w:line="360" w:lineRule="auto"/>
        <w:rPr>
          <w:rFonts w:hint="eastAsia" w:ascii="宋体" w:hAnsi="宋体" w:eastAsia="宋体" w:cs="宋体"/>
          <w:color w:val="auto"/>
          <w:sz w:val="28"/>
          <w:highlight w:val="none"/>
        </w:rPr>
      </w:pPr>
    </w:p>
    <w:p>
      <w:pPr>
        <w:spacing w:line="360" w:lineRule="auto"/>
        <w:rPr>
          <w:rFonts w:hint="eastAsia" w:ascii="宋体" w:hAnsi="宋体" w:eastAsia="宋体" w:cs="宋体"/>
          <w:color w:val="auto"/>
          <w:sz w:val="28"/>
          <w:highlight w:val="none"/>
        </w:rPr>
      </w:pPr>
    </w:p>
    <w:p>
      <w:pPr>
        <w:spacing w:line="360" w:lineRule="auto"/>
        <w:rPr>
          <w:rFonts w:hint="eastAsia" w:ascii="宋体" w:hAnsi="宋体" w:eastAsia="宋体" w:cs="宋体"/>
          <w:color w:val="auto"/>
          <w:sz w:val="28"/>
          <w:highlight w:val="none"/>
        </w:rPr>
      </w:pPr>
    </w:p>
    <w:p>
      <w:pPr>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投标人：（</w:t>
      </w:r>
      <w:r>
        <w:rPr>
          <w:rFonts w:hint="eastAsia" w:ascii="宋体" w:hAnsi="宋体" w:eastAsia="宋体" w:cs="宋体"/>
          <w:color w:val="auto"/>
          <w:sz w:val="28"/>
          <w:szCs w:val="28"/>
          <w:highlight w:val="none"/>
          <w:lang w:eastAsia="zh-CN"/>
        </w:rPr>
        <w:t>盖章</w:t>
      </w:r>
      <w:r>
        <w:rPr>
          <w:rFonts w:hint="eastAsia" w:ascii="宋体" w:hAnsi="宋体" w:eastAsia="宋体" w:cs="宋体"/>
          <w:color w:val="auto"/>
          <w:sz w:val="28"/>
          <w:szCs w:val="28"/>
          <w:highlight w:val="none"/>
        </w:rPr>
        <w:t>）</w:t>
      </w:r>
    </w:p>
    <w:p>
      <w:pPr>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法定代表人：（</w:t>
      </w:r>
      <w:r>
        <w:rPr>
          <w:rFonts w:hint="eastAsia" w:ascii="宋体" w:hAnsi="宋体" w:eastAsia="宋体" w:cs="宋体"/>
          <w:color w:val="auto"/>
          <w:sz w:val="28"/>
          <w:szCs w:val="28"/>
          <w:highlight w:val="none"/>
          <w:lang w:eastAsia="zh-CN"/>
        </w:rPr>
        <w:t>盖章</w:t>
      </w:r>
      <w:r>
        <w:rPr>
          <w:rFonts w:hint="eastAsia" w:ascii="宋体" w:hAnsi="宋体" w:eastAsia="宋体" w:cs="宋体"/>
          <w:color w:val="auto"/>
          <w:sz w:val="28"/>
          <w:szCs w:val="28"/>
          <w:highlight w:val="none"/>
        </w:rPr>
        <w:t>）</w:t>
      </w:r>
    </w:p>
    <w:p>
      <w:pPr>
        <w:widowControl/>
        <w:wordWrap w:val="0"/>
        <w:spacing w:line="460" w:lineRule="exact"/>
        <w:ind w:left="0" w:leftChars="0" w:firstLine="0" w:firstLineChars="0"/>
        <w:jc w:val="center"/>
        <w:rPr>
          <w:rFonts w:ascii="宋体" w:hAnsi="宋体" w:cs="宋体"/>
          <w:b/>
          <w:color w:val="auto"/>
          <w:kern w:val="0"/>
          <w:sz w:val="24"/>
          <w:highlight w:val="none"/>
        </w:rPr>
      </w:pPr>
      <w:r>
        <w:rPr>
          <w:rFonts w:hint="eastAsia" w:ascii="宋体" w:hAnsi="宋体" w:eastAsia="宋体" w:cs="宋体"/>
          <w:color w:val="auto"/>
          <w:sz w:val="28"/>
          <w:szCs w:val="28"/>
          <w:highlight w:val="none"/>
        </w:rPr>
        <w:t>年   月   日</w:t>
      </w:r>
    </w:p>
    <w:p>
      <w:pPr>
        <w:widowControl/>
        <w:wordWrap w:val="0"/>
        <w:spacing w:line="460" w:lineRule="exact"/>
        <w:ind w:firstLine="482" w:firstLineChars="200"/>
        <w:jc w:val="left"/>
        <w:rPr>
          <w:rFonts w:ascii="宋体" w:hAnsi="宋体" w:cs="宋体"/>
          <w:b/>
          <w:color w:val="auto"/>
          <w:kern w:val="0"/>
          <w:sz w:val="24"/>
          <w:highlight w:val="none"/>
        </w:rPr>
      </w:pPr>
    </w:p>
    <w:p>
      <w:pPr>
        <w:pStyle w:val="11"/>
        <w:rPr>
          <w:rFonts w:ascii="宋体" w:hAnsi="宋体" w:cs="宋体"/>
          <w:b/>
          <w:color w:val="auto"/>
          <w:kern w:val="0"/>
          <w:sz w:val="24"/>
          <w:highlight w:val="none"/>
        </w:rPr>
      </w:pPr>
    </w:p>
    <w:p>
      <w:pPr>
        <w:rPr>
          <w:rFonts w:ascii="宋体" w:hAnsi="宋体" w:cs="宋体"/>
          <w:b/>
          <w:color w:val="auto"/>
          <w:kern w:val="0"/>
          <w:sz w:val="24"/>
          <w:highlight w:val="none"/>
        </w:rPr>
      </w:pPr>
      <w:r>
        <w:rPr>
          <w:rFonts w:hint="eastAsia" w:ascii="宋体" w:hAnsi="宋体" w:cs="宋体"/>
          <w:b/>
          <w:color w:val="auto"/>
          <w:kern w:val="0"/>
          <w:sz w:val="24"/>
          <w:highlight w:val="none"/>
        </w:rPr>
        <w:br w:type="page"/>
      </w:r>
    </w:p>
    <w:p>
      <w:pPr>
        <w:rPr>
          <w:color w:val="auto"/>
          <w:highlight w:val="none"/>
        </w:rPr>
      </w:pPr>
    </w:p>
    <w:p>
      <w:pPr>
        <w:pStyle w:val="2"/>
        <w:rPr>
          <w:color w:val="auto"/>
          <w:highlight w:val="none"/>
        </w:rPr>
      </w:pPr>
      <w:bookmarkStart w:id="77" w:name="_Toc14560"/>
      <w:bookmarkStart w:id="78" w:name="_Toc8818"/>
      <w:r>
        <w:rPr>
          <w:rFonts w:hint="eastAsia"/>
          <w:color w:val="auto"/>
          <w:highlight w:val="none"/>
        </w:rPr>
        <w:t>附件2               投  标  书（格式）</w:t>
      </w:r>
      <w:bookmarkEnd w:id="77"/>
      <w:bookmarkEnd w:id="78"/>
    </w:p>
    <w:p>
      <w:pPr>
        <w:widowControl/>
        <w:wordWrap w:val="0"/>
        <w:snapToGrid w:val="0"/>
        <w:spacing w:line="4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致：</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lang w:eastAsia="zh-CN"/>
        </w:rPr>
        <w:t>采购人</w:t>
      </w:r>
      <w:r>
        <w:rPr>
          <w:rFonts w:hint="eastAsia" w:ascii="宋体" w:hAnsi="宋体" w:cs="宋体"/>
          <w:color w:val="auto"/>
          <w:kern w:val="0"/>
          <w:szCs w:val="21"/>
          <w:highlight w:val="none"/>
          <w:u w:val="single"/>
        </w:rPr>
        <w:t>名称）</w:t>
      </w:r>
      <w:r>
        <w:rPr>
          <w:rFonts w:hint="eastAsia" w:ascii="宋体" w:hAnsi="宋体" w:cs="宋体"/>
          <w:color w:val="auto"/>
          <w:kern w:val="0"/>
          <w:szCs w:val="21"/>
          <w:highlight w:val="none"/>
        </w:rPr>
        <w:t>：</w:t>
      </w:r>
    </w:p>
    <w:p>
      <w:pPr>
        <w:widowControl/>
        <w:wordWrap w:val="0"/>
        <w:spacing w:line="460" w:lineRule="exact"/>
        <w:ind w:firstLine="525" w:firstLineChars="250"/>
        <w:jc w:val="left"/>
        <w:rPr>
          <w:rFonts w:ascii="宋体" w:hAnsi="宋体" w:cs="宋体"/>
          <w:color w:val="auto"/>
          <w:kern w:val="0"/>
          <w:szCs w:val="21"/>
          <w:highlight w:val="none"/>
        </w:rPr>
      </w:pP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u w:val="single"/>
        </w:rPr>
        <w:t>（投标人名称）</w:t>
      </w:r>
      <w:r>
        <w:rPr>
          <w:rFonts w:hint="eastAsia" w:ascii="宋体" w:hAnsi="宋体" w:cs="宋体"/>
          <w:color w:val="auto"/>
          <w:kern w:val="0"/>
          <w:szCs w:val="21"/>
          <w:highlight w:val="none"/>
        </w:rPr>
        <w:t xml:space="preserve">现委托 </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（姓名）为我方代理人，参加贵方组织的</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项目的投标。现正式提交下述文件1份：</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1、开标一览表。</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2、投标报价明细表。</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4、技术响应表。</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4、商务响应表。</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5、证明文件。</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6、抵制商业贿赂承诺。为便于贵方公正、择优地确定中标供应商及其投标产品和服务，我方就本次投标有关事项郑重声明并宣布同意如下：</w:t>
      </w:r>
    </w:p>
    <w:p>
      <w:pPr>
        <w:widowControl/>
        <w:wordWrap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1、我方承诺已经具备</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文件中规定的参加政府采购活动的投标人应当具备的条件。我方愿意向贵方提供任何与本</w:t>
      </w:r>
      <w:r>
        <w:rPr>
          <w:rFonts w:hint="eastAsia" w:ascii="宋体" w:hAnsi="宋体" w:cs="宋体"/>
          <w:color w:val="auto"/>
          <w:kern w:val="0"/>
          <w:szCs w:val="21"/>
          <w:highlight w:val="none"/>
          <w:lang w:eastAsia="zh-CN"/>
        </w:rPr>
        <w:t>采购</w:t>
      </w:r>
      <w:r>
        <w:rPr>
          <w:rFonts w:hint="eastAsia" w:ascii="宋体" w:hAnsi="宋体" w:cs="宋体"/>
          <w:color w:val="auto"/>
          <w:kern w:val="0"/>
          <w:szCs w:val="21"/>
          <w:highlight w:val="none"/>
        </w:rPr>
        <w:t>项目投标有关的数据、情况和技术资料，并根据需要提供一切承诺的证明材料，并保证其真实、合法、有效。</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2、我方承诺在投标活动中提供的各种材料真实有效。</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3、我方同意在投标文件有效期内遵守本投标文件中的承诺且在此期限期满之前均具有约束力。如果我方中标，投标文件有效期与合同履行期相同。</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4、我方已详细审查全部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文件，包括修改文件（如有的话）和有关附件，将自行承担因对全部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文件理解不正确或误解而产生的相应后果。</w:t>
      </w:r>
    </w:p>
    <w:p>
      <w:pPr>
        <w:widowControl/>
        <w:wordWrap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5、我方保证尊重评标委员会的评标结果，完全理解本</w:t>
      </w:r>
      <w:r>
        <w:rPr>
          <w:rFonts w:hint="eastAsia" w:ascii="宋体" w:hAnsi="宋体" w:cs="宋体"/>
          <w:color w:val="auto"/>
          <w:kern w:val="0"/>
          <w:szCs w:val="21"/>
          <w:highlight w:val="none"/>
          <w:lang w:eastAsia="zh-CN"/>
        </w:rPr>
        <w:t>采购</w:t>
      </w:r>
      <w:r>
        <w:rPr>
          <w:rFonts w:hint="eastAsia" w:ascii="宋体" w:hAnsi="宋体" w:cs="宋体"/>
          <w:color w:val="auto"/>
          <w:kern w:val="0"/>
          <w:szCs w:val="21"/>
          <w:highlight w:val="none"/>
        </w:rPr>
        <w:t>项目最低投标价不作为中标的保证。</w:t>
      </w:r>
    </w:p>
    <w:p>
      <w:pPr>
        <w:widowControl/>
        <w:wordWrap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6、我方理解并遵守</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文件的全部规定，接受</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文件中政府采购合同的全部条款且无任何异议。</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7、如果我方代表</w:t>
      </w:r>
      <w:r>
        <w:rPr>
          <w:rFonts w:hint="eastAsia" w:ascii="宋体" w:hAnsi="宋体" w:cs="宋体"/>
          <w:bCs/>
          <w:color w:val="auto"/>
          <w:kern w:val="0"/>
          <w:szCs w:val="21"/>
          <w:highlight w:val="none"/>
        </w:rPr>
        <w:t>未按时参加开标的，视同放弃开标监督权利，认可开标结果。</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8、如果我方存在投标人须知第9.3项所述情况，同意被认定为在经营活动中有重大违法记录。</w:t>
      </w:r>
    </w:p>
    <w:p>
      <w:pPr>
        <w:widowControl/>
        <w:wordWrap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9、如果发生投标人须知第2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.4.1、2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.4.3项所述情况，同意我方投标被作为无效投标处理。</w:t>
      </w:r>
    </w:p>
    <w:p>
      <w:pPr>
        <w:widowControl/>
        <w:wordWrap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10、如果发生投标人须知第2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.5项所述情况，同意评标委员会认定我方的行为属于串通投标的行为，并自愿接受监管部门的处罚。</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11、如果现场变更采购方式，我方同意在不改变</w:t>
      </w:r>
      <w:r>
        <w:rPr>
          <w:rFonts w:hint="eastAsia" w:ascii="宋体" w:hAnsi="宋体" w:cs="宋体"/>
          <w:color w:val="auto"/>
          <w:kern w:val="0"/>
          <w:szCs w:val="21"/>
          <w:highlight w:val="none"/>
          <w:lang w:eastAsia="zh-CN"/>
        </w:rPr>
        <w:t>采购</w:t>
      </w:r>
      <w:r>
        <w:rPr>
          <w:rFonts w:hint="eastAsia" w:ascii="宋体" w:hAnsi="宋体" w:cs="宋体"/>
          <w:color w:val="auto"/>
          <w:kern w:val="0"/>
          <w:szCs w:val="21"/>
          <w:highlight w:val="none"/>
        </w:rPr>
        <w:t>需求、资质条件等情况下，按变更后的采购方式的规定程序进行采购。</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12、如果被确定为中标供应商，我方同意按</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文件的规定领取中标通知书并缴纳服务费。否则，视为我方中标后自动放弃中标资格，承担由此引起的一切后果。</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13、如果被确定为中标供应商，我方同意在领取中标通知书之日起日内，按照</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文件的规定与采购人签订采购合同。否则，视为我方中标后无正当理由不与采购人签订合同并承担相应法律责任。</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14、我方最近3年内的被公开披露或查处的违法违规行为有：</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w:t>
      </w:r>
    </w:p>
    <w:p>
      <w:pPr>
        <w:widowControl/>
        <w:tabs>
          <w:tab w:val="left" w:pos="939"/>
        </w:tabs>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15、以上事项如有虚假或隐瞒，我方愿意承担一切后果和责任。</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16、与本投标有关的一切正式往来通讯请寄（地址电话必须为最新并可以联系到）：</w:t>
      </w:r>
    </w:p>
    <w:p>
      <w:pPr>
        <w:widowControl/>
        <w:wordWrap w:val="0"/>
        <w:spacing w:line="460" w:lineRule="exact"/>
        <w:ind w:firstLine="420" w:firstLineChars="200"/>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 xml:space="preserve">   地址：  邮编：</w:t>
      </w:r>
    </w:p>
    <w:p>
      <w:pPr>
        <w:widowControl/>
        <w:wordWrap w:val="0"/>
        <w:spacing w:line="460" w:lineRule="exact"/>
        <w:ind w:firstLine="420" w:firstLineChars="200"/>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 xml:space="preserve">   电话：  传真： </w:t>
      </w:r>
    </w:p>
    <w:p>
      <w:pPr>
        <w:widowControl/>
        <w:wordWrap w:val="0"/>
        <w:spacing w:line="460" w:lineRule="exact"/>
        <w:ind w:firstLine="420" w:firstLineChars="200"/>
        <w:jc w:val="left"/>
        <w:rPr>
          <w:rFonts w:ascii="宋体" w:hAnsi="宋体" w:cs="宋体"/>
          <w:color w:val="auto"/>
          <w:kern w:val="0"/>
          <w:szCs w:val="21"/>
          <w:highlight w:val="none"/>
        </w:rPr>
      </w:pPr>
    </w:p>
    <w:p>
      <w:pPr>
        <w:widowControl/>
        <w:wordWrap w:val="0"/>
        <w:spacing w:line="460" w:lineRule="exact"/>
        <w:ind w:firstLine="735" w:firstLineChars="350"/>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 xml:space="preserve">投标人代表签字： </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   投标人：（全称并加盖公章）</w:t>
      </w:r>
    </w:p>
    <w:p>
      <w:pPr>
        <w:widowControl/>
        <w:wordWrap w:val="0"/>
        <w:spacing w:line="460" w:lineRule="exact"/>
        <w:ind w:firstLine="420" w:firstLineChars="200"/>
        <w:jc w:val="left"/>
        <w:rPr>
          <w:rFonts w:ascii="宋体" w:hAnsi="宋体" w:cs="宋体"/>
          <w:color w:val="auto"/>
          <w:kern w:val="0"/>
          <w:szCs w:val="21"/>
          <w:highlight w:val="none"/>
        </w:rPr>
      </w:pPr>
    </w:p>
    <w:p>
      <w:pPr>
        <w:widowControl/>
        <w:snapToGrid w:val="0"/>
        <w:spacing w:line="460" w:lineRule="exact"/>
        <w:ind w:firstLine="3360" w:firstLineChars="1600"/>
        <w:rPr>
          <w:rFonts w:ascii="宋体" w:hAnsi="宋体" w:cs="宋体"/>
          <w:color w:val="auto"/>
          <w:kern w:val="0"/>
          <w:sz w:val="24"/>
          <w:highlight w:val="none"/>
        </w:rPr>
      </w:pPr>
      <w:r>
        <w:rPr>
          <w:rFonts w:hint="eastAsia" w:ascii="宋体" w:hAnsi="宋体" w:cs="宋体"/>
          <w:color w:val="auto"/>
          <w:kern w:val="0"/>
          <w:szCs w:val="21"/>
          <w:highlight w:val="none"/>
        </w:rPr>
        <w:t xml:space="preserve">年    月   日 </w:t>
      </w:r>
    </w:p>
    <w:p>
      <w:pPr>
        <w:widowControl/>
        <w:wordWrap w:val="0"/>
        <w:snapToGrid w:val="0"/>
        <w:spacing w:before="50" w:after="50" w:line="480" w:lineRule="auto"/>
        <w:jc w:val="left"/>
        <w:rPr>
          <w:rFonts w:ascii="宋体" w:hAnsi="宋体" w:cs="宋体"/>
          <w:b/>
          <w:color w:val="auto"/>
          <w:kern w:val="0"/>
          <w:sz w:val="24"/>
          <w:highlight w:val="none"/>
        </w:rPr>
      </w:pPr>
    </w:p>
    <w:p>
      <w:pPr>
        <w:widowControl/>
        <w:wordWrap w:val="0"/>
        <w:snapToGrid w:val="0"/>
        <w:spacing w:before="50" w:after="50" w:line="480" w:lineRule="auto"/>
        <w:jc w:val="left"/>
        <w:rPr>
          <w:rFonts w:ascii="宋体" w:hAnsi="宋体" w:cs="宋体"/>
          <w:b/>
          <w:color w:val="auto"/>
          <w:kern w:val="0"/>
          <w:sz w:val="24"/>
          <w:highlight w:val="none"/>
        </w:rPr>
      </w:pPr>
    </w:p>
    <w:p>
      <w:pPr>
        <w:spacing w:line="500" w:lineRule="exact"/>
        <w:jc w:val="center"/>
        <w:rPr>
          <w:rFonts w:ascii="宋体" w:hAnsi="宋体"/>
          <w:b/>
          <w:bCs/>
          <w:color w:val="auto"/>
          <w:sz w:val="24"/>
          <w:highlight w:val="none"/>
        </w:rPr>
      </w:pPr>
    </w:p>
    <w:p>
      <w:pPr>
        <w:rPr>
          <w:color w:val="auto"/>
          <w:sz w:val="28"/>
          <w:szCs w:val="28"/>
          <w:highlight w:val="none"/>
        </w:rPr>
      </w:pPr>
      <w:r>
        <w:rPr>
          <w:rFonts w:hint="eastAsia"/>
          <w:color w:val="auto"/>
          <w:sz w:val="28"/>
          <w:szCs w:val="28"/>
          <w:highlight w:val="none"/>
        </w:rPr>
        <w:br w:type="page"/>
      </w:r>
    </w:p>
    <w:p>
      <w:pPr>
        <w:rPr>
          <w:color w:val="auto"/>
          <w:highlight w:val="none"/>
        </w:rPr>
      </w:pPr>
    </w:p>
    <w:p>
      <w:pPr>
        <w:pStyle w:val="2"/>
        <w:spacing w:before="20" w:after="20"/>
        <w:rPr>
          <w:color w:val="auto"/>
          <w:highlight w:val="none"/>
        </w:rPr>
      </w:pPr>
      <w:bookmarkStart w:id="79" w:name="_Toc7838"/>
      <w:r>
        <w:rPr>
          <w:rFonts w:hint="eastAsia"/>
          <w:color w:val="auto"/>
          <w:highlight w:val="none"/>
        </w:rPr>
        <w:t>附件3               开标一览表</w:t>
      </w:r>
      <w:bookmarkEnd w:id="79"/>
    </w:p>
    <w:p>
      <w:pPr>
        <w:spacing w:line="239" w:lineRule="auto"/>
        <w:jc w:val="right"/>
        <w:rPr>
          <w:rFonts w:ascii="宋体" w:hAnsi="宋体"/>
          <w:color w:val="auto"/>
          <w:sz w:val="24"/>
          <w:highlight w:val="none"/>
        </w:rPr>
      </w:pPr>
      <w:r>
        <w:rPr>
          <w:rFonts w:ascii="宋体" w:hAnsi="宋体"/>
          <w:color w:val="auto"/>
          <w:sz w:val="24"/>
          <w:highlight w:val="none"/>
        </w:rPr>
        <w:t>单位：人民币元</w:t>
      </w:r>
    </w:p>
    <w:p>
      <w:pPr>
        <w:rPr>
          <w:color w:val="auto"/>
          <w:highlight w:val="none"/>
        </w:rPr>
      </w:pPr>
    </w:p>
    <w:tbl>
      <w:tblPr>
        <w:tblStyle w:val="32"/>
        <w:tblW w:w="96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8"/>
        <w:gridCol w:w="7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widowControl/>
              <w:snapToGrid w:val="0"/>
              <w:spacing w:before="50" w:after="50"/>
              <w:jc w:val="center"/>
              <w:rPr>
                <w:rFonts w:ascii="宋体" w:hAnsi="宋体"/>
                <w:color w:val="auto"/>
                <w:szCs w:val="21"/>
                <w:highlight w:val="none"/>
              </w:rPr>
            </w:pPr>
            <w:r>
              <w:rPr>
                <w:rFonts w:hint="eastAsia" w:ascii="宋体" w:hAnsi="宋体" w:cs="宋体"/>
                <w:color w:val="auto"/>
                <w:kern w:val="0"/>
                <w:szCs w:val="21"/>
                <w:highlight w:val="none"/>
              </w:rPr>
              <w:t>项目名称</w:t>
            </w:r>
          </w:p>
        </w:tc>
        <w:tc>
          <w:tcPr>
            <w:tcW w:w="7708" w:type="dxa"/>
            <w:noWrap/>
            <w:vAlign w:val="center"/>
          </w:tcPr>
          <w:p>
            <w:pPr>
              <w:rPr>
                <w:rFonts w:ascii="宋体" w:hAnsi="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widowControl/>
              <w:snapToGrid w:val="0"/>
              <w:spacing w:before="50" w:after="50"/>
              <w:jc w:val="center"/>
              <w:rPr>
                <w:rFonts w:ascii="宋体" w:hAnsi="宋体"/>
                <w:color w:val="auto"/>
                <w:szCs w:val="21"/>
                <w:highlight w:val="none"/>
              </w:rPr>
            </w:pPr>
            <w:r>
              <w:rPr>
                <w:rFonts w:hint="eastAsia" w:ascii="宋体" w:hAnsi="宋体" w:cs="宋体"/>
                <w:color w:val="auto"/>
                <w:kern w:val="0"/>
                <w:szCs w:val="21"/>
                <w:highlight w:val="none"/>
              </w:rPr>
              <w:t>投标人名称</w:t>
            </w:r>
          </w:p>
        </w:tc>
        <w:tc>
          <w:tcPr>
            <w:tcW w:w="7708" w:type="dxa"/>
            <w:noWrap/>
            <w:vAlign w:val="center"/>
          </w:tcPr>
          <w:p>
            <w:pP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jc w:val="center"/>
              <w:rPr>
                <w:rFonts w:ascii="宋体" w:hAnsi="宋体"/>
                <w:color w:val="auto"/>
                <w:spacing w:val="-20"/>
                <w:szCs w:val="21"/>
                <w:highlight w:val="none"/>
              </w:rPr>
            </w:pPr>
            <w:r>
              <w:rPr>
                <w:rFonts w:hint="eastAsia" w:ascii="宋体" w:hAnsi="宋体"/>
                <w:color w:val="auto"/>
                <w:szCs w:val="21"/>
                <w:highlight w:val="none"/>
              </w:rPr>
              <w:t>投标报价</w:t>
            </w:r>
          </w:p>
        </w:tc>
        <w:tc>
          <w:tcPr>
            <w:tcW w:w="7708" w:type="dxa"/>
            <w:noWrap/>
            <w:vAlign w:val="center"/>
          </w:tcPr>
          <w:p>
            <w:pPr>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大写：        元</w:t>
            </w:r>
          </w:p>
          <w:p>
            <w:pP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小写：        元（详见报价明细表）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widowControl/>
              <w:snapToGrid w:val="0"/>
              <w:spacing w:before="50" w:after="50"/>
              <w:jc w:val="center"/>
              <w:rPr>
                <w:rFonts w:ascii="宋体" w:hAnsi="宋体"/>
                <w:color w:val="auto"/>
                <w:szCs w:val="21"/>
                <w:highlight w:val="none"/>
              </w:rPr>
            </w:pPr>
            <w:r>
              <w:rPr>
                <w:rFonts w:hint="eastAsia" w:ascii="宋体" w:hAnsi="宋体" w:cs="宋体"/>
                <w:color w:val="auto"/>
                <w:kern w:val="0"/>
                <w:szCs w:val="21"/>
                <w:highlight w:val="none"/>
              </w:rPr>
              <w:t>交货地点</w:t>
            </w:r>
          </w:p>
        </w:tc>
        <w:tc>
          <w:tcPr>
            <w:tcW w:w="7708" w:type="dxa"/>
            <w:noWrap/>
            <w:vAlign w:val="bottom"/>
          </w:tcPr>
          <w:p>
            <w:pPr>
              <w:spacing w:line="360" w:lineRule="auto"/>
              <w:ind w:firstLine="1155" w:firstLineChars="55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widowControl/>
              <w:snapToGrid w:val="0"/>
              <w:spacing w:before="50" w:after="50"/>
              <w:jc w:val="center"/>
              <w:rPr>
                <w:rFonts w:ascii="宋体" w:hAnsi="宋体"/>
                <w:color w:val="auto"/>
                <w:szCs w:val="21"/>
                <w:highlight w:val="none"/>
              </w:rPr>
            </w:pPr>
            <w:r>
              <w:rPr>
                <w:rFonts w:hint="eastAsia" w:ascii="宋体" w:hAnsi="宋体" w:cs="宋体"/>
                <w:color w:val="auto"/>
                <w:kern w:val="0"/>
                <w:szCs w:val="21"/>
                <w:highlight w:val="none"/>
              </w:rPr>
              <w:t>投标有效期</w:t>
            </w:r>
          </w:p>
        </w:tc>
        <w:tc>
          <w:tcPr>
            <w:tcW w:w="7708" w:type="dxa"/>
            <w:noWrap/>
            <w:vAlign w:val="bottom"/>
          </w:tcPr>
          <w:p>
            <w:pPr>
              <w:spacing w:line="360" w:lineRule="auto"/>
              <w:ind w:firstLine="1155" w:firstLineChars="55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jc w:val="center"/>
              <w:rPr>
                <w:rFonts w:ascii="宋体" w:hAnsi="宋体"/>
                <w:color w:val="auto"/>
                <w:szCs w:val="21"/>
                <w:highlight w:val="none"/>
              </w:rPr>
            </w:pPr>
            <w:r>
              <w:rPr>
                <w:rFonts w:hint="eastAsia" w:ascii="宋体" w:hAnsi="宋体"/>
                <w:color w:val="auto"/>
                <w:szCs w:val="21"/>
                <w:highlight w:val="none"/>
              </w:rPr>
              <w:t>质量标准</w:t>
            </w:r>
          </w:p>
        </w:tc>
        <w:tc>
          <w:tcPr>
            <w:tcW w:w="7708" w:type="dxa"/>
            <w:noWrap/>
            <w:vAlign w:val="bottom"/>
          </w:tcPr>
          <w:p>
            <w:pPr>
              <w:spacing w:line="360" w:lineRule="auto"/>
              <w:ind w:firstLine="1155" w:firstLineChars="550"/>
              <w:rPr>
                <w:rFonts w:ascii="宋体" w:hAnsi="宋体"/>
                <w:color w:val="auto"/>
                <w:szCs w:val="21"/>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jc w:val="center"/>
              <w:rPr>
                <w:rFonts w:ascii="宋体" w:hAnsi="宋体"/>
                <w:color w:val="auto"/>
                <w:szCs w:val="21"/>
                <w:highlight w:val="none"/>
              </w:rPr>
            </w:pPr>
            <w:r>
              <w:rPr>
                <w:rFonts w:hint="eastAsia" w:ascii="宋体" w:hAnsi="宋体"/>
                <w:color w:val="auto"/>
                <w:szCs w:val="21"/>
                <w:highlight w:val="none"/>
              </w:rPr>
              <w:t>备  注</w:t>
            </w:r>
          </w:p>
        </w:tc>
        <w:tc>
          <w:tcPr>
            <w:tcW w:w="7708" w:type="dxa"/>
            <w:noWrap/>
            <w:vAlign w:val="center"/>
          </w:tcPr>
          <w:p>
            <w:pPr>
              <w:pStyle w:val="19"/>
              <w:ind w:left="0" w:leftChars="0"/>
              <w:rPr>
                <w:color w:val="auto"/>
                <w:sz w:val="21"/>
                <w:szCs w:val="21"/>
                <w:highlight w:val="none"/>
              </w:rPr>
            </w:pPr>
          </w:p>
        </w:tc>
      </w:tr>
    </w:tbl>
    <w:p>
      <w:pPr>
        <w:rPr>
          <w:color w:val="auto"/>
          <w:highlight w:val="none"/>
        </w:rPr>
      </w:pP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注: 1、报价一经涂改，应在涂改处加盖单位公章或投标人代表签字或盖章，否则其投标作无效标处理。</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2、以上报价应与“投标报价明细表”中的报价相一致。</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3、凡认为所投产品符合价格折扣条件的，在相应的产品的“备注”栏内注明符合何种折扣条件。</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4、投标人按格式填列，不得自行更改。否则引起的不利后果由投标人承担。</w:t>
      </w:r>
    </w:p>
    <w:p>
      <w:pPr>
        <w:spacing w:line="360" w:lineRule="auto"/>
        <w:ind w:firstLine="480" w:firstLineChars="200"/>
        <w:rPr>
          <w:rFonts w:ascii="宋体" w:hAnsi="宋体" w:cs="宋体"/>
          <w:color w:val="auto"/>
          <w:kern w:val="0"/>
          <w:sz w:val="24"/>
          <w:highlight w:val="none"/>
        </w:rPr>
      </w:pPr>
    </w:p>
    <w:p>
      <w:pPr>
        <w:rPr>
          <w:color w:val="auto"/>
          <w:highlight w:val="none"/>
        </w:rPr>
      </w:pPr>
    </w:p>
    <w:p>
      <w:pPr>
        <w:rPr>
          <w:color w:val="auto"/>
          <w:highlight w:val="none"/>
        </w:rPr>
      </w:pPr>
    </w:p>
    <w:p>
      <w:pPr>
        <w:spacing w:line="360" w:lineRule="auto"/>
        <w:ind w:firstLine="420" w:firstLineChars="200"/>
        <w:jc w:val="center"/>
        <w:rPr>
          <w:rFonts w:ascii="宋体" w:hAnsi="宋体"/>
          <w:color w:val="auto"/>
          <w:szCs w:val="21"/>
          <w:highlight w:val="none"/>
        </w:rPr>
      </w:pPr>
      <w:bookmarkStart w:id="80" w:name="_Toc11620"/>
      <w:bookmarkStart w:id="81" w:name="_Toc20877"/>
      <w:r>
        <w:rPr>
          <w:rFonts w:hint="eastAsia" w:ascii="宋体" w:hAnsi="宋体"/>
          <w:color w:val="auto"/>
          <w:szCs w:val="21"/>
          <w:highlight w:val="none"/>
        </w:rPr>
        <w:t>投标人（全称并加盖公章）：</w:t>
      </w:r>
      <w:bookmarkEnd w:id="80"/>
      <w:bookmarkEnd w:id="81"/>
    </w:p>
    <w:p>
      <w:pPr>
        <w:jc w:val="center"/>
        <w:rPr>
          <w:rFonts w:ascii="宋体" w:hAnsi="宋体"/>
          <w:color w:val="auto"/>
          <w:szCs w:val="21"/>
          <w:highlight w:val="none"/>
        </w:rPr>
      </w:pPr>
    </w:p>
    <w:p>
      <w:pPr>
        <w:spacing w:line="360" w:lineRule="auto"/>
        <w:ind w:firstLine="420" w:firstLineChars="200"/>
        <w:jc w:val="center"/>
        <w:rPr>
          <w:rFonts w:ascii="宋体" w:hAnsi="宋体"/>
          <w:color w:val="auto"/>
          <w:szCs w:val="21"/>
          <w:highlight w:val="none"/>
          <w:u w:val="single"/>
        </w:rPr>
      </w:pPr>
      <w:bookmarkStart w:id="82" w:name="_Toc625"/>
      <w:bookmarkStart w:id="83" w:name="_Toc12222"/>
      <w:r>
        <w:rPr>
          <w:rFonts w:hint="eastAsia" w:ascii="宋体" w:hAnsi="宋体"/>
          <w:color w:val="auto"/>
          <w:szCs w:val="21"/>
          <w:highlight w:val="none"/>
        </w:rPr>
        <w:t>法定代表人或其委托代理人（签字）：</w:t>
      </w:r>
      <w:bookmarkEnd w:id="82"/>
      <w:bookmarkEnd w:id="83"/>
    </w:p>
    <w:p>
      <w:pPr>
        <w:jc w:val="center"/>
        <w:rPr>
          <w:rFonts w:ascii="宋体" w:hAnsi="宋体"/>
          <w:color w:val="auto"/>
          <w:szCs w:val="21"/>
          <w:highlight w:val="none"/>
        </w:rPr>
      </w:pPr>
    </w:p>
    <w:p>
      <w:pPr>
        <w:spacing w:line="360" w:lineRule="auto"/>
        <w:ind w:firstLine="420" w:firstLineChars="200"/>
        <w:jc w:val="center"/>
        <w:rPr>
          <w:rFonts w:ascii="宋体" w:hAnsi="宋体"/>
          <w:color w:val="auto"/>
          <w:szCs w:val="21"/>
          <w:highlight w:val="none"/>
        </w:rPr>
      </w:pPr>
      <w:bookmarkStart w:id="84" w:name="_Toc9950"/>
      <w:bookmarkStart w:id="85" w:name="_Toc1330"/>
      <w:r>
        <w:rPr>
          <w:rFonts w:hint="eastAsia" w:ascii="宋体" w:hAnsi="宋体"/>
          <w:color w:val="auto"/>
          <w:szCs w:val="21"/>
          <w:highlight w:val="none"/>
        </w:rPr>
        <w:t>年  月  日</w:t>
      </w:r>
      <w:bookmarkEnd w:id="84"/>
      <w:bookmarkEnd w:id="85"/>
    </w:p>
    <w:p>
      <w:pPr>
        <w:rPr>
          <w:color w:val="auto"/>
          <w:highlight w:val="none"/>
        </w:rPr>
      </w:pPr>
      <w:r>
        <w:rPr>
          <w:color w:val="auto"/>
          <w:highlight w:val="none"/>
        </w:rPr>
        <w:br w:type="page"/>
      </w:r>
    </w:p>
    <w:p>
      <w:pPr>
        <w:rPr>
          <w:color w:val="auto"/>
          <w:highlight w:val="none"/>
        </w:rPr>
      </w:pPr>
    </w:p>
    <w:bookmarkEnd w:id="60"/>
    <w:bookmarkEnd w:id="61"/>
    <w:p>
      <w:pPr>
        <w:pStyle w:val="2"/>
        <w:spacing w:before="20" w:after="20"/>
        <w:rPr>
          <w:color w:val="auto"/>
          <w:highlight w:val="none"/>
        </w:rPr>
      </w:pPr>
      <w:bookmarkStart w:id="86" w:name="_Toc22004"/>
      <w:bookmarkStart w:id="87" w:name="_Toc24984"/>
      <w:r>
        <w:rPr>
          <w:rFonts w:hint="eastAsia"/>
          <w:color w:val="auto"/>
          <w:highlight w:val="none"/>
        </w:rPr>
        <w:t>附件4               报价明细表</w:t>
      </w:r>
      <w:bookmarkEnd w:id="86"/>
      <w:bookmarkEnd w:id="87"/>
    </w:p>
    <w:p>
      <w:pPr>
        <w:widowControl/>
        <w:wordWrap w:val="0"/>
        <w:snapToGrid w:val="0"/>
        <w:spacing w:before="50" w:after="50"/>
        <w:ind w:left="-3" w:leftChars="-72" w:right="-817" w:rightChars="-389" w:hanging="148" w:hangingChars="62"/>
        <w:jc w:val="left"/>
        <w:rPr>
          <w:rFonts w:ascii="宋体" w:hAnsi="宋体" w:cs="宋体"/>
          <w:color w:val="auto"/>
          <w:kern w:val="0"/>
          <w:sz w:val="24"/>
          <w:highlight w:val="none"/>
        </w:rPr>
      </w:pPr>
      <w:r>
        <w:rPr>
          <w:rFonts w:hint="eastAsia" w:cs="宋体"/>
          <w:color w:val="auto"/>
          <w:kern w:val="0"/>
          <w:sz w:val="24"/>
          <w:highlight w:val="none"/>
          <w:lang w:val="en-US" w:eastAsia="zh-CN"/>
        </w:rPr>
        <w:t xml:space="preserve">                               </w:t>
      </w:r>
      <w:r>
        <w:rPr>
          <w:rFonts w:hint="eastAsia" w:ascii="宋体" w:hAnsi="宋体" w:cs="宋体"/>
          <w:color w:val="auto"/>
          <w:kern w:val="0"/>
          <w:sz w:val="24"/>
          <w:highlight w:val="none"/>
        </w:rPr>
        <w:t xml:space="preserve">                       金额单位：人民币（元）</w:t>
      </w:r>
    </w:p>
    <w:tbl>
      <w:tblPr>
        <w:tblStyle w:val="32"/>
        <w:tblW w:w="8301" w:type="dxa"/>
        <w:tblInd w:w="-25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2012"/>
        <w:gridCol w:w="1172"/>
        <w:gridCol w:w="1494"/>
        <w:gridCol w:w="1026"/>
        <w:gridCol w:w="1127"/>
        <w:gridCol w:w="93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4" w:hRule="atLeast"/>
        </w:trPr>
        <w:tc>
          <w:tcPr>
            <w:tcW w:w="540" w:type="dxa"/>
            <w:tcBorders>
              <w:top w:val="single" w:color="auto" w:sz="4" w:space="0"/>
              <w:left w:val="single" w:color="auto" w:sz="4" w:space="0"/>
              <w:bottom w:val="nil"/>
              <w:right w:val="single" w:color="auto" w:sz="4" w:space="0"/>
            </w:tcBorders>
            <w:vAlign w:val="center"/>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r>
              <w:rPr>
                <w:rFonts w:hint="eastAsia" w:ascii="宋体" w:hAnsi="宋体" w:cs="宋体"/>
                <w:color w:val="auto"/>
                <w:kern w:val="0"/>
                <w:sz w:val="24"/>
                <w:highlight w:val="none"/>
              </w:rPr>
              <w:t>序号</w:t>
            </w:r>
          </w:p>
        </w:tc>
        <w:tc>
          <w:tcPr>
            <w:tcW w:w="2012" w:type="dxa"/>
            <w:tcBorders>
              <w:top w:val="single" w:color="auto" w:sz="4" w:space="0"/>
              <w:left w:val="single" w:color="auto" w:sz="4" w:space="0"/>
              <w:bottom w:val="nil"/>
              <w:right w:val="single" w:color="auto" w:sz="4" w:space="0"/>
            </w:tcBorders>
            <w:vAlign w:val="center"/>
          </w:tcPr>
          <w:p>
            <w:pPr>
              <w:widowControl/>
              <w:snapToGrid w:val="0"/>
              <w:spacing w:before="50" w:after="50"/>
              <w:jc w:val="center"/>
              <w:rPr>
                <w:rFonts w:ascii="宋体" w:hAnsi="宋体" w:cs="宋体"/>
                <w:color w:val="auto"/>
                <w:kern w:val="0"/>
                <w:sz w:val="24"/>
                <w:highlight w:val="none"/>
              </w:rPr>
            </w:pPr>
            <w:r>
              <w:rPr>
                <w:rFonts w:hint="eastAsia" w:ascii="宋体" w:hAnsi="宋体" w:cs="宋体"/>
                <w:color w:val="auto"/>
                <w:kern w:val="0"/>
                <w:sz w:val="24"/>
                <w:highlight w:val="none"/>
              </w:rPr>
              <w:t>货物名称</w:t>
            </w:r>
          </w:p>
        </w:tc>
        <w:tc>
          <w:tcPr>
            <w:tcW w:w="1172" w:type="dxa"/>
            <w:tcBorders>
              <w:top w:val="single" w:color="auto" w:sz="4" w:space="0"/>
              <w:left w:val="single" w:color="auto" w:sz="4" w:space="0"/>
              <w:bottom w:val="nil"/>
              <w:right w:val="single" w:color="auto" w:sz="4" w:space="0"/>
            </w:tcBorders>
            <w:vAlign w:val="center"/>
          </w:tcPr>
          <w:p>
            <w:pPr>
              <w:widowControl/>
              <w:tabs>
                <w:tab w:val="left" w:pos="1418"/>
              </w:tabs>
              <w:snapToGrid w:val="0"/>
              <w:spacing w:before="50" w:after="50" w:line="360" w:lineRule="exact"/>
              <w:jc w:val="center"/>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品牌</w:t>
            </w:r>
          </w:p>
        </w:tc>
        <w:tc>
          <w:tcPr>
            <w:tcW w:w="1494" w:type="dxa"/>
            <w:tcBorders>
              <w:top w:val="single" w:color="auto" w:sz="4" w:space="0"/>
              <w:left w:val="single" w:color="auto" w:sz="4" w:space="0"/>
              <w:bottom w:val="nil"/>
              <w:right w:val="single" w:color="auto" w:sz="4" w:space="0"/>
            </w:tcBorders>
            <w:vAlign w:val="center"/>
          </w:tcPr>
          <w:p>
            <w:pPr>
              <w:widowControl/>
              <w:tabs>
                <w:tab w:val="left" w:pos="1418"/>
              </w:tabs>
              <w:snapToGrid w:val="0"/>
              <w:spacing w:before="50" w:after="50" w:line="360" w:lineRule="exact"/>
              <w:jc w:val="center"/>
              <w:rPr>
                <w:rFonts w:hint="default" w:ascii="宋体" w:hAnsi="宋体" w:eastAsia="宋体" w:cs="宋体"/>
                <w:color w:val="auto"/>
                <w:spacing w:val="20"/>
                <w:kern w:val="0"/>
                <w:sz w:val="24"/>
                <w:highlight w:val="none"/>
                <w:lang w:val="en-US" w:eastAsia="zh-CN"/>
              </w:rPr>
            </w:pPr>
            <w:r>
              <w:rPr>
                <w:rFonts w:hint="eastAsia" w:ascii="宋体" w:hAnsi="宋体" w:cs="宋体"/>
                <w:color w:val="auto"/>
                <w:kern w:val="0"/>
                <w:sz w:val="24"/>
                <w:highlight w:val="none"/>
              </w:rPr>
              <w:t>规格/</w:t>
            </w:r>
            <w:r>
              <w:rPr>
                <w:rFonts w:hint="eastAsia" w:ascii="宋体" w:hAnsi="宋体" w:cs="宋体"/>
                <w:color w:val="auto"/>
                <w:kern w:val="0"/>
                <w:sz w:val="24"/>
                <w:highlight w:val="none"/>
                <w:lang w:val="en-US" w:eastAsia="zh-CN"/>
              </w:rPr>
              <w:t>型号</w:t>
            </w:r>
          </w:p>
        </w:tc>
        <w:tc>
          <w:tcPr>
            <w:tcW w:w="1026" w:type="dxa"/>
            <w:tcBorders>
              <w:top w:val="single" w:color="auto" w:sz="4" w:space="0"/>
              <w:left w:val="single" w:color="auto" w:sz="4" w:space="0"/>
              <w:bottom w:val="nil"/>
              <w:right w:val="single" w:color="auto" w:sz="4" w:space="0"/>
            </w:tcBorders>
            <w:vAlign w:val="center"/>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r>
              <w:rPr>
                <w:rFonts w:hint="eastAsia" w:ascii="宋体" w:hAnsi="宋体" w:cs="宋体"/>
                <w:color w:val="auto"/>
                <w:kern w:val="0"/>
                <w:sz w:val="24"/>
                <w:highlight w:val="none"/>
              </w:rPr>
              <w:t>单位</w:t>
            </w:r>
          </w:p>
        </w:tc>
        <w:tc>
          <w:tcPr>
            <w:tcW w:w="1127" w:type="dxa"/>
            <w:tcBorders>
              <w:top w:val="single" w:color="auto" w:sz="4" w:space="0"/>
              <w:left w:val="single" w:color="auto" w:sz="4" w:space="0"/>
              <w:bottom w:val="nil"/>
              <w:right w:val="single" w:color="auto" w:sz="4" w:space="0"/>
            </w:tcBorders>
            <w:vAlign w:val="center"/>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r>
              <w:rPr>
                <w:rFonts w:hint="eastAsia" w:ascii="宋体" w:hAnsi="宋体" w:cs="宋体"/>
                <w:color w:val="auto"/>
                <w:kern w:val="0"/>
                <w:sz w:val="24"/>
                <w:highlight w:val="none"/>
              </w:rPr>
              <w:t>数量</w:t>
            </w:r>
          </w:p>
        </w:tc>
        <w:tc>
          <w:tcPr>
            <w:tcW w:w="930" w:type="dxa"/>
            <w:tcBorders>
              <w:top w:val="single" w:color="auto" w:sz="4" w:space="0"/>
              <w:left w:val="single" w:color="auto" w:sz="4" w:space="0"/>
              <w:bottom w:val="nil"/>
              <w:right w:val="single" w:color="auto" w:sz="4" w:space="0"/>
            </w:tcBorders>
            <w:vAlign w:val="center"/>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r>
              <w:rPr>
                <w:rFonts w:hint="eastAsia" w:ascii="宋体" w:hAnsi="宋体" w:cs="宋体"/>
                <w:color w:val="auto"/>
                <w:kern w:val="0"/>
                <w:sz w:val="24"/>
                <w:highlight w:val="none"/>
              </w:rPr>
              <w:t>单价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201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7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494"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02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2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93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201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7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494"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02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2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93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54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201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7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494"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02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2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93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201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7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494"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02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2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93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201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7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494"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02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2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93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201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7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494"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02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2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93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201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7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494"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02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2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93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369" w:hRule="atLeast"/>
        </w:trPr>
        <w:tc>
          <w:tcPr>
            <w:tcW w:w="54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201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7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494"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02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2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93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1" w:hRule="atLeast"/>
        </w:trPr>
        <w:tc>
          <w:tcPr>
            <w:tcW w:w="54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201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r>
              <w:rPr>
                <w:rFonts w:hint="eastAsia" w:ascii="宋体" w:hAnsi="宋体" w:cs="宋体"/>
                <w:color w:val="auto"/>
                <w:spacing w:val="20"/>
                <w:kern w:val="0"/>
                <w:sz w:val="24"/>
                <w:highlight w:val="none"/>
              </w:rPr>
              <w:t xml:space="preserve">…… </w:t>
            </w:r>
          </w:p>
        </w:tc>
        <w:tc>
          <w:tcPr>
            <w:tcW w:w="117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494"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02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2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93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371" w:type="dxa"/>
            <w:gridSpan w:val="6"/>
            <w:tcBorders>
              <w:top w:val="single" w:color="auto" w:sz="4" w:space="0"/>
              <w:left w:val="single" w:color="auto" w:sz="4" w:space="0"/>
              <w:bottom w:val="single" w:color="auto" w:sz="4" w:space="0"/>
              <w:right w:val="single" w:color="auto" w:sz="4" w:space="0"/>
            </w:tcBorders>
            <w:vAlign w:val="top"/>
          </w:tcPr>
          <w:p>
            <w:pPr>
              <w:widowControl/>
              <w:tabs>
                <w:tab w:val="left" w:pos="1418"/>
              </w:tabs>
              <w:snapToGrid w:val="0"/>
              <w:spacing w:before="50" w:after="50" w:line="360" w:lineRule="exact"/>
              <w:jc w:val="left"/>
              <w:rPr>
                <w:rFonts w:hint="default" w:ascii="宋体" w:hAnsi="宋体" w:eastAsia="宋体" w:cs="宋体"/>
                <w:color w:val="auto"/>
                <w:spacing w:val="20"/>
                <w:kern w:val="0"/>
                <w:sz w:val="24"/>
                <w:highlight w:val="none"/>
                <w:lang w:val="en-US" w:eastAsia="zh-CN"/>
              </w:rPr>
            </w:pPr>
            <w:r>
              <w:rPr>
                <w:rFonts w:hint="eastAsia" w:ascii="宋体" w:hAnsi="宋体" w:cs="宋体"/>
                <w:color w:val="auto"/>
                <w:spacing w:val="20"/>
                <w:kern w:val="0"/>
                <w:sz w:val="24"/>
                <w:highlight w:val="none"/>
              </w:rPr>
              <w:t>投标总价(</w:t>
            </w:r>
            <w:r>
              <w:rPr>
                <w:rFonts w:hint="eastAsia" w:ascii="宋体" w:hAnsi="宋体" w:cs="宋体"/>
                <w:color w:val="auto"/>
                <w:kern w:val="0"/>
                <w:sz w:val="24"/>
                <w:szCs w:val="21"/>
                <w:highlight w:val="none"/>
              </w:rPr>
              <w:t>大写)：</w:t>
            </w:r>
          </w:p>
        </w:tc>
        <w:tc>
          <w:tcPr>
            <w:tcW w:w="930" w:type="dxa"/>
            <w:tcBorders>
              <w:top w:val="single" w:color="auto" w:sz="4" w:space="0"/>
              <w:left w:val="single" w:color="auto" w:sz="4" w:space="0"/>
              <w:bottom w:val="single" w:color="auto" w:sz="4" w:space="0"/>
              <w:right w:val="single" w:color="auto" w:sz="4" w:space="0"/>
            </w:tcBorders>
            <w:vAlign w:val="top"/>
          </w:tcPr>
          <w:p>
            <w:pPr>
              <w:widowControl/>
              <w:tabs>
                <w:tab w:val="left" w:pos="1418"/>
              </w:tabs>
              <w:snapToGrid w:val="0"/>
              <w:spacing w:before="50" w:after="50" w:line="360" w:lineRule="exact"/>
              <w:jc w:val="left"/>
              <w:rPr>
                <w:rFonts w:hint="eastAsia" w:ascii="宋体" w:hAnsi="宋体" w:cs="宋体"/>
                <w:color w:val="auto"/>
                <w:spacing w:val="20"/>
                <w:kern w:val="0"/>
                <w:sz w:val="24"/>
                <w:highlight w:val="none"/>
                <w:lang w:val="en-US" w:eastAsia="zh-CN"/>
              </w:rPr>
            </w:pPr>
            <w:r>
              <w:rPr>
                <w:rFonts w:hint="eastAsia" w:ascii="宋体" w:hAnsi="宋体" w:cs="宋体"/>
                <w:color w:val="auto"/>
                <w:kern w:val="0"/>
                <w:sz w:val="24"/>
                <w:szCs w:val="21"/>
                <w:highlight w:val="none"/>
              </w:rPr>
              <w:t>￥</w:t>
            </w:r>
          </w:p>
        </w:tc>
      </w:tr>
    </w:tbl>
    <w:p>
      <w:pPr>
        <w:widowControl/>
        <w:wordWrap w:val="0"/>
        <w:spacing w:line="460" w:lineRule="exact"/>
        <w:ind w:firstLine="2760" w:firstLineChars="1150"/>
        <w:jc w:val="left"/>
        <w:rPr>
          <w:rFonts w:ascii="宋体" w:hAnsi="宋体" w:cs="宋体"/>
          <w:color w:val="auto"/>
          <w:kern w:val="0"/>
          <w:sz w:val="24"/>
          <w:highlight w:val="none"/>
        </w:rPr>
      </w:pPr>
    </w:p>
    <w:p>
      <w:pPr>
        <w:widowControl/>
        <w:wordWrap w:val="0"/>
        <w:spacing w:line="460" w:lineRule="exact"/>
        <w:ind w:firstLine="2760" w:firstLineChars="1150"/>
        <w:jc w:val="left"/>
        <w:rPr>
          <w:rFonts w:ascii="宋体" w:hAnsi="宋体" w:cs="宋体"/>
          <w:color w:val="auto"/>
          <w:kern w:val="0"/>
          <w:sz w:val="24"/>
          <w:highlight w:val="none"/>
        </w:rPr>
      </w:pPr>
    </w:p>
    <w:p>
      <w:pPr>
        <w:widowControl/>
        <w:wordWrap w:val="0"/>
        <w:spacing w:line="460" w:lineRule="exact"/>
        <w:ind w:firstLine="2760" w:firstLineChars="1150"/>
        <w:jc w:val="left"/>
        <w:rPr>
          <w:rFonts w:ascii="宋体" w:hAnsi="宋体" w:cs="宋体"/>
          <w:color w:val="auto"/>
          <w:kern w:val="0"/>
          <w:sz w:val="24"/>
          <w:highlight w:val="none"/>
        </w:rPr>
      </w:pPr>
    </w:p>
    <w:p>
      <w:pPr>
        <w:widowControl/>
        <w:wordWrap w:val="0"/>
        <w:spacing w:line="460" w:lineRule="exact"/>
        <w:ind w:firstLine="2760" w:firstLineChars="1150"/>
        <w:jc w:val="left"/>
        <w:rPr>
          <w:rFonts w:ascii="宋体" w:hAnsi="宋体" w:cs="宋体"/>
          <w:color w:val="auto"/>
          <w:kern w:val="0"/>
          <w:sz w:val="24"/>
          <w:highlight w:val="none"/>
        </w:rPr>
      </w:pPr>
    </w:p>
    <w:p>
      <w:pPr>
        <w:widowControl/>
        <w:wordWrap w:val="0"/>
        <w:spacing w:line="460" w:lineRule="exact"/>
        <w:ind w:firstLine="2760" w:firstLineChars="1150"/>
        <w:jc w:val="left"/>
        <w:rPr>
          <w:rFonts w:ascii="宋体" w:hAnsi="宋体" w:cs="宋体"/>
          <w:color w:val="auto"/>
          <w:kern w:val="0"/>
          <w:sz w:val="24"/>
          <w:highlight w:val="none"/>
        </w:rPr>
      </w:pPr>
    </w:p>
    <w:p>
      <w:pPr>
        <w:widowControl/>
        <w:wordWrap w:val="0"/>
        <w:spacing w:line="460" w:lineRule="exact"/>
        <w:ind w:firstLine="2760" w:firstLineChars="1150"/>
        <w:jc w:val="left"/>
        <w:rPr>
          <w:rFonts w:ascii="宋体" w:hAnsi="宋体" w:cs="宋体"/>
          <w:color w:val="auto"/>
          <w:kern w:val="0"/>
          <w:sz w:val="24"/>
          <w:highlight w:val="none"/>
        </w:rPr>
      </w:pPr>
    </w:p>
    <w:p>
      <w:pPr>
        <w:widowControl/>
        <w:wordWrap w:val="0"/>
        <w:spacing w:line="460" w:lineRule="exact"/>
        <w:ind w:firstLine="2760" w:firstLineChars="1150"/>
        <w:jc w:val="left"/>
        <w:rPr>
          <w:rFonts w:ascii="宋体" w:hAnsi="宋体" w:cs="宋体"/>
          <w:color w:val="auto"/>
          <w:kern w:val="0"/>
          <w:sz w:val="24"/>
          <w:highlight w:val="none"/>
        </w:rPr>
      </w:pPr>
    </w:p>
    <w:p>
      <w:pPr>
        <w:widowControl/>
        <w:wordWrap w:val="0"/>
        <w:spacing w:line="460" w:lineRule="exact"/>
        <w:ind w:firstLine="2760" w:firstLineChars="1150"/>
        <w:jc w:val="left"/>
        <w:rPr>
          <w:rFonts w:ascii="宋体" w:hAnsi="宋体" w:cs="宋体"/>
          <w:color w:val="auto"/>
          <w:kern w:val="0"/>
          <w:sz w:val="24"/>
          <w:highlight w:val="none"/>
          <w:u w:val="single"/>
        </w:rPr>
      </w:pPr>
      <w:r>
        <w:rPr>
          <w:rFonts w:hint="eastAsia" w:ascii="宋体" w:hAnsi="宋体" w:cs="宋体"/>
          <w:color w:val="auto"/>
          <w:kern w:val="0"/>
          <w:sz w:val="24"/>
          <w:highlight w:val="none"/>
        </w:rPr>
        <w:t xml:space="preserve">投标人代表签字： </w:t>
      </w:r>
    </w:p>
    <w:p>
      <w:pPr>
        <w:widowControl/>
        <w:wordWrap w:val="0"/>
        <w:snapToGrid w:val="0"/>
        <w:spacing w:line="460" w:lineRule="exact"/>
        <w:ind w:firstLine="2760" w:firstLineChars="1150"/>
        <w:jc w:val="left"/>
        <w:rPr>
          <w:rFonts w:ascii="宋体" w:hAnsi="宋体" w:cs="宋体"/>
          <w:color w:val="auto"/>
          <w:kern w:val="0"/>
          <w:sz w:val="52"/>
          <w:szCs w:val="52"/>
          <w:highlight w:val="none"/>
        </w:rPr>
      </w:pPr>
      <w:r>
        <w:rPr>
          <w:rFonts w:hint="eastAsia" w:ascii="宋体" w:hAnsi="宋体" w:cs="宋体"/>
          <w:color w:val="auto"/>
          <w:kern w:val="0"/>
          <w:sz w:val="24"/>
          <w:highlight w:val="none"/>
        </w:rPr>
        <w:t>投标人：（全称并加盖公章）</w:t>
      </w:r>
    </w:p>
    <w:p>
      <w:pPr>
        <w:widowControl/>
        <w:wordWrap w:val="0"/>
        <w:snapToGrid w:val="0"/>
        <w:spacing w:line="460" w:lineRule="exact"/>
        <w:ind w:firstLine="1040" w:firstLineChars="200"/>
        <w:jc w:val="left"/>
        <w:rPr>
          <w:rFonts w:ascii="宋体" w:hAnsi="宋体" w:cs="宋体"/>
          <w:color w:val="auto"/>
          <w:kern w:val="0"/>
          <w:sz w:val="52"/>
          <w:szCs w:val="52"/>
          <w:highlight w:val="none"/>
          <w:u w:val="single"/>
        </w:rPr>
      </w:pPr>
    </w:p>
    <w:p>
      <w:pPr>
        <w:widowControl/>
        <w:wordWrap w:val="0"/>
        <w:spacing w:line="460" w:lineRule="exact"/>
        <w:ind w:firstLine="4800" w:firstLineChars="2000"/>
        <w:jc w:val="left"/>
        <w:rPr>
          <w:color w:val="auto"/>
          <w:highlight w:val="none"/>
        </w:rPr>
      </w:pPr>
      <w:r>
        <w:rPr>
          <w:rFonts w:hint="eastAsia" w:ascii="宋体" w:hAnsi="宋体" w:cs="宋体"/>
          <w:color w:val="auto"/>
          <w:kern w:val="0"/>
          <w:sz w:val="24"/>
          <w:highlight w:val="none"/>
        </w:rPr>
        <w:t>年    月    日</w:t>
      </w:r>
    </w:p>
    <w:p>
      <w:pPr>
        <w:pStyle w:val="2"/>
        <w:rPr>
          <w:color w:val="auto"/>
          <w:highlight w:val="none"/>
        </w:rPr>
      </w:pPr>
      <w:r>
        <w:rPr>
          <w:rFonts w:hint="eastAsia"/>
          <w:color w:val="auto"/>
          <w:highlight w:val="none"/>
        </w:rPr>
        <w:br w:type="page"/>
      </w:r>
      <w:bookmarkStart w:id="88" w:name="_Toc226"/>
      <w:bookmarkStart w:id="89" w:name="_Toc15804"/>
      <w:r>
        <w:rPr>
          <w:rFonts w:hint="eastAsia"/>
          <w:color w:val="auto"/>
          <w:highlight w:val="none"/>
        </w:rPr>
        <w:t>附件5               技术响应表（格式）</w:t>
      </w:r>
      <w:bookmarkEnd w:id="88"/>
      <w:bookmarkEnd w:id="89"/>
    </w:p>
    <w:p>
      <w:pPr>
        <w:widowControl/>
        <w:wordWrap w:val="0"/>
        <w:snapToGrid w:val="0"/>
        <w:spacing w:before="50" w:afterLines="50"/>
        <w:jc w:val="left"/>
        <w:rPr>
          <w:rFonts w:hint="eastAsia" w:ascii="宋体" w:hAnsi="宋体" w:eastAsia="宋体" w:cs="宋体"/>
          <w:color w:val="auto"/>
          <w:kern w:val="0"/>
          <w:sz w:val="24"/>
          <w:highlight w:val="none"/>
          <w:u w:val="single"/>
          <w:lang w:eastAsia="zh-CN"/>
        </w:rPr>
      </w:pPr>
      <w:r>
        <w:rPr>
          <w:rFonts w:hint="eastAsia" w:cs="宋体"/>
          <w:color w:val="auto"/>
          <w:kern w:val="0"/>
          <w:sz w:val="24"/>
          <w:highlight w:val="none"/>
          <w:lang w:val="en-US" w:eastAsia="zh-CN"/>
        </w:rPr>
        <w:t xml:space="preserve"> </w:t>
      </w:r>
    </w:p>
    <w:tbl>
      <w:tblPr>
        <w:tblStyle w:val="33"/>
        <w:tblpPr w:leftFromText="180" w:rightFromText="180" w:vertAnchor="text" w:horzAnchor="page" w:tblpX="1410" w:tblpY="53"/>
        <w:tblOverlap w:val="never"/>
        <w:tblW w:w="89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9"/>
        <w:gridCol w:w="1712"/>
        <w:gridCol w:w="2114"/>
        <w:gridCol w:w="2273"/>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trPr>
        <w:tc>
          <w:tcPr>
            <w:tcW w:w="869" w:type="dxa"/>
            <w:vAlign w:val="center"/>
          </w:tcPr>
          <w:p>
            <w:pPr>
              <w:jc w:val="center"/>
              <w:rPr>
                <w:color w:val="auto"/>
                <w:sz w:val="24"/>
                <w:highlight w:val="none"/>
              </w:rPr>
            </w:pPr>
            <w:r>
              <w:rPr>
                <w:rFonts w:hint="eastAsia"/>
                <w:color w:val="auto"/>
                <w:sz w:val="24"/>
                <w:highlight w:val="none"/>
              </w:rPr>
              <w:t>序号</w:t>
            </w:r>
          </w:p>
        </w:tc>
        <w:tc>
          <w:tcPr>
            <w:tcW w:w="1712" w:type="dxa"/>
            <w:vAlign w:val="center"/>
          </w:tcPr>
          <w:p>
            <w:pPr>
              <w:jc w:val="center"/>
              <w:rPr>
                <w:color w:val="auto"/>
                <w:sz w:val="24"/>
                <w:highlight w:val="none"/>
              </w:rPr>
            </w:pPr>
            <w:r>
              <w:rPr>
                <w:rFonts w:hint="eastAsia"/>
                <w:color w:val="auto"/>
                <w:sz w:val="24"/>
                <w:highlight w:val="none"/>
              </w:rPr>
              <w:t>货物名称</w:t>
            </w:r>
          </w:p>
        </w:tc>
        <w:tc>
          <w:tcPr>
            <w:tcW w:w="2114" w:type="dxa"/>
            <w:vAlign w:val="center"/>
          </w:tcPr>
          <w:p>
            <w:pPr>
              <w:spacing w:line="360" w:lineRule="auto"/>
              <w:jc w:val="center"/>
              <w:rPr>
                <w:color w:val="auto"/>
                <w:sz w:val="24"/>
                <w:highlight w:val="none"/>
              </w:rPr>
            </w:pPr>
            <w:r>
              <w:rPr>
                <w:rFonts w:hint="eastAsia" w:ascii="宋体" w:hAnsi="宋体" w:cs="宋体"/>
                <w:color w:val="auto"/>
                <w:kern w:val="0"/>
                <w:sz w:val="24"/>
                <w:highlight w:val="none"/>
                <w:lang w:val="en-US" w:eastAsia="zh-CN"/>
              </w:rPr>
              <w:t>采购</w:t>
            </w:r>
            <w:r>
              <w:rPr>
                <w:rFonts w:hint="eastAsia" w:ascii="宋体" w:hAnsi="宋体" w:cs="宋体"/>
                <w:color w:val="auto"/>
                <w:kern w:val="0"/>
                <w:sz w:val="24"/>
                <w:highlight w:val="none"/>
              </w:rPr>
              <w:t>文件要求</w:t>
            </w:r>
          </w:p>
        </w:tc>
        <w:tc>
          <w:tcPr>
            <w:tcW w:w="2273" w:type="dxa"/>
            <w:vAlign w:val="center"/>
          </w:tcPr>
          <w:p>
            <w:pPr>
              <w:spacing w:line="360" w:lineRule="auto"/>
              <w:jc w:val="center"/>
              <w:rPr>
                <w:rFonts w:ascii="宋体" w:hAnsi="宋体" w:cs="宋体"/>
                <w:color w:val="auto"/>
                <w:sz w:val="24"/>
                <w:highlight w:val="none"/>
              </w:rPr>
            </w:pPr>
            <w:r>
              <w:rPr>
                <w:rFonts w:hint="eastAsia" w:ascii="宋体" w:hAnsi="宋体" w:cs="宋体"/>
                <w:color w:val="auto"/>
                <w:kern w:val="0"/>
                <w:sz w:val="24"/>
                <w:highlight w:val="none"/>
              </w:rPr>
              <w:t>投标文件响应</w:t>
            </w:r>
          </w:p>
        </w:tc>
        <w:tc>
          <w:tcPr>
            <w:tcW w:w="1952" w:type="dxa"/>
            <w:vAlign w:val="center"/>
          </w:tcPr>
          <w:p>
            <w:pPr>
              <w:spacing w:line="360" w:lineRule="auto"/>
              <w:jc w:val="center"/>
              <w:rPr>
                <w:rFonts w:ascii="宋体" w:hAnsi="宋体" w:cs="宋体"/>
                <w:color w:val="auto"/>
                <w:sz w:val="24"/>
                <w:highlight w:val="none"/>
              </w:rPr>
            </w:pPr>
            <w:r>
              <w:rPr>
                <w:rFonts w:hint="eastAsia" w:ascii="宋体" w:hAnsi="宋体" w:cs="宋体"/>
                <w:color w:val="auto"/>
                <w:kern w:val="0"/>
                <w:sz w:val="24"/>
                <w:highlight w:val="none"/>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869" w:type="dxa"/>
            <w:vAlign w:val="center"/>
          </w:tcPr>
          <w:p>
            <w:pPr>
              <w:jc w:val="center"/>
              <w:rPr>
                <w:color w:val="auto"/>
                <w:sz w:val="24"/>
                <w:highlight w:val="none"/>
              </w:rPr>
            </w:pPr>
            <w:r>
              <w:rPr>
                <w:rFonts w:hint="eastAsia"/>
                <w:color w:val="auto"/>
                <w:sz w:val="24"/>
                <w:highlight w:val="none"/>
              </w:rPr>
              <w:t>1</w:t>
            </w:r>
          </w:p>
        </w:tc>
        <w:tc>
          <w:tcPr>
            <w:tcW w:w="1712" w:type="dxa"/>
            <w:vAlign w:val="center"/>
          </w:tcPr>
          <w:p>
            <w:pPr>
              <w:jc w:val="center"/>
              <w:rPr>
                <w:color w:val="auto"/>
                <w:sz w:val="24"/>
                <w:highlight w:val="none"/>
              </w:rPr>
            </w:pPr>
          </w:p>
        </w:tc>
        <w:tc>
          <w:tcPr>
            <w:tcW w:w="2114" w:type="dxa"/>
            <w:vAlign w:val="center"/>
          </w:tcPr>
          <w:p>
            <w:pPr>
              <w:jc w:val="center"/>
              <w:rPr>
                <w:color w:val="auto"/>
                <w:sz w:val="24"/>
                <w:highlight w:val="none"/>
              </w:rPr>
            </w:pPr>
          </w:p>
        </w:tc>
        <w:tc>
          <w:tcPr>
            <w:tcW w:w="2273" w:type="dxa"/>
            <w:vAlign w:val="center"/>
          </w:tcPr>
          <w:p>
            <w:pPr>
              <w:jc w:val="center"/>
              <w:rPr>
                <w:color w:val="auto"/>
                <w:sz w:val="24"/>
                <w:highlight w:val="none"/>
              </w:rPr>
            </w:pPr>
          </w:p>
        </w:tc>
        <w:tc>
          <w:tcPr>
            <w:tcW w:w="1952" w:type="dxa"/>
            <w:vAlign w:val="center"/>
          </w:tcPr>
          <w:p>
            <w:pPr>
              <w:jc w:val="center"/>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869" w:type="dxa"/>
            <w:vAlign w:val="center"/>
          </w:tcPr>
          <w:p>
            <w:pPr>
              <w:jc w:val="center"/>
              <w:rPr>
                <w:color w:val="auto"/>
                <w:sz w:val="24"/>
                <w:highlight w:val="none"/>
              </w:rPr>
            </w:pPr>
            <w:r>
              <w:rPr>
                <w:rFonts w:hint="eastAsia"/>
                <w:color w:val="auto"/>
                <w:sz w:val="24"/>
                <w:highlight w:val="none"/>
              </w:rPr>
              <w:t>2</w:t>
            </w:r>
          </w:p>
        </w:tc>
        <w:tc>
          <w:tcPr>
            <w:tcW w:w="1712" w:type="dxa"/>
            <w:vAlign w:val="center"/>
          </w:tcPr>
          <w:p>
            <w:pPr>
              <w:jc w:val="center"/>
              <w:rPr>
                <w:color w:val="auto"/>
                <w:sz w:val="24"/>
                <w:highlight w:val="none"/>
              </w:rPr>
            </w:pPr>
          </w:p>
        </w:tc>
        <w:tc>
          <w:tcPr>
            <w:tcW w:w="2114" w:type="dxa"/>
            <w:vAlign w:val="center"/>
          </w:tcPr>
          <w:p>
            <w:pPr>
              <w:jc w:val="center"/>
              <w:rPr>
                <w:color w:val="auto"/>
                <w:sz w:val="24"/>
                <w:highlight w:val="none"/>
              </w:rPr>
            </w:pPr>
          </w:p>
        </w:tc>
        <w:tc>
          <w:tcPr>
            <w:tcW w:w="2273" w:type="dxa"/>
            <w:vAlign w:val="center"/>
          </w:tcPr>
          <w:p>
            <w:pPr>
              <w:jc w:val="center"/>
              <w:rPr>
                <w:bCs/>
                <w:color w:val="auto"/>
                <w:sz w:val="24"/>
                <w:highlight w:val="none"/>
              </w:rPr>
            </w:pPr>
          </w:p>
        </w:tc>
        <w:tc>
          <w:tcPr>
            <w:tcW w:w="1952" w:type="dxa"/>
            <w:vAlign w:val="center"/>
          </w:tcPr>
          <w:p>
            <w:pPr>
              <w:jc w:val="center"/>
              <w:rPr>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869" w:type="dxa"/>
            <w:vAlign w:val="center"/>
          </w:tcPr>
          <w:p>
            <w:pPr>
              <w:jc w:val="center"/>
              <w:rPr>
                <w:color w:val="auto"/>
                <w:sz w:val="24"/>
                <w:highlight w:val="none"/>
              </w:rPr>
            </w:pPr>
            <w:r>
              <w:rPr>
                <w:rFonts w:hint="eastAsia"/>
                <w:color w:val="auto"/>
                <w:sz w:val="24"/>
                <w:highlight w:val="none"/>
              </w:rPr>
              <w:t>3</w:t>
            </w:r>
          </w:p>
        </w:tc>
        <w:tc>
          <w:tcPr>
            <w:tcW w:w="1712" w:type="dxa"/>
            <w:vAlign w:val="center"/>
          </w:tcPr>
          <w:p>
            <w:pPr>
              <w:jc w:val="center"/>
              <w:rPr>
                <w:color w:val="auto"/>
                <w:sz w:val="24"/>
                <w:highlight w:val="none"/>
              </w:rPr>
            </w:pPr>
          </w:p>
        </w:tc>
        <w:tc>
          <w:tcPr>
            <w:tcW w:w="2114" w:type="dxa"/>
            <w:vAlign w:val="center"/>
          </w:tcPr>
          <w:p>
            <w:pPr>
              <w:jc w:val="center"/>
              <w:rPr>
                <w:color w:val="auto"/>
                <w:sz w:val="24"/>
                <w:highlight w:val="none"/>
              </w:rPr>
            </w:pPr>
          </w:p>
        </w:tc>
        <w:tc>
          <w:tcPr>
            <w:tcW w:w="2273" w:type="dxa"/>
            <w:vAlign w:val="center"/>
          </w:tcPr>
          <w:p>
            <w:pPr>
              <w:jc w:val="center"/>
              <w:rPr>
                <w:bCs/>
                <w:color w:val="auto"/>
                <w:sz w:val="24"/>
                <w:highlight w:val="none"/>
              </w:rPr>
            </w:pPr>
          </w:p>
        </w:tc>
        <w:tc>
          <w:tcPr>
            <w:tcW w:w="1952" w:type="dxa"/>
            <w:vAlign w:val="center"/>
          </w:tcPr>
          <w:p>
            <w:pPr>
              <w:jc w:val="center"/>
              <w:rPr>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869" w:type="dxa"/>
            <w:vAlign w:val="center"/>
          </w:tcPr>
          <w:p>
            <w:pPr>
              <w:jc w:val="center"/>
              <w:rPr>
                <w:color w:val="auto"/>
                <w:sz w:val="24"/>
                <w:highlight w:val="none"/>
              </w:rPr>
            </w:pPr>
            <w:r>
              <w:rPr>
                <w:rFonts w:hint="eastAsia"/>
                <w:color w:val="auto"/>
                <w:sz w:val="24"/>
                <w:highlight w:val="none"/>
              </w:rPr>
              <w:t>4</w:t>
            </w:r>
          </w:p>
        </w:tc>
        <w:tc>
          <w:tcPr>
            <w:tcW w:w="1712" w:type="dxa"/>
            <w:vAlign w:val="center"/>
          </w:tcPr>
          <w:p>
            <w:pPr>
              <w:jc w:val="center"/>
              <w:rPr>
                <w:color w:val="auto"/>
                <w:sz w:val="24"/>
                <w:highlight w:val="none"/>
              </w:rPr>
            </w:pPr>
          </w:p>
        </w:tc>
        <w:tc>
          <w:tcPr>
            <w:tcW w:w="2114" w:type="dxa"/>
            <w:vAlign w:val="center"/>
          </w:tcPr>
          <w:p>
            <w:pPr>
              <w:jc w:val="center"/>
              <w:rPr>
                <w:color w:val="auto"/>
                <w:sz w:val="24"/>
                <w:highlight w:val="none"/>
              </w:rPr>
            </w:pPr>
          </w:p>
        </w:tc>
        <w:tc>
          <w:tcPr>
            <w:tcW w:w="2273" w:type="dxa"/>
            <w:vAlign w:val="center"/>
          </w:tcPr>
          <w:p>
            <w:pPr>
              <w:jc w:val="center"/>
              <w:rPr>
                <w:bCs/>
                <w:color w:val="auto"/>
                <w:sz w:val="24"/>
                <w:highlight w:val="none"/>
              </w:rPr>
            </w:pPr>
          </w:p>
        </w:tc>
        <w:tc>
          <w:tcPr>
            <w:tcW w:w="1952" w:type="dxa"/>
            <w:vAlign w:val="center"/>
          </w:tcPr>
          <w:p>
            <w:pPr>
              <w:jc w:val="center"/>
              <w:rPr>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869" w:type="dxa"/>
            <w:vAlign w:val="center"/>
          </w:tcPr>
          <w:p>
            <w:pPr>
              <w:jc w:val="center"/>
              <w:rPr>
                <w:color w:val="auto"/>
                <w:sz w:val="24"/>
                <w:highlight w:val="none"/>
              </w:rPr>
            </w:pPr>
            <w:r>
              <w:rPr>
                <w:rFonts w:hint="eastAsia"/>
                <w:color w:val="auto"/>
                <w:sz w:val="24"/>
                <w:highlight w:val="none"/>
              </w:rPr>
              <w:t>...</w:t>
            </w:r>
          </w:p>
        </w:tc>
        <w:tc>
          <w:tcPr>
            <w:tcW w:w="1712" w:type="dxa"/>
            <w:vAlign w:val="center"/>
          </w:tcPr>
          <w:p>
            <w:pPr>
              <w:jc w:val="center"/>
              <w:rPr>
                <w:color w:val="auto"/>
                <w:sz w:val="24"/>
                <w:highlight w:val="none"/>
              </w:rPr>
            </w:pPr>
          </w:p>
        </w:tc>
        <w:tc>
          <w:tcPr>
            <w:tcW w:w="2114" w:type="dxa"/>
            <w:vAlign w:val="center"/>
          </w:tcPr>
          <w:p>
            <w:pPr>
              <w:jc w:val="center"/>
              <w:rPr>
                <w:bCs/>
                <w:color w:val="auto"/>
                <w:sz w:val="24"/>
                <w:highlight w:val="none"/>
              </w:rPr>
            </w:pPr>
          </w:p>
        </w:tc>
        <w:tc>
          <w:tcPr>
            <w:tcW w:w="2273" w:type="dxa"/>
            <w:vAlign w:val="center"/>
          </w:tcPr>
          <w:p>
            <w:pPr>
              <w:jc w:val="center"/>
              <w:rPr>
                <w:bCs/>
                <w:color w:val="auto"/>
                <w:sz w:val="24"/>
                <w:highlight w:val="none"/>
              </w:rPr>
            </w:pPr>
          </w:p>
        </w:tc>
        <w:tc>
          <w:tcPr>
            <w:tcW w:w="1952" w:type="dxa"/>
            <w:vAlign w:val="center"/>
          </w:tcPr>
          <w:p>
            <w:pPr>
              <w:jc w:val="center"/>
              <w:rPr>
                <w:bCs/>
                <w:color w:val="auto"/>
                <w:sz w:val="24"/>
                <w:highlight w:val="none"/>
              </w:rPr>
            </w:pPr>
          </w:p>
        </w:tc>
      </w:tr>
    </w:tbl>
    <w:p>
      <w:pPr>
        <w:rPr>
          <w:b/>
          <w:color w:val="auto"/>
          <w:kern w:val="0"/>
          <w:sz w:val="24"/>
          <w:highlight w:val="none"/>
        </w:rPr>
      </w:pPr>
    </w:p>
    <w:p>
      <w:pPr>
        <w:widowControl/>
        <w:wordWrap w:val="0"/>
        <w:spacing w:before="50" w:after="50" w:line="480" w:lineRule="auto"/>
        <w:jc w:val="left"/>
        <w:rPr>
          <w:rFonts w:ascii="宋体" w:hAnsi="宋体" w:cs="宋体"/>
          <w:bCs/>
          <w:color w:val="auto"/>
          <w:kern w:val="0"/>
          <w:sz w:val="24"/>
          <w:highlight w:val="none"/>
        </w:rPr>
      </w:pPr>
      <w:r>
        <w:rPr>
          <w:rFonts w:hint="eastAsia" w:ascii="宋体" w:hAnsi="宋体" w:cs="宋体"/>
          <w:bCs/>
          <w:color w:val="auto"/>
          <w:kern w:val="0"/>
          <w:sz w:val="24"/>
          <w:highlight w:val="none"/>
        </w:rPr>
        <w:t>注：投标人必须如实完整填写表格， “偏离情况”是指“正偏离”、“负偏离”或“无偏离”。</w:t>
      </w:r>
    </w:p>
    <w:p>
      <w:pPr>
        <w:pStyle w:val="51"/>
        <w:rPr>
          <w:bCs/>
          <w:color w:val="auto"/>
          <w:kern w:val="0"/>
          <w:highlight w:val="none"/>
        </w:rPr>
      </w:pPr>
    </w:p>
    <w:p>
      <w:pPr>
        <w:pStyle w:val="51"/>
        <w:rPr>
          <w:bCs/>
          <w:color w:val="auto"/>
          <w:kern w:val="0"/>
          <w:highlight w:val="none"/>
        </w:rPr>
      </w:pPr>
    </w:p>
    <w:p>
      <w:pPr>
        <w:pStyle w:val="51"/>
        <w:rPr>
          <w:bCs/>
          <w:color w:val="auto"/>
          <w:kern w:val="0"/>
          <w:highlight w:val="none"/>
        </w:rPr>
      </w:pPr>
    </w:p>
    <w:p>
      <w:pPr>
        <w:widowControl/>
        <w:wordWrap w:val="0"/>
        <w:spacing w:line="460" w:lineRule="exact"/>
        <w:ind w:firstLine="2760" w:firstLineChars="1150"/>
        <w:jc w:val="left"/>
        <w:rPr>
          <w:rFonts w:ascii="宋体" w:hAnsi="宋体" w:cs="宋体"/>
          <w:color w:val="auto"/>
          <w:kern w:val="0"/>
          <w:sz w:val="24"/>
          <w:highlight w:val="none"/>
          <w:u w:val="single"/>
        </w:rPr>
      </w:pPr>
      <w:r>
        <w:rPr>
          <w:rFonts w:hint="eastAsia" w:ascii="宋体" w:hAnsi="宋体" w:cs="宋体"/>
          <w:color w:val="auto"/>
          <w:kern w:val="0"/>
          <w:sz w:val="24"/>
          <w:highlight w:val="none"/>
        </w:rPr>
        <w:t xml:space="preserve">投标人代表签字： </w:t>
      </w:r>
    </w:p>
    <w:p>
      <w:pPr>
        <w:widowControl/>
        <w:wordWrap w:val="0"/>
        <w:snapToGrid w:val="0"/>
        <w:spacing w:line="460" w:lineRule="exact"/>
        <w:ind w:firstLine="2760" w:firstLineChars="1150"/>
        <w:jc w:val="left"/>
        <w:rPr>
          <w:rFonts w:ascii="宋体" w:hAnsi="宋体" w:cs="宋体"/>
          <w:color w:val="auto"/>
          <w:kern w:val="0"/>
          <w:sz w:val="52"/>
          <w:szCs w:val="52"/>
          <w:highlight w:val="none"/>
        </w:rPr>
      </w:pPr>
      <w:r>
        <w:rPr>
          <w:rFonts w:hint="eastAsia" w:ascii="宋体" w:hAnsi="宋体" w:cs="宋体"/>
          <w:color w:val="auto"/>
          <w:kern w:val="0"/>
          <w:sz w:val="24"/>
          <w:highlight w:val="none"/>
        </w:rPr>
        <w:t>投标人：（全称并加盖公章）</w:t>
      </w:r>
    </w:p>
    <w:p>
      <w:pPr>
        <w:widowControl/>
        <w:wordWrap w:val="0"/>
        <w:snapToGrid w:val="0"/>
        <w:spacing w:line="460" w:lineRule="exact"/>
        <w:ind w:firstLine="1040" w:firstLineChars="200"/>
        <w:jc w:val="left"/>
        <w:rPr>
          <w:rFonts w:ascii="宋体" w:hAnsi="宋体" w:cs="宋体"/>
          <w:color w:val="auto"/>
          <w:kern w:val="0"/>
          <w:sz w:val="52"/>
          <w:szCs w:val="52"/>
          <w:highlight w:val="none"/>
          <w:u w:val="single"/>
        </w:rPr>
      </w:pPr>
    </w:p>
    <w:p>
      <w:pPr>
        <w:widowControl/>
        <w:wordWrap w:val="0"/>
        <w:spacing w:line="460" w:lineRule="exact"/>
        <w:ind w:firstLine="4800" w:firstLineChars="2000"/>
        <w:jc w:val="left"/>
        <w:rPr>
          <w:rFonts w:ascii="宋体" w:hAnsi="宋体" w:cs="宋体"/>
          <w:color w:val="auto"/>
          <w:kern w:val="0"/>
          <w:sz w:val="24"/>
          <w:highlight w:val="none"/>
        </w:rPr>
      </w:pPr>
      <w:r>
        <w:rPr>
          <w:rFonts w:hint="eastAsia" w:ascii="宋体" w:hAnsi="宋体" w:cs="宋体"/>
          <w:color w:val="auto"/>
          <w:kern w:val="0"/>
          <w:sz w:val="24"/>
          <w:highlight w:val="none"/>
        </w:rPr>
        <w:t>年    月    日</w:t>
      </w:r>
    </w:p>
    <w:p>
      <w:pPr>
        <w:rPr>
          <w:rFonts w:ascii="宋体" w:hAnsi="宋体" w:cs="宋体"/>
          <w:b/>
          <w:color w:val="auto"/>
          <w:kern w:val="0"/>
          <w:sz w:val="24"/>
          <w:highlight w:val="none"/>
        </w:rPr>
      </w:pPr>
      <w:r>
        <w:rPr>
          <w:rFonts w:hint="eastAsia" w:ascii="宋体" w:hAnsi="宋体" w:cs="宋体"/>
          <w:b/>
          <w:color w:val="auto"/>
          <w:kern w:val="0"/>
          <w:sz w:val="24"/>
          <w:highlight w:val="none"/>
        </w:rPr>
        <w:br w:type="page"/>
      </w:r>
    </w:p>
    <w:p>
      <w:pPr>
        <w:rPr>
          <w:color w:val="auto"/>
          <w:highlight w:val="none"/>
        </w:rPr>
      </w:pPr>
    </w:p>
    <w:p>
      <w:pPr>
        <w:widowControl/>
        <w:wordWrap w:val="0"/>
        <w:snapToGrid w:val="0"/>
        <w:spacing w:line="460" w:lineRule="exact"/>
        <w:jc w:val="left"/>
        <w:outlineLvl w:val="0"/>
        <w:rPr>
          <w:rFonts w:hint="eastAsia" w:ascii="Arial" w:hAnsi="Arial" w:eastAsia="新宋体"/>
          <w:b/>
          <w:color w:val="auto"/>
          <w:sz w:val="28"/>
          <w:highlight w:val="none"/>
          <w:lang w:eastAsia="zh-CN"/>
        </w:rPr>
      </w:pPr>
      <w:bookmarkStart w:id="90" w:name="_Toc20420"/>
      <w:bookmarkStart w:id="91" w:name="_Toc29960"/>
      <w:r>
        <w:rPr>
          <w:rFonts w:hint="eastAsia" w:ascii="Arial" w:hAnsi="Arial" w:eastAsia="新宋体"/>
          <w:b/>
          <w:color w:val="auto"/>
          <w:sz w:val="28"/>
          <w:highlight w:val="none"/>
        </w:rPr>
        <w:t>附件6               商务响应</w:t>
      </w:r>
      <w:bookmarkEnd w:id="90"/>
      <w:bookmarkEnd w:id="91"/>
      <w:r>
        <w:rPr>
          <w:rFonts w:hint="eastAsia" w:ascii="Arial" w:hAnsi="Arial" w:eastAsia="新宋体"/>
          <w:b/>
          <w:color w:val="auto"/>
          <w:sz w:val="28"/>
          <w:highlight w:val="none"/>
          <w:lang w:val="en-US" w:eastAsia="zh-CN"/>
        </w:rPr>
        <w:t>部分</w:t>
      </w:r>
    </w:p>
    <w:p>
      <w:pPr>
        <w:widowControl/>
        <w:wordWrap w:val="0"/>
        <w:snapToGrid w:val="0"/>
        <w:spacing w:before="50" w:afterLines="50"/>
        <w:jc w:val="left"/>
        <w:rPr>
          <w:rFonts w:cs="宋体"/>
          <w:color w:val="auto"/>
          <w:kern w:val="0"/>
          <w:sz w:val="24"/>
          <w:highlight w:val="none"/>
        </w:rPr>
      </w:pPr>
    </w:p>
    <w:p>
      <w:pPr>
        <w:widowControl/>
        <w:wordWrap w:val="0"/>
        <w:spacing w:line="460" w:lineRule="exact"/>
        <w:ind w:firstLine="480" w:firstLineChars="200"/>
        <w:jc w:val="left"/>
        <w:rPr>
          <w:rFonts w:hint="default" w:ascii="宋体" w:hAnsi="宋体" w:eastAsia="宋体" w:cs="宋体"/>
          <w:b/>
          <w:color w:val="auto"/>
          <w:kern w:val="0"/>
          <w:sz w:val="32"/>
          <w:szCs w:val="32"/>
          <w:highlight w:val="none"/>
          <w:lang w:val="en-US" w:eastAsia="zh-CN"/>
        </w:rPr>
      </w:pPr>
      <w:r>
        <w:rPr>
          <w:rFonts w:hint="eastAsia" w:cs="宋体"/>
          <w:color w:val="auto"/>
          <w:kern w:val="0"/>
          <w:sz w:val="24"/>
          <w:highlight w:val="none"/>
          <w:lang w:eastAsia="zh-CN"/>
        </w:rPr>
        <w:t xml:space="preserve"> </w:t>
      </w:r>
      <w:r>
        <w:rPr>
          <w:rFonts w:hint="eastAsia" w:ascii="宋体" w:hAnsi="宋体" w:cs="宋体"/>
          <w:b/>
          <w:color w:val="auto"/>
          <w:kern w:val="0"/>
          <w:sz w:val="32"/>
          <w:szCs w:val="32"/>
          <w:highlight w:val="none"/>
          <w:lang w:val="en-US" w:eastAsia="zh-CN"/>
        </w:rPr>
        <w:t>商务部分相关证明文件</w:t>
      </w:r>
    </w:p>
    <w:p>
      <w:pPr>
        <w:widowControl/>
        <w:wordWrap w:val="0"/>
        <w:snapToGrid w:val="0"/>
        <w:spacing w:before="156" w:after="156"/>
        <w:ind w:firstLine="420"/>
        <w:jc w:val="center"/>
        <w:rPr>
          <w:rFonts w:ascii="宋体" w:hAnsi="宋体" w:cs="宋体"/>
          <w:b/>
          <w:color w:val="auto"/>
          <w:kern w:val="0"/>
          <w:sz w:val="32"/>
          <w:szCs w:val="32"/>
          <w:highlight w:val="none"/>
        </w:rPr>
      </w:pPr>
    </w:p>
    <w:p>
      <w:pPr>
        <w:widowControl/>
        <w:wordWrap w:val="0"/>
        <w:spacing w:line="460" w:lineRule="exact"/>
        <w:jc w:val="left"/>
        <w:outlineLvl w:val="9"/>
        <w:rPr>
          <w:rFonts w:cs="宋体"/>
          <w:b/>
          <w:color w:val="auto"/>
          <w:kern w:val="0"/>
          <w:sz w:val="24"/>
          <w:highlight w:val="none"/>
        </w:rPr>
      </w:pPr>
    </w:p>
    <w:p>
      <w:pPr>
        <w:widowControl/>
        <w:wordWrap w:val="0"/>
        <w:spacing w:line="460" w:lineRule="exact"/>
        <w:jc w:val="left"/>
        <w:outlineLvl w:val="9"/>
        <w:rPr>
          <w:rFonts w:cs="宋体"/>
          <w:b/>
          <w:color w:val="auto"/>
          <w:kern w:val="0"/>
          <w:sz w:val="24"/>
          <w:highlight w:val="none"/>
        </w:rPr>
      </w:pPr>
    </w:p>
    <w:p>
      <w:pPr>
        <w:outlineLvl w:val="9"/>
        <w:rPr>
          <w:rFonts w:cs="宋体"/>
          <w:b/>
          <w:color w:val="auto"/>
          <w:kern w:val="0"/>
          <w:sz w:val="24"/>
          <w:highlight w:val="none"/>
        </w:rPr>
      </w:pPr>
    </w:p>
    <w:p>
      <w:pPr>
        <w:outlineLvl w:val="9"/>
        <w:rPr>
          <w:rFonts w:cs="宋体"/>
          <w:b/>
          <w:color w:val="auto"/>
          <w:kern w:val="0"/>
          <w:sz w:val="24"/>
          <w:highlight w:val="none"/>
        </w:rPr>
      </w:pPr>
    </w:p>
    <w:p>
      <w:pPr>
        <w:outlineLvl w:val="9"/>
        <w:rPr>
          <w:rFonts w:cs="宋体"/>
          <w:b/>
          <w:color w:val="auto"/>
          <w:kern w:val="0"/>
          <w:sz w:val="24"/>
          <w:highlight w:val="none"/>
        </w:rPr>
      </w:pPr>
    </w:p>
    <w:p>
      <w:pPr>
        <w:outlineLvl w:val="9"/>
        <w:rPr>
          <w:rFonts w:cs="宋体"/>
          <w:b/>
          <w:color w:val="auto"/>
          <w:kern w:val="0"/>
          <w:sz w:val="24"/>
          <w:highlight w:val="none"/>
        </w:rPr>
      </w:pPr>
    </w:p>
    <w:p>
      <w:pPr>
        <w:outlineLvl w:val="9"/>
        <w:rPr>
          <w:rFonts w:cs="宋体"/>
          <w:b/>
          <w:color w:val="auto"/>
          <w:kern w:val="0"/>
          <w:sz w:val="24"/>
          <w:highlight w:val="none"/>
        </w:rPr>
      </w:pPr>
    </w:p>
    <w:p>
      <w:pPr>
        <w:outlineLvl w:val="9"/>
        <w:rPr>
          <w:rFonts w:cs="宋体"/>
          <w:b/>
          <w:color w:val="auto"/>
          <w:kern w:val="0"/>
          <w:sz w:val="24"/>
          <w:highlight w:val="none"/>
        </w:rPr>
      </w:pPr>
    </w:p>
    <w:p>
      <w:pPr>
        <w:outlineLvl w:val="9"/>
        <w:rPr>
          <w:rFonts w:cs="宋体"/>
          <w:b/>
          <w:color w:val="auto"/>
          <w:kern w:val="0"/>
          <w:sz w:val="24"/>
          <w:highlight w:val="none"/>
        </w:rPr>
      </w:pPr>
    </w:p>
    <w:p>
      <w:pPr>
        <w:outlineLvl w:val="9"/>
        <w:rPr>
          <w:rFonts w:cs="宋体"/>
          <w:b/>
          <w:color w:val="auto"/>
          <w:kern w:val="0"/>
          <w:sz w:val="24"/>
          <w:highlight w:val="none"/>
        </w:rPr>
      </w:pPr>
    </w:p>
    <w:p>
      <w:pPr>
        <w:outlineLvl w:val="9"/>
        <w:rPr>
          <w:rFonts w:cs="宋体"/>
          <w:b/>
          <w:color w:val="auto"/>
          <w:kern w:val="0"/>
          <w:sz w:val="24"/>
          <w:highlight w:val="none"/>
        </w:rPr>
      </w:pPr>
    </w:p>
    <w:p>
      <w:pPr>
        <w:outlineLvl w:val="9"/>
        <w:rPr>
          <w:rFonts w:cs="宋体"/>
          <w:b/>
          <w:color w:val="auto"/>
          <w:kern w:val="0"/>
          <w:sz w:val="24"/>
          <w:highlight w:val="none"/>
        </w:rPr>
      </w:pPr>
    </w:p>
    <w:p>
      <w:pPr>
        <w:outlineLvl w:val="9"/>
        <w:rPr>
          <w:rFonts w:cs="宋体"/>
          <w:b/>
          <w:color w:val="auto"/>
          <w:kern w:val="0"/>
          <w:sz w:val="24"/>
          <w:highlight w:val="none"/>
        </w:rPr>
      </w:pPr>
    </w:p>
    <w:p>
      <w:pPr>
        <w:outlineLvl w:val="9"/>
        <w:rPr>
          <w:rFonts w:cs="宋体"/>
          <w:b/>
          <w:color w:val="auto"/>
          <w:kern w:val="0"/>
          <w:sz w:val="24"/>
          <w:highlight w:val="none"/>
        </w:rPr>
      </w:pPr>
    </w:p>
    <w:p>
      <w:pPr>
        <w:outlineLvl w:val="9"/>
        <w:rPr>
          <w:color w:val="auto"/>
        </w:rPr>
      </w:pPr>
    </w:p>
    <w:p>
      <w:pPr>
        <w:outlineLvl w:val="9"/>
        <w:rPr>
          <w:rFonts w:cs="宋体"/>
          <w:b/>
          <w:color w:val="auto"/>
          <w:kern w:val="0"/>
          <w:sz w:val="24"/>
          <w:highlight w:val="none"/>
        </w:rPr>
      </w:pPr>
      <w:r>
        <w:rPr>
          <w:rFonts w:cs="宋体"/>
          <w:b/>
          <w:color w:val="auto"/>
          <w:kern w:val="0"/>
          <w:sz w:val="24"/>
          <w:highlight w:val="none"/>
        </w:rPr>
        <w:br w:type="page"/>
      </w:r>
    </w:p>
    <w:p>
      <w:pPr>
        <w:pStyle w:val="29"/>
        <w:rPr>
          <w:color w:val="auto"/>
        </w:rPr>
      </w:pPr>
    </w:p>
    <w:p>
      <w:pPr>
        <w:widowControl/>
        <w:wordWrap w:val="0"/>
        <w:spacing w:line="460" w:lineRule="exact"/>
        <w:jc w:val="left"/>
        <w:outlineLvl w:val="0"/>
        <w:rPr>
          <w:rFonts w:ascii="Arial" w:hAnsi="Arial" w:eastAsia="新宋体"/>
          <w:b/>
          <w:color w:val="auto"/>
          <w:sz w:val="28"/>
          <w:highlight w:val="none"/>
        </w:rPr>
      </w:pPr>
      <w:bookmarkStart w:id="92" w:name="_Toc31526"/>
      <w:bookmarkStart w:id="93" w:name="_Toc28621"/>
      <w:r>
        <w:rPr>
          <w:rFonts w:hint="eastAsia" w:ascii="Arial" w:hAnsi="Arial" w:eastAsia="新宋体"/>
          <w:b/>
          <w:color w:val="auto"/>
          <w:sz w:val="28"/>
          <w:highlight w:val="none"/>
        </w:rPr>
        <w:t>附件7               法定代表人身份证明（格式）</w:t>
      </w:r>
      <w:bookmarkEnd w:id="92"/>
      <w:bookmarkEnd w:id="93"/>
    </w:p>
    <w:p>
      <w:pPr>
        <w:widowControl/>
        <w:wordWrap w:val="0"/>
        <w:spacing w:line="460" w:lineRule="exact"/>
        <w:jc w:val="left"/>
        <w:rPr>
          <w:rFonts w:ascii="宋体" w:hAnsi="宋体" w:cs="宋体"/>
          <w:color w:val="auto"/>
          <w:kern w:val="0"/>
          <w:sz w:val="24"/>
          <w:highlight w:val="none"/>
        </w:rPr>
      </w:pPr>
    </w:p>
    <w:p>
      <w:pPr>
        <w:widowControl/>
        <w:wordWrap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投标人名称：</w:t>
      </w:r>
      <w:r>
        <w:rPr>
          <w:rFonts w:hint="eastAsia" w:ascii="宋体" w:hAnsi="宋体" w:cs="宋体"/>
          <w:color w:val="auto"/>
          <w:kern w:val="0"/>
          <w:szCs w:val="21"/>
          <w:highlight w:val="none"/>
          <w:u w:val="single"/>
          <w:lang w:val="en-US" w:eastAsia="zh-CN"/>
        </w:rPr>
        <w:t xml:space="preserve">                                </w:t>
      </w:r>
    </w:p>
    <w:p>
      <w:pPr>
        <w:widowControl/>
        <w:wordWrap w:val="0"/>
        <w:spacing w:line="460" w:lineRule="exact"/>
        <w:ind w:firstLine="480" w:firstLineChars="200"/>
        <w:jc w:val="left"/>
        <w:rPr>
          <w:rFonts w:ascii="宋体" w:hAnsi="宋体" w:cs="宋体"/>
          <w:color w:val="auto"/>
          <w:kern w:val="0"/>
          <w:sz w:val="24"/>
          <w:highlight w:val="none"/>
          <w:u w:val="single"/>
        </w:rPr>
      </w:pPr>
      <w:r>
        <w:rPr>
          <w:rFonts w:hint="eastAsia" w:ascii="宋体" w:hAnsi="宋体" w:cs="宋体"/>
          <w:color w:val="auto"/>
          <w:kern w:val="0"/>
          <w:sz w:val="24"/>
          <w:highlight w:val="none"/>
        </w:rPr>
        <w:t>地址：</w:t>
      </w:r>
      <w:r>
        <w:rPr>
          <w:rFonts w:hint="eastAsia" w:ascii="宋体" w:hAnsi="宋体" w:cs="宋体"/>
          <w:color w:val="auto"/>
          <w:kern w:val="0"/>
          <w:szCs w:val="21"/>
          <w:highlight w:val="none"/>
          <w:u w:val="single"/>
          <w:lang w:val="en-US" w:eastAsia="zh-CN"/>
        </w:rPr>
        <w:t xml:space="preserve">                                        </w:t>
      </w:r>
    </w:p>
    <w:p>
      <w:pPr>
        <w:widowControl/>
        <w:wordWrap w:val="0"/>
        <w:spacing w:line="460" w:lineRule="exact"/>
        <w:ind w:firstLine="480" w:firstLineChars="200"/>
        <w:jc w:val="left"/>
        <w:rPr>
          <w:rFonts w:ascii="宋体" w:hAnsi="宋体" w:cs="宋体"/>
          <w:color w:val="auto"/>
          <w:kern w:val="0"/>
          <w:sz w:val="24"/>
          <w:szCs w:val="20"/>
          <w:highlight w:val="none"/>
        </w:rPr>
      </w:pPr>
      <w:r>
        <w:rPr>
          <w:rFonts w:hint="eastAsia" w:ascii="宋体" w:hAnsi="宋体" w:cs="宋体"/>
          <w:color w:val="auto"/>
          <w:kern w:val="0"/>
          <w:sz w:val="24"/>
          <w:highlight w:val="none"/>
        </w:rPr>
        <w:t>成立时间：</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szCs w:val="20"/>
          <w:highlight w:val="none"/>
        </w:rPr>
        <w:t>年</w:t>
      </w:r>
      <w:r>
        <w:rPr>
          <w:rFonts w:hint="eastAsia" w:ascii="宋体" w:hAnsi="宋体" w:cs="宋体"/>
          <w:color w:val="auto"/>
          <w:kern w:val="0"/>
          <w:sz w:val="24"/>
          <w:szCs w:val="20"/>
          <w:highlight w:val="none"/>
          <w:lang w:val="en-US" w:eastAsia="zh-CN"/>
        </w:rPr>
        <w:t xml:space="preserve"> </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szCs w:val="20"/>
          <w:highlight w:val="none"/>
        </w:rPr>
        <w:t>月</w:t>
      </w:r>
      <w:r>
        <w:rPr>
          <w:rFonts w:hint="eastAsia" w:ascii="宋体" w:hAnsi="宋体" w:cs="宋体"/>
          <w:color w:val="auto"/>
          <w:kern w:val="0"/>
          <w:sz w:val="24"/>
          <w:szCs w:val="20"/>
          <w:highlight w:val="none"/>
          <w:lang w:val="en-US" w:eastAsia="zh-CN"/>
        </w:rPr>
        <w:t xml:space="preserve"> </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szCs w:val="20"/>
          <w:highlight w:val="none"/>
        </w:rPr>
        <w:t>日</w:t>
      </w:r>
    </w:p>
    <w:p>
      <w:pPr>
        <w:widowControl/>
        <w:wordWrap w:val="0"/>
        <w:spacing w:line="460" w:lineRule="exact"/>
        <w:ind w:firstLine="480" w:firstLineChars="200"/>
        <w:jc w:val="left"/>
        <w:rPr>
          <w:rFonts w:ascii="宋体" w:hAnsi="宋体" w:cs="宋体"/>
          <w:color w:val="auto"/>
          <w:kern w:val="0"/>
          <w:sz w:val="24"/>
          <w:highlight w:val="none"/>
          <w:u w:val="single"/>
        </w:rPr>
      </w:pPr>
      <w:r>
        <w:rPr>
          <w:rFonts w:hint="eastAsia" w:ascii="宋体" w:hAnsi="宋体" w:cs="宋体"/>
          <w:color w:val="auto"/>
          <w:kern w:val="0"/>
          <w:sz w:val="24"/>
          <w:szCs w:val="20"/>
          <w:highlight w:val="none"/>
        </w:rPr>
        <w:t>经营期限：</w:t>
      </w:r>
      <w:r>
        <w:rPr>
          <w:rFonts w:hint="eastAsia" w:ascii="宋体" w:hAnsi="宋体" w:cs="宋体"/>
          <w:color w:val="auto"/>
          <w:kern w:val="0"/>
          <w:szCs w:val="21"/>
          <w:highlight w:val="none"/>
          <w:u w:val="single"/>
          <w:lang w:val="en-US" w:eastAsia="zh-CN"/>
        </w:rPr>
        <w:t xml:space="preserve">                        </w:t>
      </w:r>
    </w:p>
    <w:p>
      <w:pPr>
        <w:widowControl/>
        <w:wordWrap w:val="0"/>
        <w:spacing w:line="460" w:lineRule="exact"/>
        <w:ind w:firstLine="480" w:firstLineChars="200"/>
        <w:jc w:val="left"/>
        <w:rPr>
          <w:rFonts w:ascii="宋体" w:hAnsi="宋体" w:cs="宋体"/>
          <w:color w:val="auto"/>
          <w:kern w:val="0"/>
          <w:szCs w:val="21"/>
          <w:highlight w:val="none"/>
          <w:u w:val="single"/>
        </w:rPr>
      </w:pPr>
      <w:r>
        <w:rPr>
          <w:rFonts w:hint="eastAsia" w:ascii="宋体" w:hAnsi="宋体" w:cs="宋体"/>
          <w:color w:val="auto"/>
          <w:kern w:val="0"/>
          <w:sz w:val="24"/>
          <w:highlight w:val="none"/>
        </w:rPr>
        <w:t>姓名：</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szCs w:val="20"/>
          <w:highlight w:val="none"/>
        </w:rPr>
        <w:t>，性别：</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szCs w:val="20"/>
          <w:highlight w:val="none"/>
        </w:rPr>
        <w:t>，年龄：</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szCs w:val="20"/>
          <w:highlight w:val="none"/>
        </w:rPr>
        <w:t>，职务：</w:t>
      </w:r>
      <w:r>
        <w:rPr>
          <w:rFonts w:hint="eastAsia" w:ascii="宋体" w:hAnsi="宋体" w:cs="宋体"/>
          <w:color w:val="auto"/>
          <w:kern w:val="0"/>
          <w:szCs w:val="21"/>
          <w:highlight w:val="none"/>
          <w:u w:val="single"/>
          <w:lang w:val="en-US" w:eastAsia="zh-CN"/>
        </w:rPr>
        <w:t xml:space="preserve">        </w:t>
      </w:r>
    </w:p>
    <w:p>
      <w:pPr>
        <w:widowControl/>
        <w:wordWrap w:val="0"/>
        <w:spacing w:line="460" w:lineRule="exact"/>
        <w:jc w:val="left"/>
        <w:rPr>
          <w:rFonts w:ascii="宋体" w:hAnsi="宋体" w:cs="宋体"/>
          <w:color w:val="auto"/>
          <w:kern w:val="0"/>
          <w:sz w:val="24"/>
          <w:szCs w:val="20"/>
          <w:highlight w:val="none"/>
        </w:rPr>
      </w:pPr>
      <w:r>
        <w:rPr>
          <w:rFonts w:hint="eastAsia" w:ascii="宋体" w:hAnsi="宋体" w:cs="宋体"/>
          <w:color w:val="auto"/>
          <w:kern w:val="0"/>
          <w:sz w:val="24"/>
          <w:szCs w:val="20"/>
          <w:highlight w:val="none"/>
        </w:rPr>
        <w:t>系</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szCs w:val="20"/>
          <w:highlight w:val="none"/>
        </w:rPr>
        <w:t>（投标人名称）的法定代表人。</w:t>
      </w:r>
    </w:p>
    <w:p>
      <w:pPr>
        <w:widowControl/>
        <w:wordWrap w:val="0"/>
        <w:spacing w:line="460" w:lineRule="exact"/>
        <w:jc w:val="left"/>
        <w:rPr>
          <w:rFonts w:ascii="宋体" w:hAnsi="宋体" w:cs="宋体"/>
          <w:color w:val="auto"/>
          <w:kern w:val="0"/>
          <w:sz w:val="24"/>
          <w:szCs w:val="20"/>
          <w:highlight w:val="none"/>
        </w:rPr>
      </w:pPr>
    </w:p>
    <w:p>
      <w:pPr>
        <w:widowControl/>
        <w:wordWrap w:val="0"/>
        <w:spacing w:line="460" w:lineRule="exact"/>
        <w:ind w:firstLine="480" w:firstLineChars="200"/>
        <w:jc w:val="left"/>
        <w:rPr>
          <w:rFonts w:ascii="宋体" w:hAnsi="宋体" w:cs="宋体"/>
          <w:color w:val="auto"/>
          <w:kern w:val="0"/>
          <w:sz w:val="24"/>
          <w:szCs w:val="20"/>
          <w:highlight w:val="none"/>
        </w:rPr>
      </w:pPr>
      <w:r>
        <w:rPr>
          <w:rFonts w:hint="eastAsia" w:ascii="宋体" w:hAnsi="宋体" w:cs="宋体"/>
          <w:color w:val="auto"/>
          <w:kern w:val="0"/>
          <w:sz w:val="24"/>
          <w:szCs w:val="20"/>
          <w:highlight w:val="none"/>
        </w:rPr>
        <w:t>特此证明。</w:t>
      </w:r>
    </w:p>
    <w:p>
      <w:pPr>
        <w:widowControl/>
        <w:wordWrap w:val="0"/>
        <w:spacing w:line="460" w:lineRule="exact"/>
        <w:jc w:val="left"/>
        <w:rPr>
          <w:rFonts w:ascii="宋体" w:hAnsi="宋体" w:cs="宋体"/>
          <w:color w:val="auto"/>
          <w:kern w:val="0"/>
          <w:sz w:val="24"/>
          <w:szCs w:val="20"/>
          <w:highlight w:val="none"/>
        </w:rPr>
      </w:pPr>
    </w:p>
    <w:p>
      <w:pPr>
        <w:widowControl/>
        <w:wordWrap w:val="0"/>
        <w:spacing w:beforeLines="100" w:afterLines="100" w:line="480" w:lineRule="exact"/>
        <w:jc w:val="center"/>
        <w:rPr>
          <w:rFonts w:ascii="宋体" w:hAnsi="宋体" w:cs="Lucida Sans Unicode"/>
          <w:b/>
          <w:color w:val="auto"/>
          <w:kern w:val="0"/>
          <w:sz w:val="36"/>
          <w:szCs w:val="36"/>
          <w:highlight w:val="none"/>
        </w:rPr>
      </w:pPr>
    </w:p>
    <w:tbl>
      <w:tblPr>
        <w:tblStyle w:val="32"/>
        <w:tblpPr w:leftFromText="180" w:rightFromText="180" w:topFromText="100" w:bottomFromText="100" w:vertAnchor="text" w:horzAnchor="page" w:tblpX="2773" w:tblpY="20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0" w:hRule="atLeast"/>
        </w:trPr>
        <w:tc>
          <w:tcPr>
            <w:tcW w:w="5328" w:type="dxa"/>
            <w:tcBorders>
              <w:top w:val="single" w:color="auto" w:sz="4" w:space="0"/>
              <w:left w:val="single" w:color="auto" w:sz="4" w:space="0"/>
              <w:bottom w:val="single" w:color="auto" w:sz="4" w:space="0"/>
              <w:right w:val="single" w:color="auto" w:sz="4" w:space="0"/>
            </w:tcBorders>
          </w:tcPr>
          <w:p>
            <w:pPr>
              <w:widowControl/>
              <w:spacing w:line="480" w:lineRule="exact"/>
              <w:jc w:val="left"/>
              <w:rPr>
                <w:rFonts w:ascii="宋体" w:hAnsi="宋体" w:cs="Lucida Sans Unicode"/>
                <w:bCs/>
                <w:color w:val="auto"/>
                <w:kern w:val="0"/>
                <w:sz w:val="24"/>
                <w:highlight w:val="none"/>
              </w:rPr>
            </w:pPr>
            <w:r>
              <w:rPr>
                <w:rFonts w:hint="eastAsia" w:ascii="宋体" w:hAnsi="宋体" w:cs="Lucida Sans Unicode"/>
                <w:bCs/>
                <w:color w:val="auto"/>
                <w:kern w:val="0"/>
                <w:sz w:val="24"/>
                <w:highlight w:val="none"/>
              </w:rPr>
              <w:t>此处请粘贴法定代表人身份证复印件</w:t>
            </w:r>
          </w:p>
          <w:p>
            <w:pPr>
              <w:widowControl/>
              <w:spacing w:line="480" w:lineRule="exact"/>
              <w:jc w:val="left"/>
              <w:rPr>
                <w:rFonts w:ascii="仿宋_GB2312" w:hAnsi="Lucida Sans Unicode" w:eastAsia="仿宋_GB2312" w:cs="Lucida Sans Unicode"/>
                <w:color w:val="auto"/>
                <w:kern w:val="0"/>
                <w:sz w:val="24"/>
                <w:highlight w:val="none"/>
              </w:rPr>
            </w:pPr>
          </w:p>
          <w:p>
            <w:pPr>
              <w:widowControl/>
              <w:spacing w:line="480" w:lineRule="exact"/>
              <w:jc w:val="left"/>
              <w:rPr>
                <w:rFonts w:ascii="仿宋_GB2312" w:hAnsi="Lucida Sans Unicode" w:eastAsia="仿宋_GB2312" w:cs="Lucida Sans Unicode"/>
                <w:color w:val="auto"/>
                <w:kern w:val="0"/>
                <w:sz w:val="24"/>
                <w:highlight w:val="none"/>
              </w:rPr>
            </w:pPr>
          </w:p>
        </w:tc>
      </w:tr>
    </w:tbl>
    <w:p>
      <w:pPr>
        <w:widowControl/>
        <w:wordWrap w:val="0"/>
        <w:spacing w:beforeLines="100" w:afterLines="100" w:line="480" w:lineRule="exact"/>
        <w:jc w:val="center"/>
        <w:rPr>
          <w:rFonts w:ascii="宋体" w:hAnsi="宋体" w:cs="Lucida Sans Unicode"/>
          <w:b/>
          <w:color w:val="auto"/>
          <w:kern w:val="0"/>
          <w:sz w:val="24"/>
          <w:highlight w:val="none"/>
        </w:rPr>
      </w:pPr>
    </w:p>
    <w:p>
      <w:pPr>
        <w:widowControl/>
        <w:wordWrap w:val="0"/>
        <w:spacing w:beforeLines="100" w:afterLines="100" w:line="480" w:lineRule="exact"/>
        <w:jc w:val="center"/>
        <w:rPr>
          <w:rFonts w:ascii="Lucida Sans Unicode" w:hAnsi="Lucida Sans Unicode" w:cs="Lucida Sans Unicode"/>
          <w:b/>
          <w:color w:val="auto"/>
          <w:kern w:val="0"/>
          <w:sz w:val="36"/>
          <w:szCs w:val="36"/>
          <w:highlight w:val="none"/>
        </w:rPr>
      </w:pPr>
    </w:p>
    <w:p>
      <w:pPr>
        <w:widowControl/>
        <w:wordWrap w:val="0"/>
        <w:spacing w:beforeLines="100" w:afterLines="100" w:line="480" w:lineRule="exact"/>
        <w:jc w:val="center"/>
        <w:rPr>
          <w:rFonts w:ascii="Lucida Sans Unicode" w:hAnsi="Lucida Sans Unicode" w:cs="Lucida Sans Unicode"/>
          <w:b/>
          <w:color w:val="auto"/>
          <w:kern w:val="0"/>
          <w:sz w:val="36"/>
          <w:szCs w:val="36"/>
          <w:highlight w:val="none"/>
        </w:rPr>
      </w:pPr>
    </w:p>
    <w:p>
      <w:pPr>
        <w:widowControl/>
        <w:wordWrap w:val="0"/>
        <w:spacing w:line="480" w:lineRule="exact"/>
        <w:jc w:val="right"/>
        <w:rPr>
          <w:rFonts w:ascii="仿宋_GB2312" w:hAnsi="仿宋_GB2312" w:eastAsia="仿宋_GB2312" w:cs="Lucida Sans Unicode"/>
          <w:color w:val="auto"/>
          <w:kern w:val="0"/>
          <w:sz w:val="24"/>
          <w:highlight w:val="none"/>
        </w:rPr>
      </w:pPr>
    </w:p>
    <w:p>
      <w:pPr>
        <w:widowControl/>
        <w:wordWrap w:val="0"/>
        <w:spacing w:line="480" w:lineRule="exact"/>
        <w:jc w:val="right"/>
        <w:rPr>
          <w:rFonts w:ascii="仿宋_GB2312" w:hAnsi="仿宋_GB2312" w:eastAsia="仿宋_GB2312" w:cs="Lucida Sans Unicode"/>
          <w:color w:val="auto"/>
          <w:kern w:val="0"/>
          <w:sz w:val="24"/>
          <w:highlight w:val="none"/>
        </w:rPr>
      </w:pPr>
    </w:p>
    <w:p>
      <w:pPr>
        <w:widowControl/>
        <w:wordWrap w:val="0"/>
        <w:snapToGrid w:val="0"/>
        <w:spacing w:line="460" w:lineRule="exact"/>
        <w:ind w:firstLine="2760" w:firstLineChars="1150"/>
        <w:jc w:val="left"/>
        <w:rPr>
          <w:rFonts w:ascii="宋体" w:hAnsi="宋体" w:cs="宋体"/>
          <w:color w:val="auto"/>
          <w:kern w:val="0"/>
          <w:sz w:val="24"/>
          <w:highlight w:val="none"/>
        </w:rPr>
      </w:pPr>
      <w:r>
        <w:rPr>
          <w:rFonts w:hint="eastAsia" w:ascii="宋体" w:hAnsi="宋体" w:cs="宋体"/>
          <w:color w:val="auto"/>
          <w:kern w:val="0"/>
          <w:sz w:val="24"/>
          <w:highlight w:val="none"/>
        </w:rPr>
        <w:t>投标人：</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（全称并加盖公章）</w:t>
      </w:r>
    </w:p>
    <w:p>
      <w:pPr>
        <w:widowControl/>
        <w:wordWrap w:val="0"/>
        <w:spacing w:line="460" w:lineRule="exact"/>
        <w:ind w:left="3780" w:leftChars="1800"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年    月    日</w:t>
      </w:r>
    </w:p>
    <w:p>
      <w:pPr>
        <w:rPr>
          <w:color w:val="auto"/>
          <w:highlight w:val="none"/>
        </w:rPr>
      </w:pPr>
    </w:p>
    <w:p>
      <w:pPr>
        <w:rPr>
          <w:color w:val="auto"/>
          <w:highlight w:val="none"/>
        </w:rPr>
      </w:pPr>
      <w:r>
        <w:rPr>
          <w:color w:val="auto"/>
          <w:highlight w:val="none"/>
        </w:rPr>
        <w:br w:type="page"/>
      </w:r>
    </w:p>
    <w:p>
      <w:pPr>
        <w:pStyle w:val="51"/>
        <w:rPr>
          <w:color w:val="auto"/>
          <w:highlight w:val="none"/>
        </w:rPr>
      </w:pPr>
    </w:p>
    <w:p>
      <w:pPr>
        <w:widowControl/>
        <w:wordWrap w:val="0"/>
        <w:spacing w:line="460" w:lineRule="exact"/>
        <w:ind w:firstLine="365" w:firstLineChars="130"/>
        <w:jc w:val="left"/>
        <w:outlineLvl w:val="0"/>
        <w:rPr>
          <w:rFonts w:ascii="Arial" w:hAnsi="Arial" w:eastAsia="新宋体"/>
          <w:b/>
          <w:color w:val="auto"/>
          <w:sz w:val="28"/>
          <w:highlight w:val="none"/>
        </w:rPr>
      </w:pPr>
      <w:bookmarkStart w:id="94" w:name="_Toc30519"/>
      <w:bookmarkStart w:id="95" w:name="_Toc13976"/>
      <w:r>
        <w:rPr>
          <w:rFonts w:hint="eastAsia" w:ascii="Arial" w:hAnsi="Arial" w:eastAsia="新宋体"/>
          <w:b/>
          <w:color w:val="auto"/>
          <w:sz w:val="28"/>
          <w:highlight w:val="none"/>
        </w:rPr>
        <w:t>附件8               法定代表人授权书（格式）</w:t>
      </w:r>
      <w:bookmarkEnd w:id="94"/>
      <w:bookmarkEnd w:id="95"/>
    </w:p>
    <w:p>
      <w:pPr>
        <w:widowControl/>
        <w:tabs>
          <w:tab w:val="left" w:pos="420"/>
          <w:tab w:val="left" w:pos="2160"/>
        </w:tabs>
        <w:wordWrap w:val="0"/>
        <w:spacing w:line="460" w:lineRule="exact"/>
        <w:ind w:firstLine="480" w:firstLineChars="200"/>
        <w:jc w:val="left"/>
        <w:rPr>
          <w:rFonts w:ascii="宋体" w:hAnsi="宋体" w:cs="宋体"/>
          <w:color w:val="auto"/>
          <w:kern w:val="0"/>
          <w:sz w:val="24"/>
          <w:highlight w:val="none"/>
        </w:rPr>
      </w:pPr>
    </w:p>
    <w:p>
      <w:pPr>
        <w:widowControl/>
        <w:wordWrap w:val="0"/>
        <w:snapToGrid w:val="0"/>
        <w:spacing w:line="460" w:lineRule="exact"/>
        <w:jc w:val="left"/>
        <w:rPr>
          <w:rFonts w:ascii="宋体" w:hAnsi="宋体" w:cs="宋体"/>
          <w:b/>
          <w:bCs/>
          <w:color w:val="auto"/>
          <w:kern w:val="0"/>
          <w:sz w:val="24"/>
          <w:highlight w:val="none"/>
        </w:rPr>
      </w:pPr>
      <w:r>
        <w:rPr>
          <w:rFonts w:hint="eastAsia" w:ascii="宋体" w:hAnsi="宋体" w:cs="宋体"/>
          <w:bCs/>
          <w:color w:val="auto"/>
          <w:kern w:val="0"/>
          <w:sz w:val="24"/>
          <w:highlight w:val="none"/>
        </w:rPr>
        <w:t>致：</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w:t>
      </w:r>
      <w:r>
        <w:rPr>
          <w:rFonts w:hint="eastAsia" w:ascii="宋体" w:hAnsi="宋体" w:cs="宋体"/>
          <w:color w:val="auto"/>
          <w:kern w:val="0"/>
          <w:sz w:val="24"/>
          <w:highlight w:val="none"/>
          <w:lang w:eastAsia="zh-CN"/>
        </w:rPr>
        <w:t>采购人</w:t>
      </w:r>
      <w:r>
        <w:rPr>
          <w:rFonts w:hint="eastAsia" w:ascii="宋体" w:hAnsi="宋体" w:cs="宋体"/>
          <w:color w:val="auto"/>
          <w:kern w:val="0"/>
          <w:sz w:val="24"/>
          <w:highlight w:val="none"/>
        </w:rPr>
        <w:t>名称）：</w:t>
      </w:r>
    </w:p>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我</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（姓名）系</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 xml:space="preserve">（投标人名称）的法定代表人，现委托 </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（姓名）为我方代理人。代理人根据本授权，以我方的名义参加</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项目的投标活动，并代表我方全权办理针对上述项目的投标、开标、评标、签约等具体事务和签署相关文件。</w:t>
      </w:r>
    </w:p>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我方对代理人的签名负全部责任。在撤销授权的书面通知以前，本授权书一直有效。代理人在授权书有效期内签署的所有文件不因授权的撤销而失效。</w:t>
      </w:r>
    </w:p>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如果本次采购活动现场变更采购方式，本授权书有效。</w:t>
      </w:r>
    </w:p>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代理人无转委托权。</w:t>
      </w:r>
    </w:p>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委托期限：</w:t>
      </w:r>
    </w:p>
    <w:p>
      <w:pPr>
        <w:widowControl/>
        <w:wordWrap w:val="0"/>
        <w:snapToGrid w:val="0"/>
        <w:spacing w:line="460" w:lineRule="exact"/>
        <w:ind w:firstLine="480" w:firstLineChars="200"/>
        <w:jc w:val="left"/>
        <w:rPr>
          <w:rFonts w:ascii="宋体" w:hAnsi="宋体" w:cs="宋体"/>
          <w:color w:val="auto"/>
          <w:kern w:val="0"/>
          <w:sz w:val="24"/>
          <w:highlight w:val="none"/>
        </w:rPr>
      </w:pPr>
    </w:p>
    <w:p>
      <w:pPr>
        <w:widowControl/>
        <w:wordWrap w:val="0"/>
        <w:snapToGrid w:val="0"/>
        <w:spacing w:line="460" w:lineRule="exact"/>
        <w:ind w:firstLine="480" w:firstLineChars="200"/>
        <w:jc w:val="left"/>
        <w:rPr>
          <w:rFonts w:ascii="宋体" w:hAnsi="宋体" w:cs="宋体"/>
          <w:color w:val="auto"/>
          <w:kern w:val="0"/>
          <w:sz w:val="24"/>
          <w:highlight w:val="none"/>
          <w:u w:val="single"/>
        </w:rPr>
      </w:pPr>
      <w:r>
        <w:rPr>
          <w:rFonts w:hint="eastAsia" w:ascii="宋体" w:hAnsi="宋体" w:cs="宋体"/>
          <w:color w:val="auto"/>
          <w:kern w:val="0"/>
          <w:sz w:val="24"/>
          <w:highlight w:val="none"/>
        </w:rPr>
        <w:t>委托代理人签名：             法定代表人签名：</w:t>
      </w:r>
    </w:p>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职务：                      职务：</w:t>
      </w:r>
    </w:p>
    <w:tbl>
      <w:tblPr>
        <w:tblStyle w:val="32"/>
        <w:tblpPr w:leftFromText="180" w:rightFromText="180" w:topFromText="100" w:bottomFromText="100" w:vertAnchor="text" w:horzAnchor="page" w:tblpX="2551" w:tblpY="9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2" w:hRule="atLeast"/>
        </w:trPr>
        <w:tc>
          <w:tcPr>
            <w:tcW w:w="5508" w:type="dxa"/>
            <w:tcBorders>
              <w:top w:val="single" w:color="auto" w:sz="4" w:space="0"/>
              <w:left w:val="single" w:color="auto" w:sz="4" w:space="0"/>
              <w:bottom w:val="single" w:color="auto" w:sz="4" w:space="0"/>
              <w:right w:val="single" w:color="auto" w:sz="4" w:space="0"/>
            </w:tcBorders>
          </w:tcPr>
          <w:p>
            <w:pPr>
              <w:widowControl/>
              <w:spacing w:line="480" w:lineRule="exact"/>
              <w:jc w:val="left"/>
              <w:rPr>
                <w:rFonts w:ascii="宋体" w:hAnsi="宋体" w:cs="Lucida Sans Unicode"/>
                <w:color w:val="auto"/>
                <w:kern w:val="0"/>
                <w:sz w:val="24"/>
                <w:highlight w:val="none"/>
              </w:rPr>
            </w:pPr>
            <w:r>
              <w:rPr>
                <w:rFonts w:hint="eastAsia" w:ascii="宋体" w:hAnsi="宋体" w:cs="Lucida Sans Unicode"/>
                <w:bCs/>
                <w:color w:val="auto"/>
                <w:kern w:val="0"/>
                <w:sz w:val="24"/>
                <w:highlight w:val="none"/>
              </w:rPr>
              <w:t>此处请粘贴</w:t>
            </w:r>
            <w:r>
              <w:rPr>
                <w:rFonts w:hint="eastAsia" w:ascii="宋体" w:hAnsi="宋体" w:cs="宋体"/>
                <w:color w:val="auto"/>
                <w:kern w:val="0"/>
                <w:sz w:val="24"/>
                <w:highlight w:val="none"/>
              </w:rPr>
              <w:t>委托代理人</w:t>
            </w:r>
            <w:r>
              <w:rPr>
                <w:rFonts w:hint="eastAsia" w:ascii="宋体" w:hAnsi="宋体" w:cs="Lucida Sans Unicode"/>
                <w:bCs/>
                <w:color w:val="auto"/>
                <w:kern w:val="0"/>
                <w:sz w:val="24"/>
                <w:highlight w:val="none"/>
              </w:rPr>
              <w:t>身份证复印件</w:t>
            </w:r>
          </w:p>
        </w:tc>
      </w:tr>
    </w:tbl>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委托代理人身份证号码：</w:t>
      </w:r>
    </w:p>
    <w:p>
      <w:pPr>
        <w:widowControl/>
        <w:wordWrap w:val="0"/>
        <w:spacing w:line="460" w:lineRule="exact"/>
        <w:ind w:firstLine="4800" w:firstLineChars="2000"/>
        <w:jc w:val="left"/>
        <w:rPr>
          <w:rFonts w:ascii="仿宋_GB2312" w:hAnsi="Lucida Sans Unicode" w:eastAsia="仿宋_GB2312" w:cs="Lucida Sans Unicode"/>
          <w:color w:val="auto"/>
          <w:kern w:val="0"/>
          <w:sz w:val="24"/>
          <w:highlight w:val="none"/>
        </w:rPr>
      </w:pPr>
    </w:p>
    <w:p>
      <w:pPr>
        <w:widowControl/>
        <w:wordWrap w:val="0"/>
        <w:spacing w:line="360" w:lineRule="auto"/>
        <w:jc w:val="center"/>
        <w:rPr>
          <w:rFonts w:ascii="仿宋_GB2312" w:hAnsi="Lucida Sans Unicode" w:eastAsia="仿宋_GB2312" w:cs="Lucida Sans Unicode"/>
          <w:color w:val="auto"/>
          <w:kern w:val="0"/>
          <w:sz w:val="24"/>
          <w:highlight w:val="none"/>
        </w:rPr>
      </w:pPr>
    </w:p>
    <w:p>
      <w:pPr>
        <w:widowControl/>
        <w:wordWrap w:val="0"/>
        <w:spacing w:line="360" w:lineRule="auto"/>
        <w:jc w:val="right"/>
        <w:rPr>
          <w:rFonts w:hint="eastAsia" w:ascii="宋体" w:hAnsi="宋体" w:cs="宋体"/>
          <w:color w:val="auto"/>
          <w:kern w:val="0"/>
          <w:sz w:val="24"/>
          <w:highlight w:val="none"/>
        </w:rPr>
      </w:pPr>
    </w:p>
    <w:p>
      <w:pPr>
        <w:widowControl/>
        <w:wordWrap w:val="0"/>
        <w:spacing w:line="360" w:lineRule="auto"/>
        <w:jc w:val="right"/>
        <w:rPr>
          <w:rFonts w:hint="eastAsia" w:ascii="宋体" w:hAnsi="宋体" w:cs="宋体"/>
          <w:color w:val="auto"/>
          <w:kern w:val="0"/>
          <w:sz w:val="24"/>
          <w:highlight w:val="none"/>
        </w:rPr>
      </w:pPr>
    </w:p>
    <w:p>
      <w:pPr>
        <w:widowControl/>
        <w:wordWrap w:val="0"/>
        <w:spacing w:line="360" w:lineRule="auto"/>
        <w:jc w:val="right"/>
        <w:rPr>
          <w:rFonts w:hint="eastAsia" w:ascii="宋体" w:hAnsi="宋体" w:cs="宋体"/>
          <w:color w:val="auto"/>
          <w:kern w:val="0"/>
          <w:sz w:val="24"/>
          <w:highlight w:val="none"/>
        </w:rPr>
      </w:pPr>
    </w:p>
    <w:p>
      <w:pPr>
        <w:widowControl/>
        <w:wordWrap w:val="0"/>
        <w:spacing w:line="360" w:lineRule="auto"/>
        <w:jc w:val="right"/>
        <w:rPr>
          <w:rFonts w:hint="eastAsia" w:ascii="宋体" w:hAnsi="宋体" w:cs="宋体"/>
          <w:color w:val="auto"/>
          <w:kern w:val="0"/>
          <w:sz w:val="24"/>
          <w:highlight w:val="none"/>
        </w:rPr>
      </w:pPr>
    </w:p>
    <w:p>
      <w:pPr>
        <w:widowControl/>
        <w:wordWrap w:val="0"/>
        <w:spacing w:line="360" w:lineRule="auto"/>
        <w:jc w:val="right"/>
        <w:rPr>
          <w:rFonts w:hint="eastAsia" w:ascii="宋体" w:hAnsi="宋体" w:cs="宋体"/>
          <w:color w:val="auto"/>
          <w:kern w:val="0"/>
          <w:sz w:val="24"/>
          <w:highlight w:val="none"/>
        </w:rPr>
      </w:pPr>
    </w:p>
    <w:p>
      <w:pPr>
        <w:widowControl/>
        <w:wordWrap/>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投标人：</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（全称并加盖公章）</w:t>
      </w:r>
    </w:p>
    <w:p>
      <w:pPr>
        <w:widowControl/>
        <w:wordWrap w:val="0"/>
        <w:spacing w:line="460" w:lineRule="exact"/>
        <w:ind w:firstLine="3840" w:firstLineChars="1600"/>
        <w:jc w:val="left"/>
        <w:rPr>
          <w:rFonts w:ascii="宋体" w:hAnsi="宋体" w:cs="宋体"/>
          <w:b/>
          <w:color w:val="auto"/>
          <w:kern w:val="0"/>
          <w:sz w:val="32"/>
          <w:szCs w:val="32"/>
          <w:highlight w:val="none"/>
        </w:rPr>
      </w:pPr>
      <w:r>
        <w:rPr>
          <w:rFonts w:hint="eastAsia" w:ascii="宋体" w:hAnsi="宋体" w:cs="宋体"/>
          <w:color w:val="auto"/>
          <w:kern w:val="0"/>
          <w:sz w:val="24"/>
          <w:highlight w:val="none"/>
        </w:rPr>
        <w:t>年    月    日</w:t>
      </w:r>
    </w:p>
    <w:p>
      <w:pPr>
        <w:widowControl/>
        <w:spacing w:line="360" w:lineRule="auto"/>
        <w:ind w:firstLine="7228" w:firstLineChars="2250"/>
        <w:jc w:val="left"/>
        <w:rPr>
          <w:rFonts w:ascii="宋体" w:hAnsi="宋体" w:cs="宋体"/>
          <w:b/>
          <w:color w:val="auto"/>
          <w:kern w:val="0"/>
          <w:sz w:val="32"/>
          <w:szCs w:val="32"/>
          <w:highlight w:val="none"/>
        </w:rPr>
      </w:pPr>
    </w:p>
    <w:p>
      <w:pPr>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pPr>
        <w:widowControl/>
        <w:snapToGrid w:val="0"/>
        <w:spacing w:before="156" w:after="156" w:line="360" w:lineRule="auto"/>
        <w:jc w:val="left"/>
        <w:rPr>
          <w:rFonts w:ascii="宋体" w:hAnsi="宋体" w:cs="宋体"/>
          <w:b/>
          <w:color w:val="auto"/>
          <w:kern w:val="0"/>
          <w:sz w:val="24"/>
          <w:highlight w:val="none"/>
        </w:rPr>
      </w:pPr>
    </w:p>
    <w:p>
      <w:pPr>
        <w:widowControl/>
        <w:snapToGrid w:val="0"/>
        <w:spacing w:before="156" w:after="156" w:line="360" w:lineRule="auto"/>
        <w:jc w:val="left"/>
        <w:outlineLvl w:val="0"/>
        <w:rPr>
          <w:rFonts w:ascii="宋体" w:hAnsi="宋体" w:cs="宋体"/>
          <w:b/>
          <w:color w:val="auto"/>
          <w:kern w:val="0"/>
          <w:sz w:val="24"/>
          <w:highlight w:val="none"/>
        </w:rPr>
      </w:pPr>
      <w:bookmarkStart w:id="96" w:name="_Toc18105"/>
      <w:bookmarkStart w:id="97" w:name="_Toc24693"/>
      <w:r>
        <w:rPr>
          <w:rFonts w:hint="eastAsia" w:ascii="Arial" w:hAnsi="Arial" w:eastAsia="新宋体"/>
          <w:b/>
          <w:color w:val="auto"/>
          <w:sz w:val="28"/>
          <w:highlight w:val="none"/>
        </w:rPr>
        <w:t>附件9               证明文件</w:t>
      </w:r>
      <w:bookmarkEnd w:id="96"/>
      <w:bookmarkEnd w:id="97"/>
    </w:p>
    <w:p>
      <w:pPr>
        <w:pStyle w:val="7"/>
        <w:spacing w:beforeAutospacing="0" w:afterAutospacing="0" w:line="480" w:lineRule="auto"/>
        <w:ind w:firstLine="470" w:firstLineChars="224"/>
        <w:jc w:val="both"/>
        <w:rPr>
          <w:bCs/>
          <w:color w:val="auto"/>
          <w:sz w:val="21"/>
          <w:szCs w:val="21"/>
          <w:highlight w:val="none"/>
        </w:rPr>
      </w:pPr>
      <w:r>
        <w:rPr>
          <w:rFonts w:hint="eastAsia"/>
          <w:bCs/>
          <w:color w:val="auto"/>
          <w:sz w:val="21"/>
          <w:szCs w:val="21"/>
          <w:highlight w:val="none"/>
        </w:rPr>
        <w:t>9.1</w:t>
      </w:r>
      <w:r>
        <w:rPr>
          <w:rFonts w:hint="eastAsia"/>
          <w:bCs/>
          <w:color w:val="auto"/>
          <w:sz w:val="21"/>
          <w:szCs w:val="21"/>
          <w:highlight w:val="none"/>
          <w:lang w:val="en-US" w:eastAsia="zh-CN"/>
        </w:rPr>
        <w:t xml:space="preserve"> </w:t>
      </w:r>
      <w:r>
        <w:rPr>
          <w:rFonts w:hint="eastAsia"/>
          <w:bCs/>
          <w:color w:val="auto"/>
          <w:sz w:val="21"/>
          <w:szCs w:val="21"/>
          <w:highlight w:val="none"/>
        </w:rPr>
        <w:t>资格审查资料</w:t>
      </w:r>
    </w:p>
    <w:p>
      <w:pPr>
        <w:pStyle w:val="7"/>
        <w:spacing w:beforeAutospacing="0" w:afterAutospacing="0" w:line="480" w:lineRule="auto"/>
        <w:ind w:firstLine="470" w:firstLineChars="224"/>
        <w:jc w:val="both"/>
        <w:rPr>
          <w:bCs/>
          <w:color w:val="auto"/>
          <w:sz w:val="21"/>
          <w:szCs w:val="21"/>
          <w:highlight w:val="none"/>
        </w:rPr>
      </w:pPr>
      <w:r>
        <w:rPr>
          <w:rFonts w:hint="eastAsia"/>
          <w:bCs/>
          <w:color w:val="auto"/>
          <w:sz w:val="21"/>
          <w:szCs w:val="21"/>
          <w:highlight w:val="none"/>
        </w:rPr>
        <w:t>9.2</w:t>
      </w:r>
      <w:r>
        <w:rPr>
          <w:rFonts w:hint="eastAsia"/>
          <w:bCs/>
          <w:color w:val="auto"/>
          <w:sz w:val="21"/>
          <w:szCs w:val="21"/>
          <w:highlight w:val="none"/>
          <w:lang w:val="en-US" w:eastAsia="zh-CN"/>
        </w:rPr>
        <w:t xml:space="preserve"> </w:t>
      </w:r>
      <w:r>
        <w:rPr>
          <w:rFonts w:hint="eastAsia"/>
          <w:bCs/>
          <w:color w:val="auto"/>
          <w:sz w:val="21"/>
          <w:szCs w:val="21"/>
          <w:highlight w:val="none"/>
        </w:rPr>
        <w:t>技术方案</w:t>
      </w:r>
    </w:p>
    <w:p>
      <w:pPr>
        <w:pStyle w:val="7"/>
        <w:spacing w:beforeAutospacing="0" w:afterAutospacing="0" w:line="480" w:lineRule="auto"/>
        <w:ind w:firstLine="470" w:firstLineChars="224"/>
        <w:jc w:val="both"/>
        <w:rPr>
          <w:rFonts w:hint="eastAsia"/>
          <w:bCs/>
          <w:color w:val="auto"/>
          <w:sz w:val="21"/>
          <w:szCs w:val="21"/>
          <w:highlight w:val="none"/>
        </w:rPr>
      </w:pPr>
      <w:r>
        <w:rPr>
          <w:rFonts w:hint="eastAsia"/>
          <w:bCs/>
          <w:color w:val="auto"/>
          <w:sz w:val="21"/>
          <w:szCs w:val="21"/>
          <w:highlight w:val="none"/>
        </w:rPr>
        <w:t>9.3</w:t>
      </w:r>
      <w:r>
        <w:rPr>
          <w:rFonts w:hint="eastAsia"/>
          <w:bCs/>
          <w:color w:val="auto"/>
          <w:sz w:val="21"/>
          <w:szCs w:val="21"/>
          <w:highlight w:val="none"/>
          <w:lang w:val="en-US" w:eastAsia="zh-CN"/>
        </w:rPr>
        <w:t xml:space="preserve"> </w:t>
      </w:r>
      <w:r>
        <w:rPr>
          <w:rFonts w:hint="eastAsia"/>
          <w:bCs/>
          <w:color w:val="auto"/>
          <w:sz w:val="21"/>
          <w:szCs w:val="21"/>
          <w:highlight w:val="none"/>
        </w:rPr>
        <w:t>其他需要提供的证明材料</w:t>
      </w:r>
      <w:bookmarkStart w:id="98" w:name="_Toc17966"/>
    </w:p>
    <w:p>
      <w:pPr>
        <w:pStyle w:val="7"/>
        <w:spacing w:beforeAutospacing="0" w:afterAutospacing="0" w:line="480" w:lineRule="auto"/>
        <w:ind w:firstLine="470" w:firstLineChars="224"/>
        <w:jc w:val="both"/>
        <w:rPr>
          <w:bCs/>
          <w:color w:val="auto"/>
          <w:sz w:val="21"/>
          <w:szCs w:val="21"/>
          <w:highlight w:val="none"/>
        </w:rPr>
      </w:pPr>
      <w:r>
        <w:rPr>
          <w:rFonts w:hint="eastAsia"/>
          <w:bCs/>
          <w:color w:val="auto"/>
          <w:sz w:val="21"/>
          <w:szCs w:val="21"/>
          <w:highlight w:val="none"/>
        </w:rPr>
        <w:t>9.</w:t>
      </w:r>
      <w:r>
        <w:rPr>
          <w:rFonts w:hint="eastAsia"/>
          <w:bCs/>
          <w:color w:val="auto"/>
          <w:sz w:val="21"/>
          <w:szCs w:val="21"/>
          <w:highlight w:val="none"/>
          <w:lang w:val="en-US" w:eastAsia="zh-CN"/>
        </w:rPr>
        <w:t xml:space="preserve">4 </w:t>
      </w:r>
      <w:r>
        <w:rPr>
          <w:rFonts w:hint="eastAsia"/>
          <w:bCs/>
          <w:color w:val="auto"/>
          <w:sz w:val="21"/>
          <w:szCs w:val="21"/>
          <w:highlight w:val="none"/>
        </w:rPr>
        <w:t>其他证明材料。</w:t>
      </w:r>
    </w:p>
    <w:p>
      <w:pPr>
        <w:pStyle w:val="7"/>
        <w:spacing w:beforeAutospacing="0" w:afterAutospacing="0" w:line="480" w:lineRule="auto"/>
        <w:ind w:firstLine="540" w:firstLineChars="224"/>
        <w:jc w:val="both"/>
        <w:rPr>
          <w:b/>
          <w:bCs/>
          <w:color w:val="auto"/>
          <w:highlight w:val="none"/>
        </w:rPr>
      </w:pPr>
    </w:p>
    <w:p>
      <w:pPr>
        <w:rPr>
          <w:b/>
          <w:bCs/>
          <w:color w:val="auto"/>
          <w:highlight w:val="none"/>
        </w:rPr>
      </w:pPr>
      <w:r>
        <w:rPr>
          <w:b/>
          <w:bCs/>
          <w:color w:val="auto"/>
          <w:highlight w:val="none"/>
        </w:rPr>
        <w:br w:type="page"/>
      </w:r>
    </w:p>
    <w:p>
      <w:pPr>
        <w:pStyle w:val="7"/>
        <w:spacing w:beforeAutospacing="0" w:afterAutospacing="0" w:line="480" w:lineRule="auto"/>
        <w:ind w:firstLine="540" w:firstLineChars="224"/>
        <w:jc w:val="both"/>
        <w:rPr>
          <w:b/>
          <w:bCs/>
          <w:color w:val="auto"/>
          <w:highlight w:val="none"/>
        </w:rPr>
      </w:pPr>
    </w:p>
    <w:p>
      <w:pPr>
        <w:widowControl/>
        <w:snapToGrid w:val="0"/>
        <w:spacing w:line="360" w:lineRule="auto"/>
        <w:jc w:val="center"/>
        <w:outlineLvl w:val="0"/>
        <w:rPr>
          <w:rFonts w:ascii="宋体" w:hAnsi="宋体" w:cs="宋体"/>
          <w:b/>
          <w:color w:val="auto"/>
          <w:kern w:val="0"/>
          <w:sz w:val="28"/>
          <w:szCs w:val="28"/>
          <w:highlight w:val="none"/>
        </w:rPr>
      </w:pPr>
      <w:bookmarkStart w:id="99" w:name="_Toc13726"/>
      <w:bookmarkStart w:id="100" w:name="_Toc12888"/>
      <w:r>
        <w:rPr>
          <w:rFonts w:hint="eastAsia" w:ascii="宋体" w:hAnsi="宋体" w:cs="Lucida Sans Unicode"/>
          <w:b/>
          <w:color w:val="auto"/>
          <w:kern w:val="0"/>
          <w:sz w:val="28"/>
          <w:szCs w:val="28"/>
          <w:highlight w:val="none"/>
        </w:rPr>
        <w:t xml:space="preserve">附件10        </w:t>
      </w:r>
      <w:bookmarkEnd w:id="98"/>
      <w:r>
        <w:rPr>
          <w:rFonts w:hint="eastAsia" w:ascii="宋体" w:hAnsi="宋体" w:cs="Lucida Sans Unicode"/>
          <w:b/>
          <w:color w:val="auto"/>
          <w:kern w:val="0"/>
          <w:sz w:val="28"/>
          <w:szCs w:val="28"/>
          <w:highlight w:val="none"/>
        </w:rPr>
        <w:t>供 应 商 承 诺 书</w:t>
      </w:r>
      <w:r>
        <w:rPr>
          <w:rFonts w:hint="eastAsia" w:ascii="宋体" w:hAnsi="宋体" w:cs="Lucida Sans Unicode"/>
          <w:b/>
          <w:color w:val="auto"/>
          <w:kern w:val="0"/>
          <w:sz w:val="28"/>
          <w:szCs w:val="28"/>
          <w:highlight w:val="none"/>
          <w:lang w:val="en-US" w:eastAsia="zh-CN"/>
        </w:rPr>
        <w:t xml:space="preserve"> </w:t>
      </w:r>
      <w:r>
        <w:rPr>
          <w:rFonts w:hint="eastAsia" w:ascii="宋体" w:hAnsi="宋体" w:cs="宋体"/>
          <w:color w:val="auto"/>
          <w:kern w:val="0"/>
          <w:sz w:val="28"/>
          <w:szCs w:val="28"/>
          <w:highlight w:val="none"/>
        </w:rPr>
        <w:t>（格式）</w:t>
      </w:r>
      <w:bookmarkEnd w:id="99"/>
      <w:bookmarkEnd w:id="100"/>
    </w:p>
    <w:p>
      <w:pPr>
        <w:bidi w:val="0"/>
        <w:rPr>
          <w:color w:val="auto"/>
        </w:rPr>
      </w:pP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我院（以下简称甲方）组织的本次采购，在遵守《招标投标法》、《政府采购法》、《合同法》、《反不正当竞争法》和《关于推进招投标监督领域诚信建设的意见》等法律法规的基础上，要求贵方（以下简称乙方）做出如下承诺：</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1、遵循公开、公平、公正和诚实信用的原则自愿参加，所提供的一切材料真实、有效、合法。</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2、遵守甲方采购纪律，诚实守信地为甲方提供安全可靠的产品、服务及相关技术，保证质量并主动做好售后服务工作。</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3、杜绝利用提供财物或给予其他不正当利益谋取中标的不良行为。</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4、不发生其他任何可能影响甲方工作人员公正执行公务或者职务廉洁的行为。</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5、不参与串标、围标或其他不正当竞争行为；杜绝以虚报资质、业绩或其他弄虚作假等方式骗取中标。</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6、响应时，杜绝擅自修改采购文件或技术标准（包括差异表）技术配置的行为。</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7、严格按照采购、投标文件要求签订合同，不违反法律无故拒签合同，不签订背离合同（或技术协议书）实质性内容的协议。</w:t>
      </w:r>
    </w:p>
    <w:p>
      <w:pPr>
        <w:keepNext w:val="0"/>
        <w:keepLines w:val="0"/>
        <w:pageBreakBefore w:val="0"/>
        <w:widowControl w:val="0"/>
        <w:kinsoku/>
        <w:wordWrap/>
        <w:overflowPunct/>
        <w:topLinePunct w:val="0"/>
        <w:autoSpaceDE/>
        <w:autoSpaceDN/>
        <w:bidi w:val="0"/>
        <w:adjustRightInd/>
        <w:snapToGrid w:val="0"/>
        <w:spacing w:line="480" w:lineRule="auto"/>
        <w:textAlignment w:val="auto"/>
        <w:rPr>
          <w:rFonts w:hint="eastAsia" w:ascii="宋体" w:hAnsi="宋体" w:eastAsia="宋体" w:cs="宋体"/>
          <w:color w:val="auto"/>
          <w:sz w:val="24"/>
          <w:szCs w:val="24"/>
        </w:rPr>
      </w:pPr>
    </w:p>
    <w:p>
      <w:pPr>
        <w:keepNext w:val="0"/>
        <w:keepLines w:val="0"/>
        <w:pageBreakBefore w:val="0"/>
        <w:widowControl w:val="0"/>
        <w:kinsoku/>
        <w:wordWrap/>
        <w:overflowPunct/>
        <w:topLinePunct w:val="0"/>
        <w:autoSpaceDE/>
        <w:autoSpaceDN/>
        <w:bidi w:val="0"/>
        <w:adjustRightInd/>
        <w:snapToGrid w:val="0"/>
        <w:spacing w:line="48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投标人（</w:t>
      </w:r>
      <w:r>
        <w:rPr>
          <w:rFonts w:hint="eastAsia" w:ascii="宋体" w:hAnsi="宋体" w:eastAsia="宋体" w:cs="宋体"/>
          <w:color w:val="auto"/>
          <w:sz w:val="24"/>
          <w:szCs w:val="24"/>
          <w:lang w:val="en-US" w:eastAsia="zh-CN"/>
        </w:rPr>
        <w:t>公司名称</w:t>
      </w:r>
      <w:r>
        <w:rPr>
          <w:rFonts w:hint="eastAsia" w:ascii="宋体" w:hAnsi="宋体" w:eastAsia="宋体" w:cs="宋体"/>
          <w:color w:val="auto"/>
          <w:sz w:val="24"/>
          <w:szCs w:val="24"/>
        </w:rPr>
        <w:t xml:space="preserve">）：               </w:t>
      </w:r>
    </w:p>
    <w:p>
      <w:pPr>
        <w:keepNext w:val="0"/>
        <w:keepLines w:val="0"/>
        <w:pageBreakBefore w:val="0"/>
        <w:widowControl w:val="0"/>
        <w:kinsoku/>
        <w:wordWrap/>
        <w:overflowPunct/>
        <w:topLinePunct w:val="0"/>
        <w:autoSpaceDE/>
        <w:autoSpaceDN/>
        <w:bidi w:val="0"/>
        <w:adjustRightInd/>
        <w:snapToGrid w:val="0"/>
        <w:spacing w:line="480" w:lineRule="auto"/>
        <w:textAlignment w:val="auto"/>
        <w:rPr>
          <w:color w:val="auto"/>
          <w:sz w:val="28"/>
          <w:szCs w:val="28"/>
        </w:rPr>
      </w:pPr>
      <w:r>
        <w:rPr>
          <w:rFonts w:hint="eastAsia" w:ascii="宋体" w:hAnsi="宋体" w:eastAsia="宋体" w:cs="宋体"/>
          <w:color w:val="auto"/>
          <w:sz w:val="24"/>
          <w:szCs w:val="24"/>
        </w:rPr>
        <w:t>法定代表人或委托人（签字）：                   年   月   日</w:t>
      </w:r>
    </w:p>
    <w:p>
      <w:pPr>
        <w:widowControl/>
        <w:spacing w:line="360" w:lineRule="auto"/>
        <w:ind w:firstLine="4305" w:firstLineChars="2050"/>
        <w:jc w:val="left"/>
        <w:rPr>
          <w:rFonts w:ascii="宋体" w:hAnsi="宋体" w:cs="宋体"/>
          <w:color w:val="auto"/>
          <w:kern w:val="0"/>
          <w:szCs w:val="21"/>
          <w:highlight w:val="none"/>
        </w:rPr>
      </w:pPr>
    </w:p>
    <w:p>
      <w:pPr>
        <w:spacing w:line="360" w:lineRule="auto"/>
        <w:rPr>
          <w:color w:val="auto"/>
          <w:highlight w:val="none"/>
        </w:rPr>
      </w:pPr>
    </w:p>
    <w:p>
      <w:pPr>
        <w:rPr>
          <w:color w:val="auto"/>
          <w:highlight w:val="none"/>
        </w:rPr>
      </w:pPr>
      <w:r>
        <w:rPr>
          <w:color w:val="auto"/>
          <w:highlight w:val="none"/>
        </w:rPr>
        <w:br w:type="page"/>
      </w:r>
    </w:p>
    <w:p>
      <w:pPr>
        <w:pStyle w:val="31"/>
        <w:rPr>
          <w:color w:val="auto"/>
        </w:rPr>
      </w:pPr>
    </w:p>
    <w:p>
      <w:pPr>
        <w:widowControl/>
        <w:snapToGrid w:val="0"/>
        <w:spacing w:line="360" w:lineRule="auto"/>
        <w:jc w:val="center"/>
        <w:outlineLvl w:val="0"/>
        <w:rPr>
          <w:rFonts w:ascii="宋体" w:hAnsi="宋体" w:cs="Lucida Sans Unicode"/>
          <w:b/>
          <w:color w:val="auto"/>
          <w:kern w:val="0"/>
          <w:sz w:val="24"/>
          <w:highlight w:val="none"/>
        </w:rPr>
      </w:pPr>
      <w:bookmarkStart w:id="101" w:name="_Toc25094"/>
      <w:bookmarkStart w:id="102" w:name="_Toc23394"/>
      <w:r>
        <w:rPr>
          <w:rFonts w:hint="eastAsia" w:ascii="宋体" w:hAnsi="宋体" w:cs="Lucida Sans Unicode"/>
          <w:b/>
          <w:color w:val="auto"/>
          <w:kern w:val="0"/>
          <w:sz w:val="24"/>
          <w:highlight w:val="none"/>
        </w:rPr>
        <w:t>投标人认为有必要的其他资料</w:t>
      </w:r>
      <w:bookmarkEnd w:id="101"/>
      <w:bookmarkEnd w:id="102"/>
    </w:p>
    <w:p>
      <w:pPr>
        <w:widowControl/>
        <w:spacing w:line="360" w:lineRule="auto"/>
        <w:ind w:firstLine="420" w:firstLineChars="200"/>
        <w:jc w:val="left"/>
        <w:rPr>
          <w:rFonts w:ascii="宋体" w:hAnsi="宋体" w:cs="Lucida Sans Unicode"/>
          <w:color w:val="auto"/>
          <w:kern w:val="0"/>
          <w:sz w:val="24"/>
          <w:highlight w:val="none"/>
        </w:rPr>
      </w:pPr>
      <w:r>
        <w:rPr>
          <w:rFonts w:hint="eastAsia" w:ascii="宋体" w:hAnsi="宋体" w:cs="Lucida Sans Unicode"/>
          <w:color w:val="auto"/>
          <w:kern w:val="0"/>
          <w:szCs w:val="21"/>
          <w:highlight w:val="none"/>
        </w:rPr>
        <w:t>备注：投标人应当仔细核对</w:t>
      </w:r>
      <w:r>
        <w:rPr>
          <w:rFonts w:hint="eastAsia" w:ascii="宋体" w:hAnsi="宋体" w:cs="Lucida Sans Unicode"/>
          <w:color w:val="auto"/>
          <w:kern w:val="0"/>
          <w:szCs w:val="21"/>
          <w:highlight w:val="none"/>
          <w:lang w:val="en-US" w:eastAsia="zh-CN"/>
        </w:rPr>
        <w:t>采购</w:t>
      </w:r>
      <w:r>
        <w:rPr>
          <w:rFonts w:hint="eastAsia" w:ascii="宋体" w:hAnsi="宋体" w:cs="Lucida Sans Unicode"/>
          <w:color w:val="auto"/>
          <w:kern w:val="0"/>
          <w:szCs w:val="21"/>
          <w:highlight w:val="none"/>
        </w:rPr>
        <w:t>文件中有关废标条款和评标标准，提供投标人认为应当附加的其它内容，以充分证明其投标符合</w:t>
      </w:r>
      <w:r>
        <w:rPr>
          <w:rFonts w:hint="eastAsia" w:ascii="宋体" w:hAnsi="宋体" w:cs="Lucida Sans Unicode"/>
          <w:color w:val="auto"/>
          <w:kern w:val="0"/>
          <w:szCs w:val="21"/>
          <w:highlight w:val="none"/>
          <w:lang w:val="en-US" w:eastAsia="zh-CN"/>
        </w:rPr>
        <w:t>采购</w:t>
      </w:r>
      <w:r>
        <w:rPr>
          <w:rFonts w:hint="eastAsia" w:ascii="宋体" w:hAnsi="宋体" w:cs="Lucida Sans Unicode"/>
          <w:color w:val="auto"/>
          <w:kern w:val="0"/>
          <w:szCs w:val="21"/>
          <w:highlight w:val="none"/>
        </w:rPr>
        <w:t>文件规定，并为评标提供充分依据。如果投标人未能提供相关证明文件，将有可能导致废标或者无法得分。</w:t>
      </w: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both"/>
        <w:rPr>
          <w:b/>
          <w:bCs/>
          <w:color w:val="auto"/>
          <w:sz w:val="28"/>
          <w:szCs w:val="28"/>
          <w:highlight w:val="none"/>
        </w:rPr>
      </w:pPr>
    </w:p>
    <w:sectPr>
      <w:headerReference r:id="rId5" w:type="default"/>
      <w:footerReference r:id="rId6" w:type="default"/>
      <w:pgSz w:w="11906" w:h="16838"/>
      <w:pgMar w:top="1417" w:right="1474" w:bottom="1417" w:left="1474" w:header="851" w:footer="624" w:gutter="0"/>
      <w:pgNumType w:fmt="decimal"/>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onospace">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Lucida Sans Unicode">
    <w:panose1 w:val="020B0602030504020204"/>
    <w:charset w:val="00"/>
    <w:family w:val="swiss"/>
    <w:pitch w:val="default"/>
    <w:sig w:usb0="80001AFF" w:usb1="0000396B" w:usb2="00000000" w:usb3="00000000" w:csb0="200000BF" w:csb1="D7F70000"/>
  </w:font>
  <w:font w:name="新宋体">
    <w:panose1 w:val="02010609030101010101"/>
    <w:charset w:val="86"/>
    <w:family w:val="modern"/>
    <w:pitch w:val="default"/>
    <w:sig w:usb0="00000283" w:usb1="288F0000" w:usb2="0000000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top w:val="single" w:color="auto" w:sz="4" w:space="1"/>
      </w:pBdr>
      <w:jc w:val="both"/>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14605</wp:posOffset>
              </wp:positionV>
              <wp:extent cx="1828800" cy="182880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21"/>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1.15pt;height:144pt;width:144pt;mso-position-horizontal:center;mso-position-horizontal-relative:margin;mso-wrap-style:none;z-index:251660288;mso-width-relative:page;mso-height-relative:page;" filled="f" stroked="f" coordsize="21600,21600" o:gfxdata="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MnDNi/TAAAABgEAAA8AAAAAAAAAAQAgAAAAIgAA&#10;AGRycy9kb3ducmV2LnhtbFBLAQIUABQAAAAIAIdO4kCHIGb51AEAAKUDAAAOAAAAAAAAAAEAIAAA&#10;ACIBAABkcnMvZTJvRG9jLnhtbFBLBQYAAAAABgAGAFkBAABoBQAAAAA=&#10;">
              <v:fill on="f" focussize="0,0"/>
              <v:stroke on="f" weight="0.5pt"/>
              <v:imagedata o:title=""/>
              <o:lock v:ext="edit" aspectratio="f"/>
              <v:textbox inset="0mm,0mm,0mm,0mm" style="mso-fit-shape-to-text:t;">
                <w:txbxContent>
                  <w:p>
                    <w:pPr>
                      <w:pStyle w:val="21"/>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top w:val="single" w:color="auto" w:sz="4" w:space="1"/>
      </w:pBdr>
      <w:jc w:val="both"/>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14605</wp:posOffset>
              </wp:positionV>
              <wp:extent cx="144780" cy="204470"/>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144780" cy="204470"/>
                      </a:xfrm>
                      <a:prstGeom prst="rect">
                        <a:avLst/>
                      </a:prstGeom>
                      <a:noFill/>
                      <a:ln>
                        <a:noFill/>
                      </a:ln>
                    </wps:spPr>
                    <wps:txbx>
                      <w:txbxContent>
                        <w:p>
                          <w:pPr>
                            <w:pStyle w:val="21"/>
                            <w:rPr>
                              <w:rFonts w:ascii="宋体" w:hAnsi="宋体" w:cs="宋体"/>
                            </w:rPr>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18</w:t>
                          </w:r>
                          <w:r>
                            <w:rPr>
                              <w:rFonts w:hint="eastAsia" w:ascii="宋体" w:hAnsi="宋体" w:cs="宋体"/>
                            </w:rPr>
                            <w:fldChar w:fldCharType="end"/>
                          </w:r>
                        </w:p>
                      </w:txbxContent>
                    </wps:txbx>
                    <wps:bodyPr lIns="0" tIns="0" rIns="0" bIns="0" upright="1"/>
                  </wps:wsp>
                </a:graphicData>
              </a:graphic>
            </wp:anchor>
          </w:drawing>
        </mc:Choice>
        <mc:Fallback>
          <w:pict>
            <v:shape id="文本框 1026" o:spid="_x0000_s1026" o:spt="202" type="#_x0000_t202" style="position:absolute;left:0pt;margin-top:1.15pt;height:16.1pt;width:11.4pt;mso-position-horizontal:center;mso-position-horizontal-relative:margin;z-index:251659264;mso-width-relative:page;mso-height-relative:page;" filled="f" stroked="f" coordsize="21600,21600" o:gfxdata="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l9mmrNQAAAAEAQAADwAAAAAAAAABACAAAAAiAAAAZHJzL2Rvd25yZXYueG1sUEsBAhQAFAAA&#10;AAgAh07iQFFZh6C6AQAAdAMAAA4AAAAAAAAAAQAgAAAAIwEAAGRycy9lMm9Eb2MueG1sUEsFBgAA&#10;AAAGAAYAWQEAAE8FAAAAAA==&#10;">
              <v:fill on="f" focussize="0,0"/>
              <v:stroke on="f"/>
              <v:imagedata o:title=""/>
              <o:lock v:ext="edit" aspectratio="f"/>
              <v:textbox inset="0mm,0mm,0mm,0mm">
                <w:txbxContent>
                  <w:p>
                    <w:pPr>
                      <w:pStyle w:val="21"/>
                      <w:rPr>
                        <w:rFonts w:ascii="宋体" w:hAnsi="宋体" w:cs="宋体"/>
                      </w:rPr>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18</w:t>
                    </w:r>
                    <w:r>
                      <w:rPr>
                        <w:rFonts w:hint="eastAsia" w:ascii="宋体" w:hAnsi="宋体" w:cs="宋体"/>
                      </w:rPr>
                      <w:fldChar w:fldCharType="end"/>
                    </w:r>
                  </w:p>
                </w:txbxContent>
              </v:textbox>
            </v:shape>
          </w:pict>
        </mc:Fallback>
      </mc:AlternateContent>
    </w:r>
    <w:r>
      <w:rPr>
        <w:rFonts w:hint="eastAsia"/>
      </w:rPr>
      <w:t xml:space="preserve">        </w:t>
    </w:r>
  </w:p>
  <w:p>
    <w:pPr>
      <w:pStyle w:val="2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right"/>
    </w:pPr>
    <w:r>
      <w:rPr>
        <w:rFonts w:hint="eastAsia" w:ascii="宋体" w:hAnsi="宋体" w:cs="宋体"/>
        <w:color w:val="auto"/>
        <w:lang w:eastAsia="zh-CN"/>
      </w:rPr>
      <w:t>驻马店市中心医院新生儿经鼻高流量呼吸湿化治疗仪采购项目</w:t>
    </w:r>
    <w:r>
      <w:rPr>
        <w:rFonts w:hint="eastAsia" w:ascii="宋体" w:hAnsi="宋体" w:eastAsia="宋体" w:cs="宋体"/>
        <w:color w:val="auto"/>
        <w:lang w:val="en-US" w:eastAsia="zh-CN"/>
      </w:rPr>
      <w:t>采</w:t>
    </w:r>
    <w:r>
      <w:rPr>
        <w:rFonts w:hint="eastAsia" w:ascii="宋体" w:hAnsi="宋体" w:cs="宋体"/>
        <w:color w:val="auto"/>
        <w:szCs w:val="21"/>
        <w:highlight w:val="none"/>
        <w:u w:val="none"/>
        <w:shd w:val="clear" w:color="auto" w:fill="FFFFFF"/>
        <w:lang w:val="en-US" w:eastAsia="zh-CN"/>
      </w:rPr>
      <w:t>购</w:t>
    </w:r>
    <w:r>
      <w:rPr>
        <w:rFonts w:hint="eastAsia"/>
      </w:rPr>
      <w:t>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right"/>
      <w:rPr>
        <w:rFonts w:hint="eastAsia" w:eastAsia="宋体"/>
        <w:lang w:val="en-US" w:eastAsia="zh-CN"/>
      </w:rPr>
    </w:pPr>
    <w:r>
      <w:rPr>
        <w:rFonts w:hint="eastAsia"/>
      </w:rPr>
      <w:t xml:space="preserve">                            </w:t>
    </w:r>
    <w:r>
      <w:rPr>
        <w:rFonts w:hint="eastAsia" w:ascii="宋体" w:hAnsi="宋体" w:cs="宋体"/>
        <w:color w:val="auto"/>
        <w:lang w:eastAsia="zh-CN"/>
      </w:rPr>
      <w:t>驻马店市中心医院新生儿经鼻高流量呼吸湿化治疗仪采购项目</w:t>
    </w:r>
    <w:r>
      <w:rPr>
        <w:rFonts w:hint="eastAsia" w:ascii="宋体" w:hAnsi="宋体" w:eastAsia="宋体" w:cs="宋体"/>
        <w:color w:val="auto"/>
        <w:lang w:val="en-US" w:eastAsia="zh-CN"/>
      </w:rPr>
      <w:t>采</w:t>
    </w:r>
    <w:r>
      <w:rPr>
        <w:rFonts w:hint="eastAsia" w:ascii="宋体" w:hAnsi="宋体" w:cs="宋体"/>
        <w:color w:val="auto"/>
        <w:szCs w:val="21"/>
        <w:highlight w:val="none"/>
        <w:u w:val="none"/>
        <w:shd w:val="clear" w:color="auto" w:fill="FFFFFF"/>
        <w:lang w:val="en-US" w:eastAsia="zh-CN"/>
      </w:rPr>
      <w:t>购</w:t>
    </w:r>
    <w:r>
      <w:rPr>
        <w:rFonts w:hint="eastAsia"/>
      </w:rPr>
      <w:t>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C3247B"/>
    <w:multiLevelType w:val="singleLevel"/>
    <w:tmpl w:val="93C3247B"/>
    <w:lvl w:ilvl="0" w:tentative="0">
      <w:start w:val="2"/>
      <w:numFmt w:val="decimal"/>
      <w:suff w:val="space"/>
      <w:lvlText w:val="%1."/>
      <w:lvlJc w:val="left"/>
    </w:lvl>
  </w:abstractNum>
  <w:abstractNum w:abstractNumId="1">
    <w:nsid w:val="E8A954FB"/>
    <w:multiLevelType w:val="singleLevel"/>
    <w:tmpl w:val="E8A954FB"/>
    <w:lvl w:ilvl="0" w:tentative="0">
      <w:start w:val="1"/>
      <w:numFmt w:val="decimal"/>
      <w:suff w:val="nothing"/>
      <w:lvlText w:val="%1、"/>
      <w:lvlJc w:val="left"/>
    </w:lvl>
  </w:abstractNum>
  <w:abstractNum w:abstractNumId="2">
    <w:nsid w:val="59B6410A"/>
    <w:multiLevelType w:val="singleLevel"/>
    <w:tmpl w:val="59B6410A"/>
    <w:lvl w:ilvl="0" w:tentative="0">
      <w:start w:val="1"/>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HorizontalSpacing w:val="105"/>
  <w:drawingGridVerticalSpacing w:val="319"/>
  <w:displayHorizontalDrawingGridEvery w:val="1"/>
  <w:displayVerticalDrawingGridEvery w:val="1"/>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IwMjRmYTY4OTJhZjc1NTA1MGQwNDc0NzZhNTkwMmUifQ=="/>
  </w:docVars>
  <w:rsids>
    <w:rsidRoot w:val="00172A27"/>
    <w:rsid w:val="00000E51"/>
    <w:rsid w:val="00003688"/>
    <w:rsid w:val="000036EC"/>
    <w:rsid w:val="00012F90"/>
    <w:rsid w:val="000165C3"/>
    <w:rsid w:val="00017230"/>
    <w:rsid w:val="00020C53"/>
    <w:rsid w:val="00021C37"/>
    <w:rsid w:val="00022E51"/>
    <w:rsid w:val="00024627"/>
    <w:rsid w:val="000262D7"/>
    <w:rsid w:val="0002667F"/>
    <w:rsid w:val="000272B2"/>
    <w:rsid w:val="00031431"/>
    <w:rsid w:val="00034F10"/>
    <w:rsid w:val="00035692"/>
    <w:rsid w:val="00036275"/>
    <w:rsid w:val="00037EC8"/>
    <w:rsid w:val="00040F14"/>
    <w:rsid w:val="0004437B"/>
    <w:rsid w:val="000521E5"/>
    <w:rsid w:val="00054740"/>
    <w:rsid w:val="00055707"/>
    <w:rsid w:val="0005650A"/>
    <w:rsid w:val="00057843"/>
    <w:rsid w:val="00061862"/>
    <w:rsid w:val="00064977"/>
    <w:rsid w:val="00065EFE"/>
    <w:rsid w:val="000678CF"/>
    <w:rsid w:val="00067EA4"/>
    <w:rsid w:val="000757DD"/>
    <w:rsid w:val="000771AB"/>
    <w:rsid w:val="000828BF"/>
    <w:rsid w:val="0008472B"/>
    <w:rsid w:val="00085F92"/>
    <w:rsid w:val="000910D5"/>
    <w:rsid w:val="0009148A"/>
    <w:rsid w:val="00092B31"/>
    <w:rsid w:val="00097532"/>
    <w:rsid w:val="00097E42"/>
    <w:rsid w:val="000A0B1B"/>
    <w:rsid w:val="000A126A"/>
    <w:rsid w:val="000A16B7"/>
    <w:rsid w:val="000A7088"/>
    <w:rsid w:val="000A78F6"/>
    <w:rsid w:val="000B0240"/>
    <w:rsid w:val="000B6531"/>
    <w:rsid w:val="000B772E"/>
    <w:rsid w:val="000C43E1"/>
    <w:rsid w:val="000C6342"/>
    <w:rsid w:val="000C6986"/>
    <w:rsid w:val="000C6F01"/>
    <w:rsid w:val="000C73C9"/>
    <w:rsid w:val="000D0D98"/>
    <w:rsid w:val="000D44AD"/>
    <w:rsid w:val="000D72E6"/>
    <w:rsid w:val="000E252C"/>
    <w:rsid w:val="000E6B87"/>
    <w:rsid w:val="000E6D3C"/>
    <w:rsid w:val="000F035B"/>
    <w:rsid w:val="000F2100"/>
    <w:rsid w:val="000F685E"/>
    <w:rsid w:val="00104521"/>
    <w:rsid w:val="00110444"/>
    <w:rsid w:val="0011253B"/>
    <w:rsid w:val="001139C0"/>
    <w:rsid w:val="0011452C"/>
    <w:rsid w:val="00121774"/>
    <w:rsid w:val="00122AE5"/>
    <w:rsid w:val="00127E77"/>
    <w:rsid w:val="0013574E"/>
    <w:rsid w:val="00141C52"/>
    <w:rsid w:val="00145792"/>
    <w:rsid w:val="00147FC2"/>
    <w:rsid w:val="00151D92"/>
    <w:rsid w:val="00153449"/>
    <w:rsid w:val="00155B84"/>
    <w:rsid w:val="00162EA5"/>
    <w:rsid w:val="001630D8"/>
    <w:rsid w:val="001641C5"/>
    <w:rsid w:val="001656CE"/>
    <w:rsid w:val="00166B7C"/>
    <w:rsid w:val="00170488"/>
    <w:rsid w:val="00171081"/>
    <w:rsid w:val="00171DC4"/>
    <w:rsid w:val="00172A27"/>
    <w:rsid w:val="001743D2"/>
    <w:rsid w:val="001756D5"/>
    <w:rsid w:val="00176116"/>
    <w:rsid w:val="00176541"/>
    <w:rsid w:val="001809B6"/>
    <w:rsid w:val="00180A78"/>
    <w:rsid w:val="00181303"/>
    <w:rsid w:val="00183B61"/>
    <w:rsid w:val="001866AC"/>
    <w:rsid w:val="00190212"/>
    <w:rsid w:val="00192E94"/>
    <w:rsid w:val="00193782"/>
    <w:rsid w:val="001A1F77"/>
    <w:rsid w:val="001A6057"/>
    <w:rsid w:val="001A63D5"/>
    <w:rsid w:val="001B4D8E"/>
    <w:rsid w:val="001B6482"/>
    <w:rsid w:val="001C08A9"/>
    <w:rsid w:val="001D0E22"/>
    <w:rsid w:val="001D414F"/>
    <w:rsid w:val="001D4D3C"/>
    <w:rsid w:val="001D784A"/>
    <w:rsid w:val="001D7D80"/>
    <w:rsid w:val="001E3D17"/>
    <w:rsid w:val="001E50E4"/>
    <w:rsid w:val="001F4DBD"/>
    <w:rsid w:val="001F4F1E"/>
    <w:rsid w:val="001F52D5"/>
    <w:rsid w:val="001F60F4"/>
    <w:rsid w:val="001F79C5"/>
    <w:rsid w:val="00207653"/>
    <w:rsid w:val="0021089D"/>
    <w:rsid w:val="00214403"/>
    <w:rsid w:val="0021505B"/>
    <w:rsid w:val="0022103B"/>
    <w:rsid w:val="002219DC"/>
    <w:rsid w:val="00221F7D"/>
    <w:rsid w:val="00231F56"/>
    <w:rsid w:val="00234020"/>
    <w:rsid w:val="00235D34"/>
    <w:rsid w:val="0024066E"/>
    <w:rsid w:val="00243C82"/>
    <w:rsid w:val="0024618D"/>
    <w:rsid w:val="002476D8"/>
    <w:rsid w:val="002727E2"/>
    <w:rsid w:val="00275597"/>
    <w:rsid w:val="002818DD"/>
    <w:rsid w:val="00281F28"/>
    <w:rsid w:val="00286921"/>
    <w:rsid w:val="0028704B"/>
    <w:rsid w:val="002912E9"/>
    <w:rsid w:val="00297DDD"/>
    <w:rsid w:val="002A6EF5"/>
    <w:rsid w:val="002B0A49"/>
    <w:rsid w:val="002B151E"/>
    <w:rsid w:val="002B1F8A"/>
    <w:rsid w:val="002B21DB"/>
    <w:rsid w:val="002B2A18"/>
    <w:rsid w:val="002B2FF2"/>
    <w:rsid w:val="002B39C1"/>
    <w:rsid w:val="002B4688"/>
    <w:rsid w:val="002B59AF"/>
    <w:rsid w:val="002B6028"/>
    <w:rsid w:val="002B6EEC"/>
    <w:rsid w:val="002C318F"/>
    <w:rsid w:val="002C59F0"/>
    <w:rsid w:val="002D28E7"/>
    <w:rsid w:val="002D38D8"/>
    <w:rsid w:val="002D5AB8"/>
    <w:rsid w:val="002D694B"/>
    <w:rsid w:val="002D700F"/>
    <w:rsid w:val="002D7301"/>
    <w:rsid w:val="002D7928"/>
    <w:rsid w:val="002E132A"/>
    <w:rsid w:val="002E1ED0"/>
    <w:rsid w:val="002E62DB"/>
    <w:rsid w:val="002F0B3C"/>
    <w:rsid w:val="002F0CC5"/>
    <w:rsid w:val="002F4F94"/>
    <w:rsid w:val="002F52A8"/>
    <w:rsid w:val="0030109F"/>
    <w:rsid w:val="00302A40"/>
    <w:rsid w:val="00321BAA"/>
    <w:rsid w:val="003251B4"/>
    <w:rsid w:val="00333A21"/>
    <w:rsid w:val="00333A29"/>
    <w:rsid w:val="0034106D"/>
    <w:rsid w:val="003506C4"/>
    <w:rsid w:val="003534C9"/>
    <w:rsid w:val="00353F83"/>
    <w:rsid w:val="003559F8"/>
    <w:rsid w:val="00356B57"/>
    <w:rsid w:val="00360373"/>
    <w:rsid w:val="003634AB"/>
    <w:rsid w:val="00365DBF"/>
    <w:rsid w:val="00373382"/>
    <w:rsid w:val="0037426D"/>
    <w:rsid w:val="00374559"/>
    <w:rsid w:val="0037549E"/>
    <w:rsid w:val="0037721E"/>
    <w:rsid w:val="00380986"/>
    <w:rsid w:val="00382A6A"/>
    <w:rsid w:val="0038356F"/>
    <w:rsid w:val="00383C51"/>
    <w:rsid w:val="003849B3"/>
    <w:rsid w:val="0038547B"/>
    <w:rsid w:val="00386F28"/>
    <w:rsid w:val="00390347"/>
    <w:rsid w:val="00391146"/>
    <w:rsid w:val="00392964"/>
    <w:rsid w:val="0039368B"/>
    <w:rsid w:val="0039495F"/>
    <w:rsid w:val="00394D38"/>
    <w:rsid w:val="003962AF"/>
    <w:rsid w:val="00396D48"/>
    <w:rsid w:val="003A03F9"/>
    <w:rsid w:val="003A56C5"/>
    <w:rsid w:val="003B0180"/>
    <w:rsid w:val="003B06C0"/>
    <w:rsid w:val="003B06EB"/>
    <w:rsid w:val="003B21E0"/>
    <w:rsid w:val="003B419B"/>
    <w:rsid w:val="003B61DA"/>
    <w:rsid w:val="003C3687"/>
    <w:rsid w:val="003D1F44"/>
    <w:rsid w:val="003D2173"/>
    <w:rsid w:val="003D3EAB"/>
    <w:rsid w:val="003D48A8"/>
    <w:rsid w:val="003D5DB0"/>
    <w:rsid w:val="003E1FE2"/>
    <w:rsid w:val="003E35BE"/>
    <w:rsid w:val="003F35EF"/>
    <w:rsid w:val="003F3AED"/>
    <w:rsid w:val="003F4368"/>
    <w:rsid w:val="003F5E68"/>
    <w:rsid w:val="003F63CA"/>
    <w:rsid w:val="0040755F"/>
    <w:rsid w:val="00407F61"/>
    <w:rsid w:val="00410C32"/>
    <w:rsid w:val="00416BEF"/>
    <w:rsid w:val="00420790"/>
    <w:rsid w:val="004212E9"/>
    <w:rsid w:val="00421D27"/>
    <w:rsid w:val="00425B8B"/>
    <w:rsid w:val="004261E2"/>
    <w:rsid w:val="004266B1"/>
    <w:rsid w:val="00435566"/>
    <w:rsid w:val="0043672E"/>
    <w:rsid w:val="00444A2F"/>
    <w:rsid w:val="00446D88"/>
    <w:rsid w:val="0044728E"/>
    <w:rsid w:val="00450723"/>
    <w:rsid w:val="0045184C"/>
    <w:rsid w:val="00454DD9"/>
    <w:rsid w:val="004564BA"/>
    <w:rsid w:val="00460C29"/>
    <w:rsid w:val="00460C96"/>
    <w:rsid w:val="00462411"/>
    <w:rsid w:val="004637BF"/>
    <w:rsid w:val="004638C7"/>
    <w:rsid w:val="00467CD8"/>
    <w:rsid w:val="00467DBB"/>
    <w:rsid w:val="00474C5C"/>
    <w:rsid w:val="00476D4F"/>
    <w:rsid w:val="00477033"/>
    <w:rsid w:val="00481BE4"/>
    <w:rsid w:val="00482A00"/>
    <w:rsid w:val="00483DEE"/>
    <w:rsid w:val="004840F2"/>
    <w:rsid w:val="004860CE"/>
    <w:rsid w:val="00487965"/>
    <w:rsid w:val="0049159F"/>
    <w:rsid w:val="00491CFF"/>
    <w:rsid w:val="00494AE3"/>
    <w:rsid w:val="004A2DC2"/>
    <w:rsid w:val="004A3ED1"/>
    <w:rsid w:val="004A56AA"/>
    <w:rsid w:val="004B0865"/>
    <w:rsid w:val="004B0DC2"/>
    <w:rsid w:val="004B1068"/>
    <w:rsid w:val="004B3872"/>
    <w:rsid w:val="004B479D"/>
    <w:rsid w:val="004B6CE6"/>
    <w:rsid w:val="004C6D19"/>
    <w:rsid w:val="004D5FCF"/>
    <w:rsid w:val="004D751C"/>
    <w:rsid w:val="004D7B42"/>
    <w:rsid w:val="004F0462"/>
    <w:rsid w:val="00503E97"/>
    <w:rsid w:val="005068C0"/>
    <w:rsid w:val="00512A1F"/>
    <w:rsid w:val="005226EE"/>
    <w:rsid w:val="00524147"/>
    <w:rsid w:val="00525D5A"/>
    <w:rsid w:val="0052705E"/>
    <w:rsid w:val="00527303"/>
    <w:rsid w:val="00531A15"/>
    <w:rsid w:val="00536761"/>
    <w:rsid w:val="00543694"/>
    <w:rsid w:val="00545EBC"/>
    <w:rsid w:val="00552CFD"/>
    <w:rsid w:val="005537EC"/>
    <w:rsid w:val="00561DC8"/>
    <w:rsid w:val="00563FCD"/>
    <w:rsid w:val="00567B6D"/>
    <w:rsid w:val="0057221A"/>
    <w:rsid w:val="00574F1C"/>
    <w:rsid w:val="00575874"/>
    <w:rsid w:val="00583F9C"/>
    <w:rsid w:val="005867C0"/>
    <w:rsid w:val="00586B69"/>
    <w:rsid w:val="00587007"/>
    <w:rsid w:val="005916D7"/>
    <w:rsid w:val="00592A6D"/>
    <w:rsid w:val="005946C4"/>
    <w:rsid w:val="00595847"/>
    <w:rsid w:val="005A466D"/>
    <w:rsid w:val="005B1953"/>
    <w:rsid w:val="005B1D93"/>
    <w:rsid w:val="005B3737"/>
    <w:rsid w:val="005B38FA"/>
    <w:rsid w:val="005B79B6"/>
    <w:rsid w:val="005C11E9"/>
    <w:rsid w:val="005C332C"/>
    <w:rsid w:val="005C511F"/>
    <w:rsid w:val="005C6B44"/>
    <w:rsid w:val="005C7F75"/>
    <w:rsid w:val="005D1C21"/>
    <w:rsid w:val="005D3447"/>
    <w:rsid w:val="005D3B26"/>
    <w:rsid w:val="005D5624"/>
    <w:rsid w:val="005D5C32"/>
    <w:rsid w:val="005D788B"/>
    <w:rsid w:val="005D7A7D"/>
    <w:rsid w:val="005D7CD8"/>
    <w:rsid w:val="005E1A51"/>
    <w:rsid w:val="00600486"/>
    <w:rsid w:val="006026D1"/>
    <w:rsid w:val="006026DE"/>
    <w:rsid w:val="00605665"/>
    <w:rsid w:val="00606A63"/>
    <w:rsid w:val="006134B6"/>
    <w:rsid w:val="00622261"/>
    <w:rsid w:val="00627850"/>
    <w:rsid w:val="00627DC7"/>
    <w:rsid w:val="00632751"/>
    <w:rsid w:val="00633657"/>
    <w:rsid w:val="00635EE7"/>
    <w:rsid w:val="00640403"/>
    <w:rsid w:val="00643CF6"/>
    <w:rsid w:val="0064622C"/>
    <w:rsid w:val="0064748F"/>
    <w:rsid w:val="0064772A"/>
    <w:rsid w:val="006506F3"/>
    <w:rsid w:val="006527BA"/>
    <w:rsid w:val="00654D3A"/>
    <w:rsid w:val="00657186"/>
    <w:rsid w:val="00657B85"/>
    <w:rsid w:val="00662038"/>
    <w:rsid w:val="00662F1B"/>
    <w:rsid w:val="00663912"/>
    <w:rsid w:val="00665B74"/>
    <w:rsid w:val="00666E46"/>
    <w:rsid w:val="006733F1"/>
    <w:rsid w:val="00674B7B"/>
    <w:rsid w:val="006774B7"/>
    <w:rsid w:val="00681340"/>
    <w:rsid w:val="00681E00"/>
    <w:rsid w:val="00681EFA"/>
    <w:rsid w:val="00683BD4"/>
    <w:rsid w:val="006901E3"/>
    <w:rsid w:val="00694E40"/>
    <w:rsid w:val="00695469"/>
    <w:rsid w:val="006973BE"/>
    <w:rsid w:val="006A3FAF"/>
    <w:rsid w:val="006A53C0"/>
    <w:rsid w:val="006A5EC9"/>
    <w:rsid w:val="006A6BE3"/>
    <w:rsid w:val="006A6C58"/>
    <w:rsid w:val="006A6CA0"/>
    <w:rsid w:val="006B0BA3"/>
    <w:rsid w:val="006B4389"/>
    <w:rsid w:val="006C1AC3"/>
    <w:rsid w:val="006C3381"/>
    <w:rsid w:val="006C3F8D"/>
    <w:rsid w:val="006C5741"/>
    <w:rsid w:val="006C5895"/>
    <w:rsid w:val="006C7A22"/>
    <w:rsid w:val="006D23F4"/>
    <w:rsid w:val="006D2422"/>
    <w:rsid w:val="006D2754"/>
    <w:rsid w:val="006E0E89"/>
    <w:rsid w:val="006E211C"/>
    <w:rsid w:val="006E3D12"/>
    <w:rsid w:val="006E3F7B"/>
    <w:rsid w:val="006E7834"/>
    <w:rsid w:val="006F1887"/>
    <w:rsid w:val="006F2533"/>
    <w:rsid w:val="006F36C9"/>
    <w:rsid w:val="006F3FF8"/>
    <w:rsid w:val="006F5EBB"/>
    <w:rsid w:val="006F6D76"/>
    <w:rsid w:val="00700968"/>
    <w:rsid w:val="00715942"/>
    <w:rsid w:val="00717D28"/>
    <w:rsid w:val="00720430"/>
    <w:rsid w:val="007213BD"/>
    <w:rsid w:val="0072294E"/>
    <w:rsid w:val="0073362A"/>
    <w:rsid w:val="00734E23"/>
    <w:rsid w:val="007361D9"/>
    <w:rsid w:val="00742A39"/>
    <w:rsid w:val="007442BF"/>
    <w:rsid w:val="007451B7"/>
    <w:rsid w:val="007454DB"/>
    <w:rsid w:val="007477B9"/>
    <w:rsid w:val="00752D80"/>
    <w:rsid w:val="007539E6"/>
    <w:rsid w:val="00753B1A"/>
    <w:rsid w:val="0075506B"/>
    <w:rsid w:val="00756A8B"/>
    <w:rsid w:val="007635C6"/>
    <w:rsid w:val="00766B59"/>
    <w:rsid w:val="0076783A"/>
    <w:rsid w:val="00770296"/>
    <w:rsid w:val="0077380E"/>
    <w:rsid w:val="00776A44"/>
    <w:rsid w:val="007819D5"/>
    <w:rsid w:val="00784D17"/>
    <w:rsid w:val="007855DC"/>
    <w:rsid w:val="00791C0A"/>
    <w:rsid w:val="007A1ABC"/>
    <w:rsid w:val="007A1BDB"/>
    <w:rsid w:val="007A393C"/>
    <w:rsid w:val="007A7CCF"/>
    <w:rsid w:val="007B2EDA"/>
    <w:rsid w:val="007B5BF3"/>
    <w:rsid w:val="007B6B89"/>
    <w:rsid w:val="007C13DE"/>
    <w:rsid w:val="007C1D12"/>
    <w:rsid w:val="007D1504"/>
    <w:rsid w:val="007D7FE5"/>
    <w:rsid w:val="007E07D0"/>
    <w:rsid w:val="007E0DAC"/>
    <w:rsid w:val="007E2E98"/>
    <w:rsid w:val="007E52EB"/>
    <w:rsid w:val="007E5F56"/>
    <w:rsid w:val="007E6644"/>
    <w:rsid w:val="007E69C5"/>
    <w:rsid w:val="007F0E44"/>
    <w:rsid w:val="007F12B5"/>
    <w:rsid w:val="007F1A27"/>
    <w:rsid w:val="007F50E5"/>
    <w:rsid w:val="008018E2"/>
    <w:rsid w:val="00806F13"/>
    <w:rsid w:val="0081025F"/>
    <w:rsid w:val="008104D7"/>
    <w:rsid w:val="0081331D"/>
    <w:rsid w:val="00815884"/>
    <w:rsid w:val="0082101E"/>
    <w:rsid w:val="00821BBB"/>
    <w:rsid w:val="00822315"/>
    <w:rsid w:val="00823BC7"/>
    <w:rsid w:val="00826C87"/>
    <w:rsid w:val="008307A1"/>
    <w:rsid w:val="00831534"/>
    <w:rsid w:val="00831ACF"/>
    <w:rsid w:val="00834B99"/>
    <w:rsid w:val="00835896"/>
    <w:rsid w:val="00844E75"/>
    <w:rsid w:val="00844FCA"/>
    <w:rsid w:val="008500F7"/>
    <w:rsid w:val="008509F0"/>
    <w:rsid w:val="00853408"/>
    <w:rsid w:val="008553A0"/>
    <w:rsid w:val="00862B84"/>
    <w:rsid w:val="008639A5"/>
    <w:rsid w:val="00864F88"/>
    <w:rsid w:val="008717DC"/>
    <w:rsid w:val="008757D7"/>
    <w:rsid w:val="00880AFB"/>
    <w:rsid w:val="0088168B"/>
    <w:rsid w:val="00881F4C"/>
    <w:rsid w:val="00890267"/>
    <w:rsid w:val="00893E5D"/>
    <w:rsid w:val="008A10E8"/>
    <w:rsid w:val="008A115E"/>
    <w:rsid w:val="008A380B"/>
    <w:rsid w:val="008A4B1D"/>
    <w:rsid w:val="008A69F8"/>
    <w:rsid w:val="008A7033"/>
    <w:rsid w:val="008B0660"/>
    <w:rsid w:val="008B51F5"/>
    <w:rsid w:val="008B5432"/>
    <w:rsid w:val="008B5D0F"/>
    <w:rsid w:val="008B7FB1"/>
    <w:rsid w:val="008C2BC7"/>
    <w:rsid w:val="008C31FD"/>
    <w:rsid w:val="008C47EB"/>
    <w:rsid w:val="008C4BE6"/>
    <w:rsid w:val="008C53A8"/>
    <w:rsid w:val="008C698C"/>
    <w:rsid w:val="008C7324"/>
    <w:rsid w:val="008D2BEE"/>
    <w:rsid w:val="008D3384"/>
    <w:rsid w:val="008D64BC"/>
    <w:rsid w:val="008D70CD"/>
    <w:rsid w:val="008E4585"/>
    <w:rsid w:val="008E5901"/>
    <w:rsid w:val="008F07E3"/>
    <w:rsid w:val="008F15BA"/>
    <w:rsid w:val="008F606B"/>
    <w:rsid w:val="00900739"/>
    <w:rsid w:val="00904FE1"/>
    <w:rsid w:val="009072BE"/>
    <w:rsid w:val="00912FF6"/>
    <w:rsid w:val="00914EED"/>
    <w:rsid w:val="009175CA"/>
    <w:rsid w:val="00923C18"/>
    <w:rsid w:val="00924816"/>
    <w:rsid w:val="00927240"/>
    <w:rsid w:val="00930E42"/>
    <w:rsid w:val="009317EA"/>
    <w:rsid w:val="00931BD1"/>
    <w:rsid w:val="009404CE"/>
    <w:rsid w:val="0094252B"/>
    <w:rsid w:val="0094548A"/>
    <w:rsid w:val="00947054"/>
    <w:rsid w:val="00947CF0"/>
    <w:rsid w:val="0095275E"/>
    <w:rsid w:val="00952958"/>
    <w:rsid w:val="0096169A"/>
    <w:rsid w:val="009616B6"/>
    <w:rsid w:val="00961C05"/>
    <w:rsid w:val="009659CB"/>
    <w:rsid w:val="00966ECA"/>
    <w:rsid w:val="00967B87"/>
    <w:rsid w:val="009717CE"/>
    <w:rsid w:val="00975858"/>
    <w:rsid w:val="009808B9"/>
    <w:rsid w:val="00980E18"/>
    <w:rsid w:val="009814D9"/>
    <w:rsid w:val="00990484"/>
    <w:rsid w:val="009923FC"/>
    <w:rsid w:val="00997337"/>
    <w:rsid w:val="009A0964"/>
    <w:rsid w:val="009A0F72"/>
    <w:rsid w:val="009A25B4"/>
    <w:rsid w:val="009A541B"/>
    <w:rsid w:val="009B2766"/>
    <w:rsid w:val="009B41D3"/>
    <w:rsid w:val="009B46DB"/>
    <w:rsid w:val="009C113C"/>
    <w:rsid w:val="009C2AC3"/>
    <w:rsid w:val="009C491F"/>
    <w:rsid w:val="009C4A96"/>
    <w:rsid w:val="009C78C9"/>
    <w:rsid w:val="009C7E8F"/>
    <w:rsid w:val="009D01D7"/>
    <w:rsid w:val="009D0F10"/>
    <w:rsid w:val="009D2408"/>
    <w:rsid w:val="009D63E5"/>
    <w:rsid w:val="009D7201"/>
    <w:rsid w:val="009D7F59"/>
    <w:rsid w:val="009D7FA9"/>
    <w:rsid w:val="009E0962"/>
    <w:rsid w:val="009E0C76"/>
    <w:rsid w:val="009E0FBD"/>
    <w:rsid w:val="009E79A7"/>
    <w:rsid w:val="009F07C2"/>
    <w:rsid w:val="009F4C0F"/>
    <w:rsid w:val="00A02455"/>
    <w:rsid w:val="00A024E5"/>
    <w:rsid w:val="00A050BB"/>
    <w:rsid w:val="00A10EBC"/>
    <w:rsid w:val="00A14E61"/>
    <w:rsid w:val="00A1620E"/>
    <w:rsid w:val="00A16ECE"/>
    <w:rsid w:val="00A17C7A"/>
    <w:rsid w:val="00A21E49"/>
    <w:rsid w:val="00A2511D"/>
    <w:rsid w:val="00A2615F"/>
    <w:rsid w:val="00A32F86"/>
    <w:rsid w:val="00A34848"/>
    <w:rsid w:val="00A34CF7"/>
    <w:rsid w:val="00A37A89"/>
    <w:rsid w:val="00A37F82"/>
    <w:rsid w:val="00A40B5F"/>
    <w:rsid w:val="00A40D02"/>
    <w:rsid w:val="00A41ECD"/>
    <w:rsid w:val="00A4599A"/>
    <w:rsid w:val="00A514B4"/>
    <w:rsid w:val="00A52955"/>
    <w:rsid w:val="00A54D5F"/>
    <w:rsid w:val="00A55D2D"/>
    <w:rsid w:val="00A62166"/>
    <w:rsid w:val="00A65A67"/>
    <w:rsid w:val="00A6650A"/>
    <w:rsid w:val="00A7048A"/>
    <w:rsid w:val="00A70F9F"/>
    <w:rsid w:val="00A7567E"/>
    <w:rsid w:val="00A771FC"/>
    <w:rsid w:val="00A77547"/>
    <w:rsid w:val="00A776A7"/>
    <w:rsid w:val="00A840B0"/>
    <w:rsid w:val="00A87569"/>
    <w:rsid w:val="00A9022C"/>
    <w:rsid w:val="00A906A4"/>
    <w:rsid w:val="00A90A32"/>
    <w:rsid w:val="00A92654"/>
    <w:rsid w:val="00A9622A"/>
    <w:rsid w:val="00A965DA"/>
    <w:rsid w:val="00AA2C6F"/>
    <w:rsid w:val="00AA53A8"/>
    <w:rsid w:val="00AA6A35"/>
    <w:rsid w:val="00AA6C76"/>
    <w:rsid w:val="00AA721E"/>
    <w:rsid w:val="00AB0080"/>
    <w:rsid w:val="00AB0CF3"/>
    <w:rsid w:val="00AB1F09"/>
    <w:rsid w:val="00AB4031"/>
    <w:rsid w:val="00AB4C61"/>
    <w:rsid w:val="00AB55EA"/>
    <w:rsid w:val="00AC0269"/>
    <w:rsid w:val="00AC0B8C"/>
    <w:rsid w:val="00AC201A"/>
    <w:rsid w:val="00AC3299"/>
    <w:rsid w:val="00AC33E8"/>
    <w:rsid w:val="00AC6684"/>
    <w:rsid w:val="00AC6DB7"/>
    <w:rsid w:val="00AC7267"/>
    <w:rsid w:val="00AD1762"/>
    <w:rsid w:val="00AD3F62"/>
    <w:rsid w:val="00AD46D9"/>
    <w:rsid w:val="00AE1276"/>
    <w:rsid w:val="00AE2BC8"/>
    <w:rsid w:val="00AE3879"/>
    <w:rsid w:val="00AE5FE2"/>
    <w:rsid w:val="00AF08ED"/>
    <w:rsid w:val="00AF1F03"/>
    <w:rsid w:val="00AF2487"/>
    <w:rsid w:val="00AF3539"/>
    <w:rsid w:val="00AF6523"/>
    <w:rsid w:val="00B0113C"/>
    <w:rsid w:val="00B02F21"/>
    <w:rsid w:val="00B070F9"/>
    <w:rsid w:val="00B1080F"/>
    <w:rsid w:val="00B112C5"/>
    <w:rsid w:val="00B13637"/>
    <w:rsid w:val="00B139FD"/>
    <w:rsid w:val="00B211B8"/>
    <w:rsid w:val="00B2500C"/>
    <w:rsid w:val="00B2561A"/>
    <w:rsid w:val="00B32876"/>
    <w:rsid w:val="00B349BF"/>
    <w:rsid w:val="00B3724C"/>
    <w:rsid w:val="00B408FD"/>
    <w:rsid w:val="00B40A62"/>
    <w:rsid w:val="00B42996"/>
    <w:rsid w:val="00B524CE"/>
    <w:rsid w:val="00B60FFC"/>
    <w:rsid w:val="00B611E8"/>
    <w:rsid w:val="00B619A1"/>
    <w:rsid w:val="00B71613"/>
    <w:rsid w:val="00B72167"/>
    <w:rsid w:val="00B73C1F"/>
    <w:rsid w:val="00B761C4"/>
    <w:rsid w:val="00B765B2"/>
    <w:rsid w:val="00B8080C"/>
    <w:rsid w:val="00B822BE"/>
    <w:rsid w:val="00B84F51"/>
    <w:rsid w:val="00B92A8B"/>
    <w:rsid w:val="00B93759"/>
    <w:rsid w:val="00BA1348"/>
    <w:rsid w:val="00BA2782"/>
    <w:rsid w:val="00BA4A4B"/>
    <w:rsid w:val="00BA5CF4"/>
    <w:rsid w:val="00BA6B20"/>
    <w:rsid w:val="00BA758E"/>
    <w:rsid w:val="00BB1934"/>
    <w:rsid w:val="00BB1FD1"/>
    <w:rsid w:val="00BC04F4"/>
    <w:rsid w:val="00BC0CD9"/>
    <w:rsid w:val="00BC3DA7"/>
    <w:rsid w:val="00BC5EB6"/>
    <w:rsid w:val="00BC74CE"/>
    <w:rsid w:val="00BC7EEF"/>
    <w:rsid w:val="00BD4BE3"/>
    <w:rsid w:val="00BD6D27"/>
    <w:rsid w:val="00BD7E55"/>
    <w:rsid w:val="00BE208F"/>
    <w:rsid w:val="00BE313E"/>
    <w:rsid w:val="00BE31D1"/>
    <w:rsid w:val="00BE45C7"/>
    <w:rsid w:val="00BE615C"/>
    <w:rsid w:val="00BE76F7"/>
    <w:rsid w:val="00BE7760"/>
    <w:rsid w:val="00BE793B"/>
    <w:rsid w:val="00BE7C3C"/>
    <w:rsid w:val="00BF7286"/>
    <w:rsid w:val="00C0335C"/>
    <w:rsid w:val="00C0350B"/>
    <w:rsid w:val="00C03D6A"/>
    <w:rsid w:val="00C0779D"/>
    <w:rsid w:val="00C11486"/>
    <w:rsid w:val="00C12173"/>
    <w:rsid w:val="00C1599C"/>
    <w:rsid w:val="00C15F84"/>
    <w:rsid w:val="00C176C5"/>
    <w:rsid w:val="00C20584"/>
    <w:rsid w:val="00C212BA"/>
    <w:rsid w:val="00C21829"/>
    <w:rsid w:val="00C2194D"/>
    <w:rsid w:val="00C2417F"/>
    <w:rsid w:val="00C25322"/>
    <w:rsid w:val="00C32EF1"/>
    <w:rsid w:val="00C34CD9"/>
    <w:rsid w:val="00C34F32"/>
    <w:rsid w:val="00C35645"/>
    <w:rsid w:val="00C35F68"/>
    <w:rsid w:val="00C369DC"/>
    <w:rsid w:val="00C36E4C"/>
    <w:rsid w:val="00C40F57"/>
    <w:rsid w:val="00C41A5B"/>
    <w:rsid w:val="00C41FC9"/>
    <w:rsid w:val="00C42341"/>
    <w:rsid w:val="00C4729B"/>
    <w:rsid w:val="00C50AEF"/>
    <w:rsid w:val="00C50B42"/>
    <w:rsid w:val="00C52F9F"/>
    <w:rsid w:val="00C53A2B"/>
    <w:rsid w:val="00C623F0"/>
    <w:rsid w:val="00C64491"/>
    <w:rsid w:val="00C66135"/>
    <w:rsid w:val="00C66264"/>
    <w:rsid w:val="00C71532"/>
    <w:rsid w:val="00C75CFC"/>
    <w:rsid w:val="00C75E3A"/>
    <w:rsid w:val="00C760FD"/>
    <w:rsid w:val="00C77F08"/>
    <w:rsid w:val="00C86101"/>
    <w:rsid w:val="00C87916"/>
    <w:rsid w:val="00C90C23"/>
    <w:rsid w:val="00C91556"/>
    <w:rsid w:val="00C915EB"/>
    <w:rsid w:val="00C943E0"/>
    <w:rsid w:val="00CA2EDD"/>
    <w:rsid w:val="00CA4EFF"/>
    <w:rsid w:val="00CA61E0"/>
    <w:rsid w:val="00CC673F"/>
    <w:rsid w:val="00CD000D"/>
    <w:rsid w:val="00CD0D03"/>
    <w:rsid w:val="00CD0D99"/>
    <w:rsid w:val="00CD25AE"/>
    <w:rsid w:val="00CD2661"/>
    <w:rsid w:val="00CD2AD8"/>
    <w:rsid w:val="00CD341A"/>
    <w:rsid w:val="00CD3D11"/>
    <w:rsid w:val="00CD4F14"/>
    <w:rsid w:val="00CD5D67"/>
    <w:rsid w:val="00CD684B"/>
    <w:rsid w:val="00CE0622"/>
    <w:rsid w:val="00CE154B"/>
    <w:rsid w:val="00CE6129"/>
    <w:rsid w:val="00CE685F"/>
    <w:rsid w:val="00CF3C45"/>
    <w:rsid w:val="00CF7778"/>
    <w:rsid w:val="00CF79EC"/>
    <w:rsid w:val="00D01020"/>
    <w:rsid w:val="00D01BCA"/>
    <w:rsid w:val="00D021C1"/>
    <w:rsid w:val="00D05AE8"/>
    <w:rsid w:val="00D07915"/>
    <w:rsid w:val="00D1048E"/>
    <w:rsid w:val="00D10DB0"/>
    <w:rsid w:val="00D11776"/>
    <w:rsid w:val="00D123B7"/>
    <w:rsid w:val="00D13697"/>
    <w:rsid w:val="00D159CE"/>
    <w:rsid w:val="00D161BD"/>
    <w:rsid w:val="00D1688D"/>
    <w:rsid w:val="00D201E2"/>
    <w:rsid w:val="00D20926"/>
    <w:rsid w:val="00D26944"/>
    <w:rsid w:val="00D32CA4"/>
    <w:rsid w:val="00D32D1C"/>
    <w:rsid w:val="00D353D1"/>
    <w:rsid w:val="00D40F53"/>
    <w:rsid w:val="00D4134E"/>
    <w:rsid w:val="00D446F3"/>
    <w:rsid w:val="00D465A6"/>
    <w:rsid w:val="00D515FF"/>
    <w:rsid w:val="00D543BA"/>
    <w:rsid w:val="00D57EC9"/>
    <w:rsid w:val="00D6263E"/>
    <w:rsid w:val="00D644FD"/>
    <w:rsid w:val="00D73DB3"/>
    <w:rsid w:val="00D7434F"/>
    <w:rsid w:val="00D74FBF"/>
    <w:rsid w:val="00D75153"/>
    <w:rsid w:val="00D836FD"/>
    <w:rsid w:val="00D908DF"/>
    <w:rsid w:val="00D91BFF"/>
    <w:rsid w:val="00D92E03"/>
    <w:rsid w:val="00D955C8"/>
    <w:rsid w:val="00D95A7C"/>
    <w:rsid w:val="00D97115"/>
    <w:rsid w:val="00DA47D9"/>
    <w:rsid w:val="00DA61DA"/>
    <w:rsid w:val="00DB3E61"/>
    <w:rsid w:val="00DB49B6"/>
    <w:rsid w:val="00DB7A53"/>
    <w:rsid w:val="00DC3769"/>
    <w:rsid w:val="00DD5E95"/>
    <w:rsid w:val="00DE0848"/>
    <w:rsid w:val="00DE393A"/>
    <w:rsid w:val="00DE59DD"/>
    <w:rsid w:val="00DE70B4"/>
    <w:rsid w:val="00DF7185"/>
    <w:rsid w:val="00E022A9"/>
    <w:rsid w:val="00E06419"/>
    <w:rsid w:val="00E13130"/>
    <w:rsid w:val="00E13275"/>
    <w:rsid w:val="00E148A6"/>
    <w:rsid w:val="00E2001C"/>
    <w:rsid w:val="00E20AD6"/>
    <w:rsid w:val="00E2192B"/>
    <w:rsid w:val="00E2229C"/>
    <w:rsid w:val="00E26E41"/>
    <w:rsid w:val="00E31C6F"/>
    <w:rsid w:val="00E330FE"/>
    <w:rsid w:val="00E3353A"/>
    <w:rsid w:val="00E3421C"/>
    <w:rsid w:val="00E351C1"/>
    <w:rsid w:val="00E37734"/>
    <w:rsid w:val="00E433AC"/>
    <w:rsid w:val="00E537C1"/>
    <w:rsid w:val="00E53F4F"/>
    <w:rsid w:val="00E552BC"/>
    <w:rsid w:val="00E60EF2"/>
    <w:rsid w:val="00E61CC7"/>
    <w:rsid w:val="00E653A3"/>
    <w:rsid w:val="00E661C5"/>
    <w:rsid w:val="00E66369"/>
    <w:rsid w:val="00E6759D"/>
    <w:rsid w:val="00E82A03"/>
    <w:rsid w:val="00E847C5"/>
    <w:rsid w:val="00E91DA8"/>
    <w:rsid w:val="00E92683"/>
    <w:rsid w:val="00E94B0A"/>
    <w:rsid w:val="00E95A32"/>
    <w:rsid w:val="00EA0507"/>
    <w:rsid w:val="00EA0EC3"/>
    <w:rsid w:val="00EA4E35"/>
    <w:rsid w:val="00EA5103"/>
    <w:rsid w:val="00EA64C9"/>
    <w:rsid w:val="00EA6FE2"/>
    <w:rsid w:val="00EB0467"/>
    <w:rsid w:val="00EB0EEF"/>
    <w:rsid w:val="00EB1535"/>
    <w:rsid w:val="00EB20BE"/>
    <w:rsid w:val="00EB3330"/>
    <w:rsid w:val="00EB3D68"/>
    <w:rsid w:val="00EC2669"/>
    <w:rsid w:val="00EC425E"/>
    <w:rsid w:val="00EC517A"/>
    <w:rsid w:val="00EC7303"/>
    <w:rsid w:val="00EC7A5B"/>
    <w:rsid w:val="00ED4C1C"/>
    <w:rsid w:val="00ED53C6"/>
    <w:rsid w:val="00ED6DDC"/>
    <w:rsid w:val="00EE587A"/>
    <w:rsid w:val="00EE76CE"/>
    <w:rsid w:val="00EE7F59"/>
    <w:rsid w:val="00EF1189"/>
    <w:rsid w:val="00EF217F"/>
    <w:rsid w:val="00F10A0C"/>
    <w:rsid w:val="00F12C86"/>
    <w:rsid w:val="00F13026"/>
    <w:rsid w:val="00F202C7"/>
    <w:rsid w:val="00F21CDF"/>
    <w:rsid w:val="00F25755"/>
    <w:rsid w:val="00F278E5"/>
    <w:rsid w:val="00F303A6"/>
    <w:rsid w:val="00F307E9"/>
    <w:rsid w:val="00F31895"/>
    <w:rsid w:val="00F3285E"/>
    <w:rsid w:val="00F32E5B"/>
    <w:rsid w:val="00F34CF8"/>
    <w:rsid w:val="00F3568E"/>
    <w:rsid w:val="00F407A8"/>
    <w:rsid w:val="00F41E77"/>
    <w:rsid w:val="00F44D67"/>
    <w:rsid w:val="00F45EB1"/>
    <w:rsid w:val="00F51957"/>
    <w:rsid w:val="00F52F8B"/>
    <w:rsid w:val="00F63312"/>
    <w:rsid w:val="00F65557"/>
    <w:rsid w:val="00F67593"/>
    <w:rsid w:val="00F74381"/>
    <w:rsid w:val="00F77C03"/>
    <w:rsid w:val="00F82064"/>
    <w:rsid w:val="00F87D1D"/>
    <w:rsid w:val="00F905EC"/>
    <w:rsid w:val="00F91DCB"/>
    <w:rsid w:val="00F924D8"/>
    <w:rsid w:val="00F94816"/>
    <w:rsid w:val="00F96980"/>
    <w:rsid w:val="00FA2055"/>
    <w:rsid w:val="00FA208E"/>
    <w:rsid w:val="00FA382B"/>
    <w:rsid w:val="00FA4C7E"/>
    <w:rsid w:val="00FA4D80"/>
    <w:rsid w:val="00FA4F03"/>
    <w:rsid w:val="00FA50E8"/>
    <w:rsid w:val="00FA6A9D"/>
    <w:rsid w:val="00FA77C8"/>
    <w:rsid w:val="00FB03A1"/>
    <w:rsid w:val="00FB7C15"/>
    <w:rsid w:val="00FC3F1B"/>
    <w:rsid w:val="00FC530A"/>
    <w:rsid w:val="00FC6C54"/>
    <w:rsid w:val="00FD0800"/>
    <w:rsid w:val="00FD364A"/>
    <w:rsid w:val="00FD5205"/>
    <w:rsid w:val="00FD5661"/>
    <w:rsid w:val="00FD58CB"/>
    <w:rsid w:val="00FE2A9D"/>
    <w:rsid w:val="00FE673C"/>
    <w:rsid w:val="00FF1AC1"/>
    <w:rsid w:val="00FF2866"/>
    <w:rsid w:val="00FF3BCD"/>
    <w:rsid w:val="00FF5B28"/>
    <w:rsid w:val="00FF7C18"/>
    <w:rsid w:val="01076050"/>
    <w:rsid w:val="010C3DC8"/>
    <w:rsid w:val="01525212"/>
    <w:rsid w:val="01564054"/>
    <w:rsid w:val="017E6D95"/>
    <w:rsid w:val="01D715BE"/>
    <w:rsid w:val="01EB45BC"/>
    <w:rsid w:val="01FA63A5"/>
    <w:rsid w:val="02011C7D"/>
    <w:rsid w:val="02035523"/>
    <w:rsid w:val="021C6E40"/>
    <w:rsid w:val="02222FF2"/>
    <w:rsid w:val="02384FF4"/>
    <w:rsid w:val="023F67A9"/>
    <w:rsid w:val="025235B1"/>
    <w:rsid w:val="0262674D"/>
    <w:rsid w:val="02747B01"/>
    <w:rsid w:val="02890D36"/>
    <w:rsid w:val="02D92EF7"/>
    <w:rsid w:val="02DA4665"/>
    <w:rsid w:val="02F40325"/>
    <w:rsid w:val="031126C4"/>
    <w:rsid w:val="036A009A"/>
    <w:rsid w:val="03844805"/>
    <w:rsid w:val="03845791"/>
    <w:rsid w:val="03A011E9"/>
    <w:rsid w:val="03AE7F27"/>
    <w:rsid w:val="03BD2BCD"/>
    <w:rsid w:val="04070D64"/>
    <w:rsid w:val="04416C20"/>
    <w:rsid w:val="047968B1"/>
    <w:rsid w:val="04870542"/>
    <w:rsid w:val="05545DD3"/>
    <w:rsid w:val="056E2AD6"/>
    <w:rsid w:val="05806815"/>
    <w:rsid w:val="058251D3"/>
    <w:rsid w:val="05945CCE"/>
    <w:rsid w:val="059D05A4"/>
    <w:rsid w:val="059D5E17"/>
    <w:rsid w:val="05AB0A28"/>
    <w:rsid w:val="05AB0F81"/>
    <w:rsid w:val="05B93D6B"/>
    <w:rsid w:val="05D53002"/>
    <w:rsid w:val="05D75738"/>
    <w:rsid w:val="061E7D14"/>
    <w:rsid w:val="06560AED"/>
    <w:rsid w:val="066469C9"/>
    <w:rsid w:val="066646A1"/>
    <w:rsid w:val="06983B20"/>
    <w:rsid w:val="069A3B66"/>
    <w:rsid w:val="06B91765"/>
    <w:rsid w:val="06CA2AD2"/>
    <w:rsid w:val="06CE3071"/>
    <w:rsid w:val="06D33DBA"/>
    <w:rsid w:val="06E13F9F"/>
    <w:rsid w:val="06FB0AC5"/>
    <w:rsid w:val="070D2D5D"/>
    <w:rsid w:val="07111B8D"/>
    <w:rsid w:val="074A5B92"/>
    <w:rsid w:val="075E3193"/>
    <w:rsid w:val="078E18EB"/>
    <w:rsid w:val="07B10EA5"/>
    <w:rsid w:val="07CE3FA1"/>
    <w:rsid w:val="07EC2ECB"/>
    <w:rsid w:val="07FE66CB"/>
    <w:rsid w:val="080B4D47"/>
    <w:rsid w:val="08321601"/>
    <w:rsid w:val="083D5C91"/>
    <w:rsid w:val="0847191F"/>
    <w:rsid w:val="08591DC3"/>
    <w:rsid w:val="087C4541"/>
    <w:rsid w:val="087E5595"/>
    <w:rsid w:val="08C52D6F"/>
    <w:rsid w:val="08D01612"/>
    <w:rsid w:val="08EF0201"/>
    <w:rsid w:val="08F41DE8"/>
    <w:rsid w:val="09737462"/>
    <w:rsid w:val="099156C3"/>
    <w:rsid w:val="09A53F39"/>
    <w:rsid w:val="09A60E13"/>
    <w:rsid w:val="09D206F0"/>
    <w:rsid w:val="0A321AC2"/>
    <w:rsid w:val="0A343D4E"/>
    <w:rsid w:val="0A3E6D2E"/>
    <w:rsid w:val="0A6C3DC0"/>
    <w:rsid w:val="0A6D0C87"/>
    <w:rsid w:val="0AD13A85"/>
    <w:rsid w:val="0B091954"/>
    <w:rsid w:val="0B167AE8"/>
    <w:rsid w:val="0B1A1257"/>
    <w:rsid w:val="0B637D77"/>
    <w:rsid w:val="0BAC324F"/>
    <w:rsid w:val="0BF72F1E"/>
    <w:rsid w:val="0C3957A5"/>
    <w:rsid w:val="0C626DA7"/>
    <w:rsid w:val="0C6876AE"/>
    <w:rsid w:val="0C720EC8"/>
    <w:rsid w:val="0C942042"/>
    <w:rsid w:val="0C9D50DC"/>
    <w:rsid w:val="0CA5271D"/>
    <w:rsid w:val="0CAC4D10"/>
    <w:rsid w:val="0CC72121"/>
    <w:rsid w:val="0CEE5A21"/>
    <w:rsid w:val="0D0646E7"/>
    <w:rsid w:val="0D0C38CA"/>
    <w:rsid w:val="0D3F3A0E"/>
    <w:rsid w:val="0DC577E0"/>
    <w:rsid w:val="0DDC6319"/>
    <w:rsid w:val="0E0C0D4C"/>
    <w:rsid w:val="0E115DA1"/>
    <w:rsid w:val="0E162D6D"/>
    <w:rsid w:val="0E541CA2"/>
    <w:rsid w:val="0E594756"/>
    <w:rsid w:val="0E95596D"/>
    <w:rsid w:val="0EAE6205"/>
    <w:rsid w:val="0EAE6579"/>
    <w:rsid w:val="0EAF71BF"/>
    <w:rsid w:val="0ECE6257"/>
    <w:rsid w:val="0EE4129D"/>
    <w:rsid w:val="0F171032"/>
    <w:rsid w:val="0F335E69"/>
    <w:rsid w:val="0F3D59C9"/>
    <w:rsid w:val="0F516D5A"/>
    <w:rsid w:val="0F565B36"/>
    <w:rsid w:val="0F821E7D"/>
    <w:rsid w:val="0FE7592C"/>
    <w:rsid w:val="0FFD20F0"/>
    <w:rsid w:val="103E6E57"/>
    <w:rsid w:val="1041497B"/>
    <w:rsid w:val="10425FF6"/>
    <w:rsid w:val="109010E6"/>
    <w:rsid w:val="10B271F4"/>
    <w:rsid w:val="10C8275C"/>
    <w:rsid w:val="10E03539"/>
    <w:rsid w:val="10E82D1F"/>
    <w:rsid w:val="10EE5C94"/>
    <w:rsid w:val="113329E7"/>
    <w:rsid w:val="113F294C"/>
    <w:rsid w:val="11437C85"/>
    <w:rsid w:val="1166372C"/>
    <w:rsid w:val="11700D10"/>
    <w:rsid w:val="1178125A"/>
    <w:rsid w:val="1196056D"/>
    <w:rsid w:val="11D34654"/>
    <w:rsid w:val="11DE0FD1"/>
    <w:rsid w:val="12010480"/>
    <w:rsid w:val="120E707F"/>
    <w:rsid w:val="127A7D1C"/>
    <w:rsid w:val="12836D8B"/>
    <w:rsid w:val="12AB0349"/>
    <w:rsid w:val="12CD57F1"/>
    <w:rsid w:val="12CE7AFA"/>
    <w:rsid w:val="12D67466"/>
    <w:rsid w:val="13272A5D"/>
    <w:rsid w:val="13493108"/>
    <w:rsid w:val="13733928"/>
    <w:rsid w:val="139C16C9"/>
    <w:rsid w:val="13B63CE1"/>
    <w:rsid w:val="13BC6684"/>
    <w:rsid w:val="13C72B3A"/>
    <w:rsid w:val="13DF575E"/>
    <w:rsid w:val="13EE3A98"/>
    <w:rsid w:val="142123F7"/>
    <w:rsid w:val="142A11D8"/>
    <w:rsid w:val="144B544C"/>
    <w:rsid w:val="145B7B45"/>
    <w:rsid w:val="14717443"/>
    <w:rsid w:val="148D52E3"/>
    <w:rsid w:val="14992B90"/>
    <w:rsid w:val="14AF1856"/>
    <w:rsid w:val="14AF19A3"/>
    <w:rsid w:val="14B53957"/>
    <w:rsid w:val="14C53ECE"/>
    <w:rsid w:val="14E002E6"/>
    <w:rsid w:val="14FC36BD"/>
    <w:rsid w:val="151E3A0F"/>
    <w:rsid w:val="1557566D"/>
    <w:rsid w:val="15811F1B"/>
    <w:rsid w:val="15A30135"/>
    <w:rsid w:val="15A34015"/>
    <w:rsid w:val="15E2236F"/>
    <w:rsid w:val="161D09ED"/>
    <w:rsid w:val="162323A3"/>
    <w:rsid w:val="162F30B1"/>
    <w:rsid w:val="16510F12"/>
    <w:rsid w:val="166448F9"/>
    <w:rsid w:val="16647475"/>
    <w:rsid w:val="1677211D"/>
    <w:rsid w:val="167954F9"/>
    <w:rsid w:val="16A060BA"/>
    <w:rsid w:val="16A57EAF"/>
    <w:rsid w:val="16AC6E3F"/>
    <w:rsid w:val="16C872D5"/>
    <w:rsid w:val="16D54FA3"/>
    <w:rsid w:val="16D84D9F"/>
    <w:rsid w:val="16E94D3E"/>
    <w:rsid w:val="170D06E0"/>
    <w:rsid w:val="17332185"/>
    <w:rsid w:val="17475951"/>
    <w:rsid w:val="179F2E61"/>
    <w:rsid w:val="17C227C0"/>
    <w:rsid w:val="18097740"/>
    <w:rsid w:val="185D3C42"/>
    <w:rsid w:val="185F38AF"/>
    <w:rsid w:val="18AD1BEB"/>
    <w:rsid w:val="18B3004A"/>
    <w:rsid w:val="18B96080"/>
    <w:rsid w:val="18F67868"/>
    <w:rsid w:val="190B2D88"/>
    <w:rsid w:val="190E6B63"/>
    <w:rsid w:val="19123928"/>
    <w:rsid w:val="19194264"/>
    <w:rsid w:val="19420786"/>
    <w:rsid w:val="19427EC0"/>
    <w:rsid w:val="195711D7"/>
    <w:rsid w:val="195D2A3F"/>
    <w:rsid w:val="198310E9"/>
    <w:rsid w:val="198D747A"/>
    <w:rsid w:val="19A15638"/>
    <w:rsid w:val="1A125525"/>
    <w:rsid w:val="1A5F4342"/>
    <w:rsid w:val="1A8C5D82"/>
    <w:rsid w:val="1A994988"/>
    <w:rsid w:val="1A9B546C"/>
    <w:rsid w:val="1AA3511F"/>
    <w:rsid w:val="1AAE3B54"/>
    <w:rsid w:val="1AC10987"/>
    <w:rsid w:val="1B0C5B32"/>
    <w:rsid w:val="1B0D3E82"/>
    <w:rsid w:val="1B1652AB"/>
    <w:rsid w:val="1B181CD5"/>
    <w:rsid w:val="1B265306"/>
    <w:rsid w:val="1B4F2450"/>
    <w:rsid w:val="1B8C18B7"/>
    <w:rsid w:val="1BB73AE1"/>
    <w:rsid w:val="1BDA6D68"/>
    <w:rsid w:val="1C555978"/>
    <w:rsid w:val="1C6554A1"/>
    <w:rsid w:val="1C7971B7"/>
    <w:rsid w:val="1CD402EC"/>
    <w:rsid w:val="1CF02333"/>
    <w:rsid w:val="1D0C33A2"/>
    <w:rsid w:val="1D113E6E"/>
    <w:rsid w:val="1D114E5E"/>
    <w:rsid w:val="1D1F0050"/>
    <w:rsid w:val="1D2222DC"/>
    <w:rsid w:val="1D5B3CDE"/>
    <w:rsid w:val="1D6E2950"/>
    <w:rsid w:val="1D98209B"/>
    <w:rsid w:val="1DA23746"/>
    <w:rsid w:val="1DAA14B9"/>
    <w:rsid w:val="1DD04513"/>
    <w:rsid w:val="1E4C5F8A"/>
    <w:rsid w:val="1E656063"/>
    <w:rsid w:val="1E6B06A5"/>
    <w:rsid w:val="1E7F7D9E"/>
    <w:rsid w:val="1E840DA4"/>
    <w:rsid w:val="1EA5444C"/>
    <w:rsid w:val="1EB350EF"/>
    <w:rsid w:val="1EC21749"/>
    <w:rsid w:val="1EEB7C4E"/>
    <w:rsid w:val="1F171B83"/>
    <w:rsid w:val="1F2D491A"/>
    <w:rsid w:val="1F7369C7"/>
    <w:rsid w:val="1F94547B"/>
    <w:rsid w:val="1FAF308C"/>
    <w:rsid w:val="1FC11109"/>
    <w:rsid w:val="1FEF08C8"/>
    <w:rsid w:val="1FF72E6A"/>
    <w:rsid w:val="201B3ED4"/>
    <w:rsid w:val="20310B02"/>
    <w:rsid w:val="206F0406"/>
    <w:rsid w:val="20784063"/>
    <w:rsid w:val="207E346A"/>
    <w:rsid w:val="208E12C3"/>
    <w:rsid w:val="209502A3"/>
    <w:rsid w:val="20B9460A"/>
    <w:rsid w:val="210F579E"/>
    <w:rsid w:val="212550B5"/>
    <w:rsid w:val="21484F14"/>
    <w:rsid w:val="21592B62"/>
    <w:rsid w:val="21747CD2"/>
    <w:rsid w:val="219E5782"/>
    <w:rsid w:val="21E72B0B"/>
    <w:rsid w:val="221F2D96"/>
    <w:rsid w:val="22246DB1"/>
    <w:rsid w:val="22440067"/>
    <w:rsid w:val="225A6017"/>
    <w:rsid w:val="227A5532"/>
    <w:rsid w:val="22843A03"/>
    <w:rsid w:val="22A338AB"/>
    <w:rsid w:val="22AD37A2"/>
    <w:rsid w:val="22B31E8A"/>
    <w:rsid w:val="22C735BD"/>
    <w:rsid w:val="23122833"/>
    <w:rsid w:val="23223458"/>
    <w:rsid w:val="23225D32"/>
    <w:rsid w:val="23357BE6"/>
    <w:rsid w:val="2342574E"/>
    <w:rsid w:val="2377331D"/>
    <w:rsid w:val="237D43DE"/>
    <w:rsid w:val="23940114"/>
    <w:rsid w:val="23B57016"/>
    <w:rsid w:val="23D4764B"/>
    <w:rsid w:val="23EC3718"/>
    <w:rsid w:val="24044EF2"/>
    <w:rsid w:val="2407139D"/>
    <w:rsid w:val="240B04F4"/>
    <w:rsid w:val="242A0646"/>
    <w:rsid w:val="2435301D"/>
    <w:rsid w:val="243D6E1A"/>
    <w:rsid w:val="24607F91"/>
    <w:rsid w:val="246C581B"/>
    <w:rsid w:val="247C52A2"/>
    <w:rsid w:val="24CC106B"/>
    <w:rsid w:val="24D00598"/>
    <w:rsid w:val="24D725E9"/>
    <w:rsid w:val="25045F70"/>
    <w:rsid w:val="25056E93"/>
    <w:rsid w:val="25092EBA"/>
    <w:rsid w:val="25241020"/>
    <w:rsid w:val="256016AA"/>
    <w:rsid w:val="257572C3"/>
    <w:rsid w:val="25790E85"/>
    <w:rsid w:val="25972C60"/>
    <w:rsid w:val="259D1676"/>
    <w:rsid w:val="25A353EB"/>
    <w:rsid w:val="25B87B65"/>
    <w:rsid w:val="25CB78C3"/>
    <w:rsid w:val="25D54390"/>
    <w:rsid w:val="261879A7"/>
    <w:rsid w:val="264B0BA4"/>
    <w:rsid w:val="268C5256"/>
    <w:rsid w:val="268E455B"/>
    <w:rsid w:val="26912B30"/>
    <w:rsid w:val="269772F0"/>
    <w:rsid w:val="26A30712"/>
    <w:rsid w:val="26AC0C27"/>
    <w:rsid w:val="26C807A6"/>
    <w:rsid w:val="26DB67BA"/>
    <w:rsid w:val="26E311CD"/>
    <w:rsid w:val="26EF24ED"/>
    <w:rsid w:val="26F1408A"/>
    <w:rsid w:val="27015370"/>
    <w:rsid w:val="270B421F"/>
    <w:rsid w:val="274E2228"/>
    <w:rsid w:val="27517A93"/>
    <w:rsid w:val="276658E8"/>
    <w:rsid w:val="277E30D2"/>
    <w:rsid w:val="27803F2A"/>
    <w:rsid w:val="27A34941"/>
    <w:rsid w:val="283C23DF"/>
    <w:rsid w:val="284C16F5"/>
    <w:rsid w:val="28570AB5"/>
    <w:rsid w:val="28C2534B"/>
    <w:rsid w:val="28C5525A"/>
    <w:rsid w:val="28D14B96"/>
    <w:rsid w:val="29020C46"/>
    <w:rsid w:val="290240C7"/>
    <w:rsid w:val="29274EE0"/>
    <w:rsid w:val="2969197F"/>
    <w:rsid w:val="29746E87"/>
    <w:rsid w:val="297C03C2"/>
    <w:rsid w:val="299573AB"/>
    <w:rsid w:val="29BE5BD0"/>
    <w:rsid w:val="29C01572"/>
    <w:rsid w:val="29E74CE2"/>
    <w:rsid w:val="2A306A36"/>
    <w:rsid w:val="2A5372C6"/>
    <w:rsid w:val="2A5B03D8"/>
    <w:rsid w:val="2A6F6D07"/>
    <w:rsid w:val="2A882500"/>
    <w:rsid w:val="2AB63ABC"/>
    <w:rsid w:val="2B003D00"/>
    <w:rsid w:val="2B074D5E"/>
    <w:rsid w:val="2B0B7C95"/>
    <w:rsid w:val="2B100BA9"/>
    <w:rsid w:val="2B1E3AFC"/>
    <w:rsid w:val="2B9E4F56"/>
    <w:rsid w:val="2BDB5A88"/>
    <w:rsid w:val="2BE91C37"/>
    <w:rsid w:val="2BEC3F72"/>
    <w:rsid w:val="2C083572"/>
    <w:rsid w:val="2C185F94"/>
    <w:rsid w:val="2C1F1AC4"/>
    <w:rsid w:val="2C3F3A41"/>
    <w:rsid w:val="2C4431C4"/>
    <w:rsid w:val="2C62059F"/>
    <w:rsid w:val="2C6634FA"/>
    <w:rsid w:val="2CAC022C"/>
    <w:rsid w:val="2CC11807"/>
    <w:rsid w:val="2CF16074"/>
    <w:rsid w:val="2CF81D1B"/>
    <w:rsid w:val="2D3F2453"/>
    <w:rsid w:val="2D835174"/>
    <w:rsid w:val="2DD90B7B"/>
    <w:rsid w:val="2DDD3FC1"/>
    <w:rsid w:val="2DF701D8"/>
    <w:rsid w:val="2DF970A1"/>
    <w:rsid w:val="2E085834"/>
    <w:rsid w:val="2E1034F8"/>
    <w:rsid w:val="2E505773"/>
    <w:rsid w:val="2E742F70"/>
    <w:rsid w:val="2EDC2A13"/>
    <w:rsid w:val="2EFD7DB9"/>
    <w:rsid w:val="2F1A081D"/>
    <w:rsid w:val="2F1E3DC0"/>
    <w:rsid w:val="2F3112DE"/>
    <w:rsid w:val="2F3B6922"/>
    <w:rsid w:val="2F506C6D"/>
    <w:rsid w:val="2F51291F"/>
    <w:rsid w:val="2F55758A"/>
    <w:rsid w:val="2F7F15AE"/>
    <w:rsid w:val="2FA54796"/>
    <w:rsid w:val="2FA674E2"/>
    <w:rsid w:val="2FFE7D49"/>
    <w:rsid w:val="302A5C42"/>
    <w:rsid w:val="30BF439A"/>
    <w:rsid w:val="30CB1B61"/>
    <w:rsid w:val="30CF6A37"/>
    <w:rsid w:val="30D250CF"/>
    <w:rsid w:val="31002970"/>
    <w:rsid w:val="311016AD"/>
    <w:rsid w:val="3136622A"/>
    <w:rsid w:val="3139422E"/>
    <w:rsid w:val="31700E4B"/>
    <w:rsid w:val="3172683C"/>
    <w:rsid w:val="31A359FC"/>
    <w:rsid w:val="31AD0D61"/>
    <w:rsid w:val="31CD73BD"/>
    <w:rsid w:val="31D66571"/>
    <w:rsid w:val="31DB4220"/>
    <w:rsid w:val="31E63B94"/>
    <w:rsid w:val="32176602"/>
    <w:rsid w:val="322A7699"/>
    <w:rsid w:val="322B25C6"/>
    <w:rsid w:val="32422E70"/>
    <w:rsid w:val="325E56C6"/>
    <w:rsid w:val="3275698A"/>
    <w:rsid w:val="32B943EC"/>
    <w:rsid w:val="32DC63A0"/>
    <w:rsid w:val="32E429C1"/>
    <w:rsid w:val="334A3B2A"/>
    <w:rsid w:val="3365592E"/>
    <w:rsid w:val="336F6533"/>
    <w:rsid w:val="337E5E2F"/>
    <w:rsid w:val="3384610D"/>
    <w:rsid w:val="33AA5979"/>
    <w:rsid w:val="33C03E90"/>
    <w:rsid w:val="33C96649"/>
    <w:rsid w:val="33CC3D88"/>
    <w:rsid w:val="33FD722F"/>
    <w:rsid w:val="3400362D"/>
    <w:rsid w:val="340B09C5"/>
    <w:rsid w:val="341E4CAB"/>
    <w:rsid w:val="34584EE2"/>
    <w:rsid w:val="347D373F"/>
    <w:rsid w:val="34956481"/>
    <w:rsid w:val="34A35871"/>
    <w:rsid w:val="34C06C9D"/>
    <w:rsid w:val="34DF24AE"/>
    <w:rsid w:val="351C4931"/>
    <w:rsid w:val="351D4C26"/>
    <w:rsid w:val="35361A77"/>
    <w:rsid w:val="35461A22"/>
    <w:rsid w:val="35483CC9"/>
    <w:rsid w:val="35A815CB"/>
    <w:rsid w:val="35AA1B9C"/>
    <w:rsid w:val="35DB09A6"/>
    <w:rsid w:val="369B4CF0"/>
    <w:rsid w:val="36D62629"/>
    <w:rsid w:val="36D76172"/>
    <w:rsid w:val="36E833BB"/>
    <w:rsid w:val="36EB1E1B"/>
    <w:rsid w:val="36F17F0D"/>
    <w:rsid w:val="3735197D"/>
    <w:rsid w:val="373756A2"/>
    <w:rsid w:val="375E0DA6"/>
    <w:rsid w:val="378B61A6"/>
    <w:rsid w:val="37CD3F98"/>
    <w:rsid w:val="37DF75BA"/>
    <w:rsid w:val="37E148E2"/>
    <w:rsid w:val="38304889"/>
    <w:rsid w:val="38382675"/>
    <w:rsid w:val="3851700B"/>
    <w:rsid w:val="385246B6"/>
    <w:rsid w:val="38A53DB7"/>
    <w:rsid w:val="38BF3388"/>
    <w:rsid w:val="38CC268D"/>
    <w:rsid w:val="38EC2960"/>
    <w:rsid w:val="3906718E"/>
    <w:rsid w:val="392536E2"/>
    <w:rsid w:val="39465F15"/>
    <w:rsid w:val="396453C5"/>
    <w:rsid w:val="39922CCF"/>
    <w:rsid w:val="39A65327"/>
    <w:rsid w:val="39A65C9B"/>
    <w:rsid w:val="39BC5ED6"/>
    <w:rsid w:val="39EB39E0"/>
    <w:rsid w:val="39EF02D4"/>
    <w:rsid w:val="3A11342A"/>
    <w:rsid w:val="3A153110"/>
    <w:rsid w:val="3A2507C0"/>
    <w:rsid w:val="3A297E52"/>
    <w:rsid w:val="3A393FA7"/>
    <w:rsid w:val="3A64203E"/>
    <w:rsid w:val="3A663D00"/>
    <w:rsid w:val="3A7428D0"/>
    <w:rsid w:val="3A923AE4"/>
    <w:rsid w:val="3AA50E25"/>
    <w:rsid w:val="3AC566E3"/>
    <w:rsid w:val="3AD6747A"/>
    <w:rsid w:val="3B3D0FF2"/>
    <w:rsid w:val="3B521A18"/>
    <w:rsid w:val="3B923660"/>
    <w:rsid w:val="3BCA44BE"/>
    <w:rsid w:val="3C061F3A"/>
    <w:rsid w:val="3C244FFA"/>
    <w:rsid w:val="3C495480"/>
    <w:rsid w:val="3C6F0167"/>
    <w:rsid w:val="3C71667B"/>
    <w:rsid w:val="3C914F3B"/>
    <w:rsid w:val="3CA72347"/>
    <w:rsid w:val="3CC17F13"/>
    <w:rsid w:val="3CE320A3"/>
    <w:rsid w:val="3CE9196C"/>
    <w:rsid w:val="3CF15105"/>
    <w:rsid w:val="3D0C04B9"/>
    <w:rsid w:val="3D1414C5"/>
    <w:rsid w:val="3D1C763E"/>
    <w:rsid w:val="3D201AA5"/>
    <w:rsid w:val="3D2B37EA"/>
    <w:rsid w:val="3D2F7FF3"/>
    <w:rsid w:val="3D3D1507"/>
    <w:rsid w:val="3D62085B"/>
    <w:rsid w:val="3D7B4622"/>
    <w:rsid w:val="3D942E29"/>
    <w:rsid w:val="3DB54E0C"/>
    <w:rsid w:val="3DB900C1"/>
    <w:rsid w:val="3DE91725"/>
    <w:rsid w:val="3DF159B1"/>
    <w:rsid w:val="3E1A106E"/>
    <w:rsid w:val="3E36303B"/>
    <w:rsid w:val="3E526044"/>
    <w:rsid w:val="3E8C5311"/>
    <w:rsid w:val="3E8E7E55"/>
    <w:rsid w:val="3EB61473"/>
    <w:rsid w:val="3F315E6B"/>
    <w:rsid w:val="3F5175E2"/>
    <w:rsid w:val="3F56276A"/>
    <w:rsid w:val="3F6C10E0"/>
    <w:rsid w:val="3F963015"/>
    <w:rsid w:val="3F964D35"/>
    <w:rsid w:val="3FA327ED"/>
    <w:rsid w:val="3FB11738"/>
    <w:rsid w:val="3FB5581B"/>
    <w:rsid w:val="3FC33D05"/>
    <w:rsid w:val="3FF46B18"/>
    <w:rsid w:val="3FF74A2E"/>
    <w:rsid w:val="3FFC36E2"/>
    <w:rsid w:val="4005572D"/>
    <w:rsid w:val="402833BA"/>
    <w:rsid w:val="40283C2B"/>
    <w:rsid w:val="40394FD1"/>
    <w:rsid w:val="40425879"/>
    <w:rsid w:val="40765D15"/>
    <w:rsid w:val="40786454"/>
    <w:rsid w:val="407F2DE9"/>
    <w:rsid w:val="408C5A03"/>
    <w:rsid w:val="40991379"/>
    <w:rsid w:val="409B3C3D"/>
    <w:rsid w:val="40F701DF"/>
    <w:rsid w:val="40FD480A"/>
    <w:rsid w:val="412A32F8"/>
    <w:rsid w:val="417F433E"/>
    <w:rsid w:val="41B7239D"/>
    <w:rsid w:val="41E47AD6"/>
    <w:rsid w:val="41FF3845"/>
    <w:rsid w:val="421104A9"/>
    <w:rsid w:val="42143B88"/>
    <w:rsid w:val="42164586"/>
    <w:rsid w:val="425B5DD1"/>
    <w:rsid w:val="4260300C"/>
    <w:rsid w:val="42800B9B"/>
    <w:rsid w:val="42A06B6C"/>
    <w:rsid w:val="42EA5650"/>
    <w:rsid w:val="431408DA"/>
    <w:rsid w:val="4331401E"/>
    <w:rsid w:val="435A0DF2"/>
    <w:rsid w:val="436C42E1"/>
    <w:rsid w:val="437C210F"/>
    <w:rsid w:val="43847F02"/>
    <w:rsid w:val="438F113C"/>
    <w:rsid w:val="439E7EFB"/>
    <w:rsid w:val="43B1568A"/>
    <w:rsid w:val="43D43ECA"/>
    <w:rsid w:val="43DD452F"/>
    <w:rsid w:val="43DE6CD4"/>
    <w:rsid w:val="43E51150"/>
    <w:rsid w:val="43EF28BB"/>
    <w:rsid w:val="43EF56D3"/>
    <w:rsid w:val="440A6FD2"/>
    <w:rsid w:val="444946CA"/>
    <w:rsid w:val="444B3F54"/>
    <w:rsid w:val="4476661F"/>
    <w:rsid w:val="447E3AC5"/>
    <w:rsid w:val="44A90BAA"/>
    <w:rsid w:val="44B24A20"/>
    <w:rsid w:val="44BC0BEE"/>
    <w:rsid w:val="44FB1C9C"/>
    <w:rsid w:val="454F1836"/>
    <w:rsid w:val="45887B45"/>
    <w:rsid w:val="458B66DF"/>
    <w:rsid w:val="45940F0E"/>
    <w:rsid w:val="45AC5DBA"/>
    <w:rsid w:val="45C647AF"/>
    <w:rsid w:val="45DD529D"/>
    <w:rsid w:val="45E57886"/>
    <w:rsid w:val="46003076"/>
    <w:rsid w:val="46177E29"/>
    <w:rsid w:val="46205B7F"/>
    <w:rsid w:val="465D501C"/>
    <w:rsid w:val="466367DB"/>
    <w:rsid w:val="46686D18"/>
    <w:rsid w:val="46C3037C"/>
    <w:rsid w:val="46FF15E0"/>
    <w:rsid w:val="4700581C"/>
    <w:rsid w:val="4702516A"/>
    <w:rsid w:val="474A4B33"/>
    <w:rsid w:val="47665A15"/>
    <w:rsid w:val="47677941"/>
    <w:rsid w:val="477F1660"/>
    <w:rsid w:val="4788232A"/>
    <w:rsid w:val="478B0398"/>
    <w:rsid w:val="478F5D0B"/>
    <w:rsid w:val="47B8724E"/>
    <w:rsid w:val="47ED7BCA"/>
    <w:rsid w:val="48016F34"/>
    <w:rsid w:val="480556DB"/>
    <w:rsid w:val="48185C56"/>
    <w:rsid w:val="4832531E"/>
    <w:rsid w:val="48450F81"/>
    <w:rsid w:val="484E729D"/>
    <w:rsid w:val="485A23C2"/>
    <w:rsid w:val="48A16B62"/>
    <w:rsid w:val="48BC6222"/>
    <w:rsid w:val="48C245E9"/>
    <w:rsid w:val="48DB312A"/>
    <w:rsid w:val="48DF49D9"/>
    <w:rsid w:val="492108CC"/>
    <w:rsid w:val="49E669E4"/>
    <w:rsid w:val="4A05334F"/>
    <w:rsid w:val="4A082FF4"/>
    <w:rsid w:val="4A244932"/>
    <w:rsid w:val="4A2922C8"/>
    <w:rsid w:val="4A4117B2"/>
    <w:rsid w:val="4A7A4350"/>
    <w:rsid w:val="4A7E2497"/>
    <w:rsid w:val="4A896826"/>
    <w:rsid w:val="4ABF5E17"/>
    <w:rsid w:val="4AE01A66"/>
    <w:rsid w:val="4AED707B"/>
    <w:rsid w:val="4B0B7979"/>
    <w:rsid w:val="4B520DF4"/>
    <w:rsid w:val="4B603107"/>
    <w:rsid w:val="4B9802B0"/>
    <w:rsid w:val="4B9E65BE"/>
    <w:rsid w:val="4B9F33A8"/>
    <w:rsid w:val="4BA80AFD"/>
    <w:rsid w:val="4BB033BA"/>
    <w:rsid w:val="4BB469AD"/>
    <w:rsid w:val="4BC06040"/>
    <w:rsid w:val="4BF441D2"/>
    <w:rsid w:val="4C1C2A09"/>
    <w:rsid w:val="4C694192"/>
    <w:rsid w:val="4C7964D9"/>
    <w:rsid w:val="4C9269F6"/>
    <w:rsid w:val="4CC84335"/>
    <w:rsid w:val="4CE9350A"/>
    <w:rsid w:val="4CF632F0"/>
    <w:rsid w:val="4D297BF3"/>
    <w:rsid w:val="4D2D0EAF"/>
    <w:rsid w:val="4D63401A"/>
    <w:rsid w:val="4D7F0082"/>
    <w:rsid w:val="4D952FD9"/>
    <w:rsid w:val="4D970662"/>
    <w:rsid w:val="4DB33393"/>
    <w:rsid w:val="4DCF1E0D"/>
    <w:rsid w:val="4DD632D9"/>
    <w:rsid w:val="4DE05DF9"/>
    <w:rsid w:val="4DE44800"/>
    <w:rsid w:val="4DEE0709"/>
    <w:rsid w:val="4DFC14EA"/>
    <w:rsid w:val="4DFF6815"/>
    <w:rsid w:val="4E0A3427"/>
    <w:rsid w:val="4E27036A"/>
    <w:rsid w:val="4E304B5D"/>
    <w:rsid w:val="4E682F8C"/>
    <w:rsid w:val="4E6A7BB7"/>
    <w:rsid w:val="4F0773B4"/>
    <w:rsid w:val="4F307BB1"/>
    <w:rsid w:val="4F3D562D"/>
    <w:rsid w:val="4F5C4EE0"/>
    <w:rsid w:val="4F6E1972"/>
    <w:rsid w:val="4F943166"/>
    <w:rsid w:val="4FBA02A1"/>
    <w:rsid w:val="4FE7106E"/>
    <w:rsid w:val="50053943"/>
    <w:rsid w:val="50550E55"/>
    <w:rsid w:val="509F43E4"/>
    <w:rsid w:val="50A54D3E"/>
    <w:rsid w:val="50F1402B"/>
    <w:rsid w:val="50FD2AD9"/>
    <w:rsid w:val="51097D9A"/>
    <w:rsid w:val="51237D2E"/>
    <w:rsid w:val="51996737"/>
    <w:rsid w:val="51B408B8"/>
    <w:rsid w:val="51CC0868"/>
    <w:rsid w:val="51D5340F"/>
    <w:rsid w:val="52382F2A"/>
    <w:rsid w:val="52386E3D"/>
    <w:rsid w:val="523A7DD1"/>
    <w:rsid w:val="5271774C"/>
    <w:rsid w:val="52DE008D"/>
    <w:rsid w:val="52EE341E"/>
    <w:rsid w:val="52F37FE6"/>
    <w:rsid w:val="52FC1CAF"/>
    <w:rsid w:val="532540D9"/>
    <w:rsid w:val="532B6CAF"/>
    <w:rsid w:val="53350D91"/>
    <w:rsid w:val="53412644"/>
    <w:rsid w:val="53433903"/>
    <w:rsid w:val="53517A72"/>
    <w:rsid w:val="5361549D"/>
    <w:rsid w:val="536220DA"/>
    <w:rsid w:val="53650637"/>
    <w:rsid w:val="53757C6B"/>
    <w:rsid w:val="537E1075"/>
    <w:rsid w:val="53A44D07"/>
    <w:rsid w:val="53A46AC8"/>
    <w:rsid w:val="53AB7F1F"/>
    <w:rsid w:val="53AC6F7B"/>
    <w:rsid w:val="53EB297B"/>
    <w:rsid w:val="542E2BC2"/>
    <w:rsid w:val="54352A96"/>
    <w:rsid w:val="54447390"/>
    <w:rsid w:val="545E1D01"/>
    <w:rsid w:val="54935B8F"/>
    <w:rsid w:val="54CC6227"/>
    <w:rsid w:val="54D10F9B"/>
    <w:rsid w:val="551D586C"/>
    <w:rsid w:val="55200298"/>
    <w:rsid w:val="55335E1B"/>
    <w:rsid w:val="554B7EF0"/>
    <w:rsid w:val="556F3D99"/>
    <w:rsid w:val="55860894"/>
    <w:rsid w:val="55B02DF1"/>
    <w:rsid w:val="55DC290C"/>
    <w:rsid w:val="55F01FA1"/>
    <w:rsid w:val="56990B7C"/>
    <w:rsid w:val="569E1126"/>
    <w:rsid w:val="56B80DEB"/>
    <w:rsid w:val="56E06E61"/>
    <w:rsid w:val="56F653FE"/>
    <w:rsid w:val="575B7AFD"/>
    <w:rsid w:val="57660D3F"/>
    <w:rsid w:val="57706F91"/>
    <w:rsid w:val="57D1153D"/>
    <w:rsid w:val="57FA3774"/>
    <w:rsid w:val="58084A3C"/>
    <w:rsid w:val="585D2975"/>
    <w:rsid w:val="587E3341"/>
    <w:rsid w:val="58CF56D8"/>
    <w:rsid w:val="58D31010"/>
    <w:rsid w:val="58D6741E"/>
    <w:rsid w:val="58EA3D0E"/>
    <w:rsid w:val="58F71269"/>
    <w:rsid w:val="58FE045E"/>
    <w:rsid w:val="59561946"/>
    <w:rsid w:val="59670F51"/>
    <w:rsid w:val="596A44F9"/>
    <w:rsid w:val="596C19BB"/>
    <w:rsid w:val="59790BDB"/>
    <w:rsid w:val="598653AC"/>
    <w:rsid w:val="59AB52AC"/>
    <w:rsid w:val="59AC3C86"/>
    <w:rsid w:val="59D42FDA"/>
    <w:rsid w:val="59DA4E01"/>
    <w:rsid w:val="59F64E82"/>
    <w:rsid w:val="5A10435C"/>
    <w:rsid w:val="5A2654CC"/>
    <w:rsid w:val="5A323A44"/>
    <w:rsid w:val="5A395E66"/>
    <w:rsid w:val="5A484352"/>
    <w:rsid w:val="5A5321A5"/>
    <w:rsid w:val="5A745221"/>
    <w:rsid w:val="5A8734AF"/>
    <w:rsid w:val="5A9D3E45"/>
    <w:rsid w:val="5AA4101D"/>
    <w:rsid w:val="5AB17576"/>
    <w:rsid w:val="5ABD68E6"/>
    <w:rsid w:val="5ABF73D2"/>
    <w:rsid w:val="5ACB3D8A"/>
    <w:rsid w:val="5AE1508F"/>
    <w:rsid w:val="5AF80256"/>
    <w:rsid w:val="5B110CC9"/>
    <w:rsid w:val="5B1F7B5D"/>
    <w:rsid w:val="5B585171"/>
    <w:rsid w:val="5B585B78"/>
    <w:rsid w:val="5B9A2B59"/>
    <w:rsid w:val="5BC0085A"/>
    <w:rsid w:val="5BC349B4"/>
    <w:rsid w:val="5BF03D58"/>
    <w:rsid w:val="5C1A6BB2"/>
    <w:rsid w:val="5C5355FE"/>
    <w:rsid w:val="5C6F4105"/>
    <w:rsid w:val="5C7A4EE2"/>
    <w:rsid w:val="5CBB7F6F"/>
    <w:rsid w:val="5D7C3F11"/>
    <w:rsid w:val="5D9D49E0"/>
    <w:rsid w:val="5DDF1821"/>
    <w:rsid w:val="5DEA2F91"/>
    <w:rsid w:val="5E3146A3"/>
    <w:rsid w:val="5E442F62"/>
    <w:rsid w:val="5E6C2C5B"/>
    <w:rsid w:val="5E7251A2"/>
    <w:rsid w:val="5E7C3591"/>
    <w:rsid w:val="5E9D0E18"/>
    <w:rsid w:val="5EA2144B"/>
    <w:rsid w:val="5EA341D7"/>
    <w:rsid w:val="5EA755DE"/>
    <w:rsid w:val="5ED35F0E"/>
    <w:rsid w:val="5EFC1390"/>
    <w:rsid w:val="5EFC3EB6"/>
    <w:rsid w:val="5F03335D"/>
    <w:rsid w:val="5F0368C7"/>
    <w:rsid w:val="5F1544E7"/>
    <w:rsid w:val="5F3C4923"/>
    <w:rsid w:val="5F9A65E6"/>
    <w:rsid w:val="5F9B2627"/>
    <w:rsid w:val="5FAC7B1F"/>
    <w:rsid w:val="5FB80E3D"/>
    <w:rsid w:val="5FB831B4"/>
    <w:rsid w:val="5FD40999"/>
    <w:rsid w:val="5FE5522B"/>
    <w:rsid w:val="5FF03F08"/>
    <w:rsid w:val="5FF2548E"/>
    <w:rsid w:val="5FF313D3"/>
    <w:rsid w:val="602610FD"/>
    <w:rsid w:val="602808B2"/>
    <w:rsid w:val="603814FF"/>
    <w:rsid w:val="604109A8"/>
    <w:rsid w:val="605D2617"/>
    <w:rsid w:val="60616CDC"/>
    <w:rsid w:val="60624E53"/>
    <w:rsid w:val="606319E5"/>
    <w:rsid w:val="607B3C50"/>
    <w:rsid w:val="608B6567"/>
    <w:rsid w:val="60FF21D9"/>
    <w:rsid w:val="613253FD"/>
    <w:rsid w:val="61421F29"/>
    <w:rsid w:val="61712185"/>
    <w:rsid w:val="61970898"/>
    <w:rsid w:val="61A90D68"/>
    <w:rsid w:val="621775E2"/>
    <w:rsid w:val="622F7552"/>
    <w:rsid w:val="6250406E"/>
    <w:rsid w:val="627D6831"/>
    <w:rsid w:val="62811B1C"/>
    <w:rsid w:val="62A20409"/>
    <w:rsid w:val="62B54B44"/>
    <w:rsid w:val="62E045DA"/>
    <w:rsid w:val="62E454A1"/>
    <w:rsid w:val="62F36E4C"/>
    <w:rsid w:val="62F47F8F"/>
    <w:rsid w:val="62F7233F"/>
    <w:rsid w:val="6340438B"/>
    <w:rsid w:val="6353238E"/>
    <w:rsid w:val="63612AB8"/>
    <w:rsid w:val="637D0978"/>
    <w:rsid w:val="638968B0"/>
    <w:rsid w:val="638A282C"/>
    <w:rsid w:val="63A85E90"/>
    <w:rsid w:val="63A962DB"/>
    <w:rsid w:val="63AB1A91"/>
    <w:rsid w:val="63EE4692"/>
    <w:rsid w:val="63FD622D"/>
    <w:rsid w:val="643F32F9"/>
    <w:rsid w:val="64582686"/>
    <w:rsid w:val="64673C87"/>
    <w:rsid w:val="64A251DD"/>
    <w:rsid w:val="64DB63AB"/>
    <w:rsid w:val="650242F0"/>
    <w:rsid w:val="65542778"/>
    <w:rsid w:val="655829AF"/>
    <w:rsid w:val="656B70C3"/>
    <w:rsid w:val="658F4798"/>
    <w:rsid w:val="659B1EBA"/>
    <w:rsid w:val="65B461E9"/>
    <w:rsid w:val="65BE39A8"/>
    <w:rsid w:val="65FB3FBE"/>
    <w:rsid w:val="66247D11"/>
    <w:rsid w:val="66736112"/>
    <w:rsid w:val="667F5B5B"/>
    <w:rsid w:val="66897C79"/>
    <w:rsid w:val="6694262A"/>
    <w:rsid w:val="669609C2"/>
    <w:rsid w:val="66990381"/>
    <w:rsid w:val="66B31B01"/>
    <w:rsid w:val="66CE1E80"/>
    <w:rsid w:val="66E362F9"/>
    <w:rsid w:val="66E47FD9"/>
    <w:rsid w:val="67071922"/>
    <w:rsid w:val="673B73C0"/>
    <w:rsid w:val="675608B6"/>
    <w:rsid w:val="67754402"/>
    <w:rsid w:val="677D54ED"/>
    <w:rsid w:val="67B25E27"/>
    <w:rsid w:val="67C4383B"/>
    <w:rsid w:val="67D35E1A"/>
    <w:rsid w:val="67F35317"/>
    <w:rsid w:val="680201B7"/>
    <w:rsid w:val="68362BFB"/>
    <w:rsid w:val="683F1130"/>
    <w:rsid w:val="684456A1"/>
    <w:rsid w:val="685E1363"/>
    <w:rsid w:val="688E1089"/>
    <w:rsid w:val="68A026F3"/>
    <w:rsid w:val="68AF6C13"/>
    <w:rsid w:val="690E07C7"/>
    <w:rsid w:val="69236A65"/>
    <w:rsid w:val="692E469B"/>
    <w:rsid w:val="69315C48"/>
    <w:rsid w:val="694019EC"/>
    <w:rsid w:val="69584DB4"/>
    <w:rsid w:val="696C3D80"/>
    <w:rsid w:val="698A5EE4"/>
    <w:rsid w:val="69C811ED"/>
    <w:rsid w:val="69D33070"/>
    <w:rsid w:val="69E97E75"/>
    <w:rsid w:val="69FB5D9E"/>
    <w:rsid w:val="6A1A3007"/>
    <w:rsid w:val="6A1E645E"/>
    <w:rsid w:val="6A417049"/>
    <w:rsid w:val="6A7903E5"/>
    <w:rsid w:val="6AA03032"/>
    <w:rsid w:val="6AA86FEC"/>
    <w:rsid w:val="6ADA6AC4"/>
    <w:rsid w:val="6ADB11D6"/>
    <w:rsid w:val="6B1A2C3C"/>
    <w:rsid w:val="6B31644D"/>
    <w:rsid w:val="6B486C86"/>
    <w:rsid w:val="6B554C72"/>
    <w:rsid w:val="6B847AD7"/>
    <w:rsid w:val="6B9A2DF9"/>
    <w:rsid w:val="6BAC4619"/>
    <w:rsid w:val="6BCD2823"/>
    <w:rsid w:val="6BDD15DD"/>
    <w:rsid w:val="6BDF2966"/>
    <w:rsid w:val="6BE86A5F"/>
    <w:rsid w:val="6BF84629"/>
    <w:rsid w:val="6C234DED"/>
    <w:rsid w:val="6C29198B"/>
    <w:rsid w:val="6C3A67D1"/>
    <w:rsid w:val="6C3D2D5C"/>
    <w:rsid w:val="6C4800AA"/>
    <w:rsid w:val="6C4D28F8"/>
    <w:rsid w:val="6C5101CA"/>
    <w:rsid w:val="6C573E9C"/>
    <w:rsid w:val="6C6D1126"/>
    <w:rsid w:val="6CA35B3A"/>
    <w:rsid w:val="6CA41A5D"/>
    <w:rsid w:val="6CAF588C"/>
    <w:rsid w:val="6CB4638E"/>
    <w:rsid w:val="6CBF3C6A"/>
    <w:rsid w:val="6CBF5306"/>
    <w:rsid w:val="6CE70FA1"/>
    <w:rsid w:val="6CFA6351"/>
    <w:rsid w:val="6CFC3C40"/>
    <w:rsid w:val="6D480984"/>
    <w:rsid w:val="6DB13E57"/>
    <w:rsid w:val="6DC71662"/>
    <w:rsid w:val="6DCD5126"/>
    <w:rsid w:val="6DDB6CB0"/>
    <w:rsid w:val="6DE52ACD"/>
    <w:rsid w:val="6DFC0B44"/>
    <w:rsid w:val="6E0458E7"/>
    <w:rsid w:val="6E212037"/>
    <w:rsid w:val="6E3B221B"/>
    <w:rsid w:val="6E475779"/>
    <w:rsid w:val="6E7764EF"/>
    <w:rsid w:val="6EAD447C"/>
    <w:rsid w:val="6ECD7F59"/>
    <w:rsid w:val="6EED7C80"/>
    <w:rsid w:val="6EF773A4"/>
    <w:rsid w:val="6F2F2D9E"/>
    <w:rsid w:val="6F4147D9"/>
    <w:rsid w:val="6F947E4B"/>
    <w:rsid w:val="6FA30BDA"/>
    <w:rsid w:val="6FB80698"/>
    <w:rsid w:val="7024611F"/>
    <w:rsid w:val="70637B96"/>
    <w:rsid w:val="70797317"/>
    <w:rsid w:val="7099044B"/>
    <w:rsid w:val="709D518F"/>
    <w:rsid w:val="70C759D3"/>
    <w:rsid w:val="70CF2B23"/>
    <w:rsid w:val="710952C1"/>
    <w:rsid w:val="71452CD8"/>
    <w:rsid w:val="7158683A"/>
    <w:rsid w:val="715B2F52"/>
    <w:rsid w:val="71764F23"/>
    <w:rsid w:val="71946576"/>
    <w:rsid w:val="71967E84"/>
    <w:rsid w:val="71A61873"/>
    <w:rsid w:val="71AF4936"/>
    <w:rsid w:val="71D75D0F"/>
    <w:rsid w:val="721919B3"/>
    <w:rsid w:val="721A6098"/>
    <w:rsid w:val="72310D1A"/>
    <w:rsid w:val="725D6B54"/>
    <w:rsid w:val="72A17C99"/>
    <w:rsid w:val="72AF6F7E"/>
    <w:rsid w:val="73047904"/>
    <w:rsid w:val="734C1A6A"/>
    <w:rsid w:val="735C5949"/>
    <w:rsid w:val="73737DA5"/>
    <w:rsid w:val="73887B3E"/>
    <w:rsid w:val="73892412"/>
    <w:rsid w:val="73E96BCA"/>
    <w:rsid w:val="73EE4A6E"/>
    <w:rsid w:val="741048BC"/>
    <w:rsid w:val="742E78D4"/>
    <w:rsid w:val="74676A28"/>
    <w:rsid w:val="747E40B6"/>
    <w:rsid w:val="74AC3224"/>
    <w:rsid w:val="74BB2C83"/>
    <w:rsid w:val="74DE4E5F"/>
    <w:rsid w:val="74EB54AB"/>
    <w:rsid w:val="74FF6D43"/>
    <w:rsid w:val="750201A2"/>
    <w:rsid w:val="751A76AF"/>
    <w:rsid w:val="75250574"/>
    <w:rsid w:val="7550443E"/>
    <w:rsid w:val="755F0BCC"/>
    <w:rsid w:val="756F17F9"/>
    <w:rsid w:val="75825461"/>
    <w:rsid w:val="759926FC"/>
    <w:rsid w:val="75A24276"/>
    <w:rsid w:val="75AA231D"/>
    <w:rsid w:val="75E8633A"/>
    <w:rsid w:val="763F09AA"/>
    <w:rsid w:val="764F3FCC"/>
    <w:rsid w:val="7650339F"/>
    <w:rsid w:val="76603C9A"/>
    <w:rsid w:val="76BB1CAB"/>
    <w:rsid w:val="76C04050"/>
    <w:rsid w:val="76E65049"/>
    <w:rsid w:val="77076007"/>
    <w:rsid w:val="77413F7E"/>
    <w:rsid w:val="77835654"/>
    <w:rsid w:val="7797109C"/>
    <w:rsid w:val="779A2A38"/>
    <w:rsid w:val="77B07B65"/>
    <w:rsid w:val="77B4450A"/>
    <w:rsid w:val="77B46E73"/>
    <w:rsid w:val="77E37A12"/>
    <w:rsid w:val="77FE3468"/>
    <w:rsid w:val="78546F0C"/>
    <w:rsid w:val="78EE1C79"/>
    <w:rsid w:val="797239CC"/>
    <w:rsid w:val="79831473"/>
    <w:rsid w:val="7999527A"/>
    <w:rsid w:val="79AF76C5"/>
    <w:rsid w:val="79C25EE1"/>
    <w:rsid w:val="79CE2967"/>
    <w:rsid w:val="79EA664C"/>
    <w:rsid w:val="7A2F459A"/>
    <w:rsid w:val="7A517022"/>
    <w:rsid w:val="7A6F5001"/>
    <w:rsid w:val="7AA2343E"/>
    <w:rsid w:val="7ADA73A4"/>
    <w:rsid w:val="7AE66B99"/>
    <w:rsid w:val="7B0A3BCA"/>
    <w:rsid w:val="7B4048C1"/>
    <w:rsid w:val="7B73082F"/>
    <w:rsid w:val="7BC62E00"/>
    <w:rsid w:val="7BE35E2A"/>
    <w:rsid w:val="7BFA1CC7"/>
    <w:rsid w:val="7BFB70B3"/>
    <w:rsid w:val="7C0251DA"/>
    <w:rsid w:val="7C1052F2"/>
    <w:rsid w:val="7C2668D9"/>
    <w:rsid w:val="7C32497F"/>
    <w:rsid w:val="7C3C69AE"/>
    <w:rsid w:val="7C691974"/>
    <w:rsid w:val="7C8A6570"/>
    <w:rsid w:val="7C8B7390"/>
    <w:rsid w:val="7C9B0D0E"/>
    <w:rsid w:val="7CA42B03"/>
    <w:rsid w:val="7CD2318A"/>
    <w:rsid w:val="7CD2702A"/>
    <w:rsid w:val="7CD34C42"/>
    <w:rsid w:val="7CDE3FF9"/>
    <w:rsid w:val="7CE26EBF"/>
    <w:rsid w:val="7CEE3130"/>
    <w:rsid w:val="7D1F6674"/>
    <w:rsid w:val="7D480B34"/>
    <w:rsid w:val="7D9005BC"/>
    <w:rsid w:val="7D9F0AD0"/>
    <w:rsid w:val="7DD12BB7"/>
    <w:rsid w:val="7DFF0955"/>
    <w:rsid w:val="7E0B750E"/>
    <w:rsid w:val="7E2822EA"/>
    <w:rsid w:val="7E355A7B"/>
    <w:rsid w:val="7E6E3E85"/>
    <w:rsid w:val="7E9C184B"/>
    <w:rsid w:val="7EA72948"/>
    <w:rsid w:val="7EB31EDB"/>
    <w:rsid w:val="7EE70CC0"/>
    <w:rsid w:val="7EEB48DB"/>
    <w:rsid w:val="7EF27444"/>
    <w:rsid w:val="7F265C58"/>
    <w:rsid w:val="7F582CF2"/>
    <w:rsid w:val="7F951B40"/>
    <w:rsid w:val="7FBF10B0"/>
    <w:rsid w:val="7FF302F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qFormat="1" w:uiPriority="99"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qFormat="1"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84"/>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6" w:lineRule="auto"/>
      <w:outlineLvl w:val="0"/>
    </w:pPr>
    <w:rPr>
      <w:b/>
      <w:bCs/>
      <w:kern w:val="44"/>
      <w:sz w:val="44"/>
      <w:szCs w:val="44"/>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paragraph" w:styleId="5">
    <w:name w:val="heading 4"/>
    <w:basedOn w:val="1"/>
    <w:next w:val="1"/>
    <w:qFormat/>
    <w:uiPriority w:val="0"/>
    <w:pPr>
      <w:keepNext/>
      <w:keepLines/>
      <w:spacing w:line="360" w:lineRule="auto"/>
      <w:outlineLvl w:val="3"/>
    </w:pPr>
    <w:rPr>
      <w:rFonts w:ascii="Arial" w:hAnsi="Arial"/>
      <w:b/>
      <w:bCs/>
      <w:szCs w:val="28"/>
    </w:rPr>
  </w:style>
  <w:style w:type="character" w:default="1" w:styleId="34">
    <w:name w:val="Default Paragraph Font"/>
    <w:semiHidden/>
    <w:unhideWhenUsed/>
    <w:qFormat/>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styleId="6">
    <w:name w:val="List Number"/>
    <w:basedOn w:val="1"/>
    <w:qFormat/>
    <w:uiPriority w:val="0"/>
    <w:pPr>
      <w:widowControl/>
      <w:spacing w:beforeAutospacing="1" w:afterAutospacing="1"/>
      <w:jc w:val="left"/>
    </w:pPr>
    <w:rPr>
      <w:rFonts w:ascii="宋体" w:hAnsi="宋体" w:cs="宋体"/>
      <w:kern w:val="0"/>
      <w:sz w:val="24"/>
    </w:rPr>
  </w:style>
  <w:style w:type="paragraph" w:styleId="7">
    <w:name w:val="Normal Indent"/>
    <w:basedOn w:val="1"/>
    <w:qFormat/>
    <w:uiPriority w:val="0"/>
    <w:pPr>
      <w:widowControl/>
      <w:spacing w:beforeAutospacing="1" w:afterAutospacing="1"/>
      <w:jc w:val="left"/>
    </w:pPr>
    <w:rPr>
      <w:rFonts w:ascii="宋体" w:hAnsi="宋体" w:cs="宋体"/>
      <w:kern w:val="0"/>
      <w:sz w:val="24"/>
    </w:rPr>
  </w:style>
  <w:style w:type="paragraph" w:styleId="8">
    <w:name w:val="Document Map"/>
    <w:basedOn w:val="1"/>
    <w:link w:val="74"/>
    <w:qFormat/>
    <w:uiPriority w:val="0"/>
    <w:rPr>
      <w:rFonts w:ascii="宋体" w:hAnsi="Calibri"/>
      <w:sz w:val="18"/>
      <w:szCs w:val="18"/>
    </w:rPr>
  </w:style>
  <w:style w:type="paragraph" w:styleId="9">
    <w:name w:val="annotation text"/>
    <w:basedOn w:val="1"/>
    <w:qFormat/>
    <w:uiPriority w:val="0"/>
    <w:pPr>
      <w:jc w:val="left"/>
    </w:pPr>
  </w:style>
  <w:style w:type="paragraph" w:styleId="10">
    <w:name w:val="Body Text 3"/>
    <w:basedOn w:val="1"/>
    <w:qFormat/>
    <w:uiPriority w:val="0"/>
    <w:rPr>
      <w:sz w:val="16"/>
      <w:szCs w:val="16"/>
    </w:rPr>
  </w:style>
  <w:style w:type="paragraph" w:styleId="11">
    <w:name w:val="Body Text"/>
    <w:basedOn w:val="1"/>
    <w:next w:val="12"/>
    <w:link w:val="72"/>
    <w:qFormat/>
    <w:uiPriority w:val="0"/>
  </w:style>
  <w:style w:type="paragraph" w:styleId="12">
    <w:name w:val="Body Text 2"/>
    <w:basedOn w:val="1"/>
    <w:next w:val="11"/>
    <w:qFormat/>
    <w:uiPriority w:val="0"/>
    <w:pPr>
      <w:spacing w:line="480" w:lineRule="auto"/>
    </w:pPr>
  </w:style>
  <w:style w:type="paragraph" w:styleId="13">
    <w:name w:val="Body Text Indent"/>
    <w:basedOn w:val="1"/>
    <w:next w:val="14"/>
    <w:qFormat/>
    <w:uiPriority w:val="0"/>
    <w:pPr>
      <w:widowControl/>
      <w:spacing w:beforeAutospacing="1" w:afterAutospacing="1"/>
      <w:jc w:val="left"/>
    </w:pPr>
    <w:rPr>
      <w:rFonts w:ascii="宋体" w:hAnsi="宋体" w:cs="宋体"/>
      <w:kern w:val="0"/>
      <w:sz w:val="24"/>
    </w:rPr>
  </w:style>
  <w:style w:type="paragraph" w:styleId="14">
    <w:name w:val="envelope return"/>
    <w:basedOn w:val="1"/>
    <w:unhideWhenUsed/>
    <w:qFormat/>
    <w:uiPriority w:val="99"/>
    <w:pPr>
      <w:snapToGrid w:val="0"/>
    </w:pPr>
    <w:rPr>
      <w:rFonts w:ascii="Arial" w:hAnsi="Arial"/>
    </w:rPr>
  </w:style>
  <w:style w:type="paragraph" w:styleId="15">
    <w:name w:val="List 2"/>
    <w:basedOn w:val="1"/>
    <w:qFormat/>
    <w:uiPriority w:val="0"/>
    <w:pPr>
      <w:ind w:left="100" w:leftChars="200" w:hanging="200" w:hangingChars="200"/>
    </w:pPr>
  </w:style>
  <w:style w:type="paragraph" w:styleId="16">
    <w:name w:val="Block Text"/>
    <w:basedOn w:val="1"/>
    <w:unhideWhenUsed/>
    <w:qFormat/>
    <w:uiPriority w:val="99"/>
    <w:pPr>
      <w:snapToGrid w:val="0"/>
      <w:spacing w:before="100" w:after="100"/>
      <w:ind w:left="-22" w:leftChars="-8" w:right="-40" w:firstLine="548" w:firstLineChars="196"/>
    </w:pPr>
    <w:rPr>
      <w:rFonts w:ascii="宋体" w:hAnsi="宋体"/>
      <w:sz w:val="28"/>
    </w:rPr>
  </w:style>
  <w:style w:type="paragraph" w:styleId="17">
    <w:name w:val="toc 3"/>
    <w:basedOn w:val="1"/>
    <w:next w:val="1"/>
    <w:qFormat/>
    <w:uiPriority w:val="0"/>
    <w:pPr>
      <w:tabs>
        <w:tab w:val="left" w:pos="709"/>
        <w:tab w:val="right" w:leader="dot" w:pos="8789"/>
      </w:tabs>
      <w:spacing w:line="400" w:lineRule="atLeast"/>
    </w:pPr>
    <w:rPr>
      <w:rFonts w:ascii="宋体"/>
      <w:kern w:val="0"/>
      <w:szCs w:val="20"/>
    </w:rPr>
  </w:style>
  <w:style w:type="paragraph" w:styleId="18">
    <w:name w:val="Plain Text"/>
    <w:basedOn w:val="1"/>
    <w:qFormat/>
    <w:uiPriority w:val="0"/>
    <w:pPr>
      <w:widowControl/>
      <w:spacing w:beforeAutospacing="1" w:afterAutospacing="1"/>
      <w:jc w:val="left"/>
    </w:pPr>
    <w:rPr>
      <w:rFonts w:ascii="宋体" w:hAnsi="宋体" w:cs="宋体"/>
      <w:kern w:val="0"/>
      <w:sz w:val="24"/>
    </w:rPr>
  </w:style>
  <w:style w:type="paragraph" w:styleId="19">
    <w:name w:val="Date"/>
    <w:basedOn w:val="1"/>
    <w:next w:val="1"/>
    <w:qFormat/>
    <w:uiPriority w:val="0"/>
    <w:pPr>
      <w:ind w:left="100" w:leftChars="2500"/>
    </w:pPr>
    <w:rPr>
      <w:rFonts w:ascii="宋体" w:hAnsi="宋体"/>
      <w:sz w:val="28"/>
    </w:rPr>
  </w:style>
  <w:style w:type="paragraph" w:styleId="20">
    <w:name w:val="Body Text Indent 2"/>
    <w:basedOn w:val="1"/>
    <w:qFormat/>
    <w:uiPriority w:val="0"/>
    <w:pPr>
      <w:spacing w:line="480" w:lineRule="auto"/>
      <w:ind w:left="420" w:leftChars="200"/>
    </w:pPr>
  </w:style>
  <w:style w:type="paragraph" w:styleId="21">
    <w:name w:val="footer"/>
    <w:basedOn w:val="1"/>
    <w:qFormat/>
    <w:uiPriority w:val="0"/>
    <w:pPr>
      <w:tabs>
        <w:tab w:val="center" w:pos="4153"/>
        <w:tab w:val="right" w:pos="8306"/>
      </w:tabs>
      <w:snapToGrid w:val="0"/>
      <w:jc w:val="left"/>
    </w:pPr>
    <w:rPr>
      <w:sz w:val="18"/>
      <w:szCs w:val="18"/>
    </w:rPr>
  </w:style>
  <w:style w:type="paragraph" w:styleId="2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3">
    <w:name w:val="toc 1"/>
    <w:basedOn w:val="1"/>
    <w:next w:val="1"/>
    <w:qFormat/>
    <w:uiPriority w:val="0"/>
  </w:style>
  <w:style w:type="paragraph" w:styleId="24">
    <w:name w:val="List"/>
    <w:basedOn w:val="1"/>
    <w:qFormat/>
    <w:uiPriority w:val="0"/>
    <w:pPr>
      <w:ind w:left="200" w:hanging="200" w:hangingChars="200"/>
    </w:pPr>
  </w:style>
  <w:style w:type="paragraph" w:styleId="25">
    <w:name w:val="Message Header"/>
    <w:basedOn w:val="1"/>
    <w:unhideWhenUsed/>
    <w:qFormat/>
    <w:uiPriority w:val="99"/>
    <w:pPr>
      <w:pBdr>
        <w:top w:val="single" w:color="auto" w:sz="6" w:space="1"/>
        <w:left w:val="single" w:color="auto" w:sz="6" w:space="1"/>
        <w:bottom w:val="single" w:color="auto" w:sz="6" w:space="1"/>
        <w:right w:val="single" w:color="auto" w:sz="6" w:space="1"/>
      </w:pBdr>
      <w:shd w:val="clear" w:color="auto" w:fill="7F7F7F"/>
      <w:spacing w:before="100" w:beforeAutospacing="1" w:after="100" w:afterAutospacing="1"/>
      <w:ind w:left="1080" w:leftChars="500" w:hanging="1080" w:hangingChars="500"/>
    </w:pPr>
    <w:rPr>
      <w:rFonts w:ascii="Cambria" w:hAnsi="Cambria"/>
      <w:sz w:val="24"/>
      <w:szCs w:val="24"/>
    </w:rPr>
  </w:style>
  <w:style w:type="paragraph" w:styleId="2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27">
    <w:name w:val="Normal (Web)"/>
    <w:basedOn w:val="1"/>
    <w:qFormat/>
    <w:uiPriority w:val="99"/>
    <w:pPr>
      <w:spacing w:before="100" w:beforeAutospacing="1" w:after="100" w:afterAutospacing="1"/>
      <w:jc w:val="left"/>
    </w:pPr>
    <w:rPr>
      <w:kern w:val="0"/>
      <w:sz w:val="24"/>
    </w:rPr>
  </w:style>
  <w:style w:type="paragraph" w:styleId="28">
    <w:name w:val="Title"/>
    <w:basedOn w:val="1"/>
    <w:qFormat/>
    <w:uiPriority w:val="0"/>
    <w:pPr>
      <w:jc w:val="center"/>
      <w:outlineLvl w:val="0"/>
    </w:pPr>
    <w:rPr>
      <w:rFonts w:ascii="Arial" w:hAnsi="Arial" w:cs="Arial"/>
      <w:b/>
      <w:bCs/>
      <w:sz w:val="32"/>
      <w:szCs w:val="32"/>
    </w:rPr>
  </w:style>
  <w:style w:type="paragraph" w:styleId="29">
    <w:name w:val="Body Text First Indent"/>
    <w:basedOn w:val="11"/>
    <w:next w:val="1"/>
    <w:qFormat/>
    <w:uiPriority w:val="0"/>
    <w:pPr>
      <w:spacing w:line="360" w:lineRule="auto"/>
      <w:ind w:firstLine="420" w:firstLineChars="100"/>
    </w:pPr>
    <w:rPr>
      <w:szCs w:val="21"/>
    </w:rPr>
  </w:style>
  <w:style w:type="paragraph" w:styleId="30">
    <w:name w:val="Body Text First Indent 2"/>
    <w:basedOn w:val="13"/>
    <w:next w:val="31"/>
    <w:qFormat/>
    <w:uiPriority w:val="0"/>
    <w:pPr>
      <w:ind w:firstLine="420" w:firstLineChars="200"/>
    </w:pPr>
  </w:style>
  <w:style w:type="paragraph" w:customStyle="1" w:styleId="31">
    <w:name w:val="样式 正文首行缩进 2 + Arial"/>
    <w:basedOn w:val="1"/>
    <w:next w:val="1"/>
    <w:qFormat/>
    <w:uiPriority w:val="0"/>
    <w:pPr>
      <w:spacing w:after="120" w:line="320" w:lineRule="atLeast"/>
      <w:ind w:firstLine="200" w:firstLineChars="200"/>
    </w:pPr>
    <w:rPr>
      <w:rFonts w:ascii="Arial" w:hAnsi="Arial"/>
      <w:kern w:val="0"/>
    </w:rPr>
  </w:style>
  <w:style w:type="table" w:styleId="33">
    <w:name w:val="Table Grid"/>
    <w:basedOn w:val="32"/>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5">
    <w:name w:val="Strong"/>
    <w:qFormat/>
    <w:uiPriority w:val="0"/>
    <w:rPr>
      <w:b/>
      <w:bCs/>
      <w:szCs w:val="24"/>
    </w:rPr>
  </w:style>
  <w:style w:type="character" w:styleId="36">
    <w:name w:val="page number"/>
    <w:basedOn w:val="34"/>
    <w:qFormat/>
    <w:uiPriority w:val="0"/>
  </w:style>
  <w:style w:type="character" w:styleId="37">
    <w:name w:val="FollowedHyperlink"/>
    <w:qFormat/>
    <w:uiPriority w:val="0"/>
    <w:rPr>
      <w:color w:val="333333"/>
      <w:szCs w:val="24"/>
      <w:u w:val="none"/>
    </w:rPr>
  </w:style>
  <w:style w:type="character" w:styleId="38">
    <w:name w:val="Emphasis"/>
    <w:basedOn w:val="34"/>
    <w:qFormat/>
    <w:uiPriority w:val="0"/>
  </w:style>
  <w:style w:type="character" w:styleId="39">
    <w:name w:val="HTML Definition"/>
    <w:basedOn w:val="34"/>
    <w:qFormat/>
    <w:uiPriority w:val="0"/>
  </w:style>
  <w:style w:type="character" w:styleId="40">
    <w:name w:val="HTML Typewriter"/>
    <w:basedOn w:val="34"/>
    <w:qFormat/>
    <w:uiPriority w:val="0"/>
    <w:rPr>
      <w:rFonts w:hint="default" w:ascii="monospace" w:hAnsi="monospace" w:eastAsia="monospace" w:cs="monospace"/>
      <w:sz w:val="20"/>
    </w:rPr>
  </w:style>
  <w:style w:type="character" w:styleId="41">
    <w:name w:val="HTML Acronym"/>
    <w:basedOn w:val="34"/>
    <w:qFormat/>
    <w:uiPriority w:val="0"/>
  </w:style>
  <w:style w:type="character" w:styleId="42">
    <w:name w:val="HTML Variable"/>
    <w:basedOn w:val="34"/>
    <w:qFormat/>
    <w:uiPriority w:val="0"/>
  </w:style>
  <w:style w:type="character" w:styleId="43">
    <w:name w:val="Hyperlink"/>
    <w:basedOn w:val="34"/>
    <w:qFormat/>
    <w:uiPriority w:val="0"/>
    <w:rPr>
      <w:color w:val="333333"/>
      <w:szCs w:val="24"/>
      <w:u w:val="none"/>
    </w:rPr>
  </w:style>
  <w:style w:type="character" w:styleId="44">
    <w:name w:val="HTML Code"/>
    <w:basedOn w:val="34"/>
    <w:qFormat/>
    <w:uiPriority w:val="0"/>
    <w:rPr>
      <w:rFonts w:ascii="monospace" w:hAnsi="monospace" w:eastAsia="monospace" w:cs="monospace"/>
      <w:sz w:val="20"/>
    </w:rPr>
  </w:style>
  <w:style w:type="character" w:styleId="45">
    <w:name w:val="HTML Cite"/>
    <w:basedOn w:val="34"/>
    <w:qFormat/>
    <w:uiPriority w:val="0"/>
  </w:style>
  <w:style w:type="character" w:styleId="46">
    <w:name w:val="HTML Keyboard"/>
    <w:basedOn w:val="34"/>
    <w:qFormat/>
    <w:uiPriority w:val="0"/>
    <w:rPr>
      <w:rFonts w:hint="default" w:ascii="monospace" w:hAnsi="monospace" w:eastAsia="monospace" w:cs="monospace"/>
      <w:sz w:val="20"/>
    </w:rPr>
  </w:style>
  <w:style w:type="character" w:styleId="47">
    <w:name w:val="HTML Sample"/>
    <w:basedOn w:val="34"/>
    <w:qFormat/>
    <w:uiPriority w:val="0"/>
    <w:rPr>
      <w:rFonts w:hint="default" w:ascii="monospace" w:hAnsi="monospace" w:eastAsia="monospace" w:cs="monospace"/>
    </w:rPr>
  </w:style>
  <w:style w:type="paragraph" w:customStyle="1" w:styleId="48">
    <w:name w:val="No Spacing1"/>
    <w:basedOn w:val="1"/>
    <w:qFormat/>
    <w:uiPriority w:val="0"/>
    <w:pPr>
      <w:spacing w:line="400" w:lineRule="exact"/>
    </w:pPr>
    <w:rPr>
      <w:sz w:val="24"/>
    </w:rPr>
  </w:style>
  <w:style w:type="paragraph" w:customStyle="1" w:styleId="49">
    <w:name w:val="Default"/>
    <w:next w:val="50"/>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50">
    <w:name w:val="大标题"/>
    <w:basedOn w:val="1"/>
    <w:next w:val="30"/>
    <w:qFormat/>
    <w:uiPriority w:val="0"/>
    <w:pPr>
      <w:jc w:val="center"/>
    </w:pPr>
    <w:rPr>
      <w:rFonts w:ascii="Arial" w:hAnsi="Arial"/>
      <w:b/>
      <w:sz w:val="28"/>
    </w:rPr>
  </w:style>
  <w:style w:type="paragraph" w:customStyle="1" w:styleId="51">
    <w:name w:val="样式 首行缩进:  2 字符"/>
    <w:basedOn w:val="1"/>
    <w:qFormat/>
    <w:uiPriority w:val="0"/>
    <w:pPr>
      <w:spacing w:line="360" w:lineRule="auto"/>
      <w:ind w:firstLine="480" w:firstLineChars="200"/>
      <w:jc w:val="left"/>
    </w:pPr>
    <w:rPr>
      <w:rFonts w:ascii="宋体" w:hAnsi="宋体" w:cs="宋体"/>
      <w:color w:val="000000"/>
      <w:sz w:val="24"/>
      <w:szCs w:val="20"/>
    </w:rPr>
  </w:style>
  <w:style w:type="paragraph" w:customStyle="1" w:styleId="52">
    <w:name w:val="Char"/>
    <w:basedOn w:val="1"/>
    <w:qFormat/>
    <w:uiPriority w:val="0"/>
  </w:style>
  <w:style w:type="paragraph" w:customStyle="1" w:styleId="53">
    <w:name w:val="正文缩进1"/>
    <w:basedOn w:val="1"/>
    <w:qFormat/>
    <w:uiPriority w:val="0"/>
    <w:pPr>
      <w:widowControl/>
      <w:ind w:firstLine="420"/>
      <w:jc w:val="left"/>
    </w:pPr>
    <w:rPr>
      <w:kern w:val="0"/>
      <w:szCs w:val="20"/>
    </w:rPr>
  </w:style>
  <w:style w:type="paragraph" w:customStyle="1" w:styleId="54">
    <w:name w:val="列出段落2"/>
    <w:basedOn w:val="1"/>
    <w:qFormat/>
    <w:uiPriority w:val="34"/>
    <w:pPr>
      <w:ind w:firstLine="420" w:firstLineChars="200"/>
    </w:pPr>
  </w:style>
  <w:style w:type="paragraph" w:customStyle="1" w:styleId="55">
    <w:name w:val="plaintext"/>
    <w:basedOn w:val="1"/>
    <w:qFormat/>
    <w:uiPriority w:val="0"/>
    <w:pPr>
      <w:widowControl/>
      <w:spacing w:beforeAutospacing="1" w:afterAutospacing="1"/>
      <w:jc w:val="left"/>
    </w:pPr>
    <w:rPr>
      <w:rFonts w:ascii="宋体" w:hAnsi="宋体" w:cs="宋体"/>
      <w:kern w:val="0"/>
      <w:sz w:val="24"/>
    </w:rPr>
  </w:style>
  <w:style w:type="paragraph" w:customStyle="1" w:styleId="56">
    <w:name w:val="1"/>
    <w:basedOn w:val="1"/>
    <w:qFormat/>
    <w:uiPriority w:val="0"/>
    <w:pPr>
      <w:widowControl/>
      <w:spacing w:beforeAutospacing="1" w:afterAutospacing="1"/>
      <w:jc w:val="left"/>
    </w:pPr>
    <w:rPr>
      <w:rFonts w:ascii="宋体" w:hAnsi="宋体" w:cs="宋体"/>
      <w:kern w:val="0"/>
      <w:sz w:val="24"/>
    </w:rPr>
  </w:style>
  <w:style w:type="paragraph" w:styleId="57">
    <w:name w:val="No Spacing"/>
    <w:qFormat/>
    <w:uiPriority w:val="1"/>
    <w:rPr>
      <w:rFonts w:ascii="Calibri" w:hAnsi="Calibri" w:eastAsia="宋体" w:cs="Times New Roman"/>
      <w:sz w:val="22"/>
      <w:szCs w:val="22"/>
      <w:lang w:val="en-US" w:eastAsia="zh-CN" w:bidi="ar-SA"/>
    </w:rPr>
  </w:style>
  <w:style w:type="paragraph" w:customStyle="1" w:styleId="58">
    <w:name w:val="_Style 2"/>
    <w:basedOn w:val="1"/>
    <w:qFormat/>
    <w:uiPriority w:val="34"/>
    <w:pPr>
      <w:ind w:firstLine="420" w:firstLineChars="200"/>
    </w:pPr>
    <w:rPr>
      <w:rFonts w:ascii="Calibri" w:hAnsi="Calibri"/>
    </w:rPr>
  </w:style>
  <w:style w:type="paragraph" w:customStyle="1" w:styleId="59">
    <w:name w:val="paracharcharcharcharcharcharcharcharchar1charcharcharchar"/>
    <w:basedOn w:val="1"/>
    <w:qFormat/>
    <w:uiPriority w:val="0"/>
    <w:pPr>
      <w:widowControl/>
      <w:spacing w:beforeAutospacing="1" w:afterAutospacing="1"/>
      <w:jc w:val="left"/>
    </w:pPr>
    <w:rPr>
      <w:rFonts w:ascii="宋体" w:hAnsi="宋体" w:cs="宋体"/>
      <w:kern w:val="0"/>
      <w:sz w:val="24"/>
    </w:rPr>
  </w:style>
  <w:style w:type="paragraph" w:customStyle="1" w:styleId="60">
    <w:name w:val="样式2"/>
    <w:basedOn w:val="1"/>
    <w:next w:val="1"/>
    <w:qFormat/>
    <w:uiPriority w:val="0"/>
    <w:pPr>
      <w:spacing w:line="360" w:lineRule="exact"/>
      <w:ind w:left="-107" w:leftChars="-51" w:right="-108" w:firstLine="98" w:firstLineChars="41"/>
      <w:jc w:val="left"/>
    </w:pPr>
    <w:rPr>
      <w:rFonts w:ascii="宋体" w:hAnsi="宋体"/>
    </w:rPr>
  </w:style>
  <w:style w:type="paragraph" w:customStyle="1" w:styleId="61">
    <w:name w:val="Char1"/>
    <w:basedOn w:val="1"/>
    <w:qFormat/>
    <w:uiPriority w:val="0"/>
  </w:style>
  <w:style w:type="paragraph" w:customStyle="1" w:styleId="62">
    <w:name w:val="p16"/>
    <w:basedOn w:val="1"/>
    <w:qFormat/>
    <w:uiPriority w:val="0"/>
    <w:pPr>
      <w:widowControl/>
      <w:spacing w:before="100" w:beforeAutospacing="1" w:after="100" w:afterAutospacing="1"/>
      <w:jc w:val="left"/>
    </w:pPr>
    <w:rPr>
      <w:rFonts w:ascii="宋体" w:hAnsi="宋体" w:cs="宋体"/>
      <w:kern w:val="0"/>
      <w:sz w:val="24"/>
    </w:rPr>
  </w:style>
  <w:style w:type="paragraph" w:customStyle="1" w:styleId="63">
    <w:name w:val="Table Paragraph"/>
    <w:basedOn w:val="1"/>
    <w:qFormat/>
    <w:uiPriority w:val="1"/>
    <w:pPr>
      <w:jc w:val="left"/>
    </w:pPr>
    <w:rPr>
      <w:rFonts w:ascii="宋体" w:hAnsi="宋体" w:cs="宋体"/>
      <w:kern w:val="0"/>
      <w:sz w:val="22"/>
      <w:szCs w:val="22"/>
      <w:lang w:eastAsia="en-US"/>
    </w:rPr>
  </w:style>
  <w:style w:type="paragraph" w:customStyle="1" w:styleId="64">
    <w:name w:val="无间隔1"/>
    <w:basedOn w:val="1"/>
    <w:qFormat/>
    <w:uiPriority w:val="1"/>
    <w:pPr>
      <w:spacing w:line="400" w:lineRule="exact"/>
    </w:pPr>
    <w:rPr>
      <w:sz w:val="24"/>
    </w:rPr>
  </w:style>
  <w:style w:type="paragraph" w:customStyle="1" w:styleId="65">
    <w:name w:val="正文格式"/>
    <w:qFormat/>
    <w:uiPriority w:val="0"/>
    <w:pPr>
      <w:widowControl w:val="0"/>
      <w:spacing w:line="360" w:lineRule="auto"/>
      <w:ind w:left="-2" w:leftChars="-1" w:firstLine="422" w:firstLineChars="200"/>
      <w:jc w:val="both"/>
    </w:pPr>
    <w:rPr>
      <w:rFonts w:ascii="宋体" w:hAnsi="宋体" w:eastAsia="宋体" w:cs="Times New Roman"/>
      <w:b/>
      <w:sz w:val="21"/>
      <w:szCs w:val="21"/>
      <w:u w:val="single"/>
      <w:lang w:val="en-US" w:eastAsia="zh-CN" w:bidi="ar-SA"/>
    </w:rPr>
  </w:style>
  <w:style w:type="paragraph" w:customStyle="1" w:styleId="66">
    <w:name w:val="3"/>
    <w:basedOn w:val="1"/>
    <w:qFormat/>
    <w:uiPriority w:val="0"/>
    <w:pPr>
      <w:widowControl/>
      <w:spacing w:beforeAutospacing="1" w:afterAutospacing="1"/>
      <w:jc w:val="left"/>
    </w:pPr>
    <w:rPr>
      <w:rFonts w:ascii="宋体" w:hAnsi="宋体" w:cs="宋体"/>
      <w:kern w:val="0"/>
      <w:sz w:val="24"/>
    </w:rPr>
  </w:style>
  <w:style w:type="paragraph" w:customStyle="1" w:styleId="67">
    <w:name w:val="列出段落1"/>
    <w:basedOn w:val="1"/>
    <w:qFormat/>
    <w:uiPriority w:val="34"/>
    <w:pPr>
      <w:ind w:firstLine="420" w:firstLineChars="200"/>
    </w:pPr>
  </w:style>
  <w:style w:type="paragraph" w:customStyle="1" w:styleId="68">
    <w:name w:val="列出段落111"/>
    <w:qFormat/>
    <w:uiPriority w:val="34"/>
    <w:pPr>
      <w:ind w:firstLine="420" w:firstLineChars="200"/>
    </w:pPr>
    <w:rPr>
      <w:rFonts w:ascii="Times New Roman" w:hAnsi="Times New Roman" w:eastAsia="宋体" w:cs="Times New Roman"/>
      <w:lang w:val="en-US" w:eastAsia="zh-CN" w:bidi="ar-SA"/>
    </w:rPr>
  </w:style>
  <w:style w:type="paragraph" w:customStyle="1" w:styleId="69">
    <w:name w:val="a0"/>
    <w:basedOn w:val="1"/>
    <w:qFormat/>
    <w:uiPriority w:val="0"/>
    <w:pPr>
      <w:widowControl/>
      <w:spacing w:beforeAutospacing="1" w:afterAutospacing="1"/>
      <w:jc w:val="left"/>
    </w:pPr>
    <w:rPr>
      <w:rFonts w:ascii="宋体" w:hAnsi="宋体" w:cs="宋体"/>
      <w:kern w:val="0"/>
      <w:sz w:val="24"/>
    </w:rPr>
  </w:style>
  <w:style w:type="paragraph" w:customStyle="1" w:styleId="70">
    <w:name w:val="default"/>
    <w:basedOn w:val="1"/>
    <w:qFormat/>
    <w:uiPriority w:val="0"/>
    <w:pPr>
      <w:widowControl/>
      <w:spacing w:beforeAutospacing="1" w:afterAutospacing="1"/>
      <w:jc w:val="left"/>
    </w:pPr>
    <w:rPr>
      <w:rFonts w:ascii="宋体" w:hAnsi="宋体" w:cs="宋体"/>
      <w:kern w:val="0"/>
      <w:sz w:val="24"/>
    </w:rPr>
  </w:style>
  <w:style w:type="paragraph" w:customStyle="1" w:styleId="71">
    <w:name w:val="列出段落11"/>
    <w:basedOn w:val="1"/>
    <w:qFormat/>
    <w:uiPriority w:val="0"/>
    <w:pPr>
      <w:ind w:firstLine="420" w:firstLineChars="200"/>
    </w:pPr>
    <w:rPr>
      <w:rFonts w:ascii="Calibri" w:hAnsi="Calibri"/>
      <w:szCs w:val="22"/>
    </w:rPr>
  </w:style>
  <w:style w:type="character" w:customStyle="1" w:styleId="72">
    <w:name w:val="正文文本 Char"/>
    <w:basedOn w:val="34"/>
    <w:link w:val="11"/>
    <w:qFormat/>
    <w:uiPriority w:val="0"/>
  </w:style>
  <w:style w:type="character" w:customStyle="1" w:styleId="73">
    <w:name w:val="apple-converted-space"/>
    <w:basedOn w:val="34"/>
    <w:qFormat/>
    <w:uiPriority w:val="0"/>
  </w:style>
  <w:style w:type="character" w:customStyle="1" w:styleId="74">
    <w:name w:val="文档结构图 Char"/>
    <w:link w:val="8"/>
    <w:qFormat/>
    <w:uiPriority w:val="0"/>
    <w:rPr>
      <w:rFonts w:ascii="宋体"/>
      <w:kern w:val="2"/>
      <w:sz w:val="18"/>
      <w:szCs w:val="18"/>
    </w:rPr>
  </w:style>
  <w:style w:type="character" w:customStyle="1" w:styleId="75">
    <w:name w:val="不明显强调1"/>
    <w:qFormat/>
    <w:uiPriority w:val="19"/>
    <w:rPr>
      <w:i/>
      <w:iCs/>
      <w:color w:val="7F7F7F"/>
      <w:szCs w:val="24"/>
    </w:rPr>
  </w:style>
  <w:style w:type="character" w:customStyle="1" w:styleId="76">
    <w:name w:val="font71"/>
    <w:qFormat/>
    <w:uiPriority w:val="0"/>
    <w:rPr>
      <w:rFonts w:hint="eastAsia" w:ascii="宋体" w:hAnsi="宋体" w:eastAsia="宋体" w:cs="宋体"/>
      <w:color w:val="000000"/>
      <w:sz w:val="28"/>
      <w:szCs w:val="28"/>
      <w:u w:val="none"/>
    </w:rPr>
  </w:style>
  <w:style w:type="character" w:customStyle="1" w:styleId="77">
    <w:name w:val="font21"/>
    <w:qFormat/>
    <w:uiPriority w:val="0"/>
    <w:rPr>
      <w:rFonts w:hint="default" w:ascii="Calibri" w:hAnsi="Calibri" w:cs="Calibri"/>
      <w:color w:val="000000"/>
      <w:sz w:val="28"/>
      <w:szCs w:val="28"/>
      <w:u w:val="none"/>
    </w:rPr>
  </w:style>
  <w:style w:type="character" w:customStyle="1" w:styleId="78">
    <w:name w:val="17"/>
    <w:qFormat/>
    <w:uiPriority w:val="0"/>
    <w:rPr>
      <w:rFonts w:hint="eastAsia" w:ascii="宋体" w:hAnsi="宋体" w:eastAsia="宋体"/>
      <w:color w:val="000000"/>
    </w:rPr>
  </w:style>
  <w:style w:type="character" w:customStyle="1" w:styleId="79">
    <w:name w:val="font91"/>
    <w:qFormat/>
    <w:uiPriority w:val="0"/>
    <w:rPr>
      <w:rFonts w:hint="eastAsia" w:ascii="宋体" w:hAnsi="宋体" w:eastAsia="宋体" w:cs="宋体"/>
      <w:color w:val="FF0000"/>
      <w:sz w:val="28"/>
      <w:szCs w:val="28"/>
      <w:u w:val="none"/>
    </w:rPr>
  </w:style>
  <w:style w:type="paragraph" w:customStyle="1" w:styleId="80">
    <w:name w:val="p"/>
    <w:basedOn w:val="1"/>
    <w:qFormat/>
    <w:uiPriority w:val="0"/>
    <w:pPr>
      <w:widowControl/>
      <w:spacing w:line="432" w:lineRule="auto"/>
      <w:jc w:val="left"/>
    </w:pPr>
    <w:rPr>
      <w:rFonts w:ascii="宋体" w:hAnsi="宋体" w:cs="宋体"/>
      <w:kern w:val="0"/>
      <w:sz w:val="24"/>
    </w:rPr>
  </w:style>
  <w:style w:type="paragraph" w:customStyle="1" w:styleId="81">
    <w:name w:val="WPSOffice手动目录 1"/>
    <w:qFormat/>
    <w:uiPriority w:val="0"/>
    <w:rPr>
      <w:rFonts w:ascii="Times New Roman" w:hAnsi="Times New Roman" w:eastAsia="宋体" w:cs="Times New Roman"/>
      <w:lang w:val="en-US" w:eastAsia="zh-CN" w:bidi="ar-SA"/>
    </w:rPr>
  </w:style>
  <w:style w:type="paragraph" w:customStyle="1" w:styleId="82">
    <w:name w:val="*正文_1"/>
    <w:basedOn w:val="1"/>
    <w:next w:val="1"/>
    <w:qFormat/>
    <w:uiPriority w:val="0"/>
    <w:pPr>
      <w:widowControl/>
      <w:ind w:firstLine="482"/>
    </w:pPr>
    <w:rPr>
      <w:rFonts w:ascii="微软雅黑" w:hAnsi="微软雅黑" w:eastAsia="微软雅黑"/>
      <w:kern w:val="0"/>
      <w:szCs w:val="20"/>
    </w:rPr>
  </w:style>
  <w:style w:type="paragraph" w:customStyle="1" w:styleId="83">
    <w:name w:val="表格文字"/>
    <w:basedOn w:val="1"/>
    <w:next w:val="11"/>
    <w:qFormat/>
    <w:uiPriority w:val="0"/>
    <w:pPr>
      <w:adjustRightInd w:val="0"/>
      <w:spacing w:line="420" w:lineRule="atLeast"/>
      <w:jc w:val="left"/>
      <w:textAlignment w:val="baseline"/>
    </w:pPr>
    <w:rPr>
      <w:kern w:val="0"/>
      <w:szCs w:val="20"/>
    </w:rPr>
  </w:style>
  <w:style w:type="character" w:customStyle="1" w:styleId="84">
    <w:name w:val="NormalCharacter"/>
    <w:link w:val="1"/>
    <w:semiHidden/>
    <w:qFormat/>
    <w:uiPriority w:val="0"/>
    <w:rPr>
      <w:rFonts w:ascii="Times New Roman" w:hAnsi="Times New Roman" w:eastAsia="宋体" w:cs="Times New Roman"/>
      <w:kern w:val="2"/>
      <w:sz w:val="21"/>
      <w:szCs w:val="24"/>
      <w:lang w:val="en-US" w:eastAsia="zh-CN" w:bidi="ar-SA"/>
    </w:rPr>
  </w:style>
  <w:style w:type="paragraph" w:customStyle="1" w:styleId="85">
    <w:name w:val="列表段落1"/>
    <w:basedOn w:val="1"/>
    <w:qFormat/>
    <w:uiPriority w:val="34"/>
    <w:pPr>
      <w:widowControl/>
      <w:ind w:firstLine="420"/>
      <w:jc w:val="left"/>
    </w:pPr>
    <w:rPr>
      <w:kern w:val="0"/>
    </w:rPr>
  </w:style>
  <w:style w:type="paragraph" w:styleId="86">
    <w:name w:val="List Paragraph"/>
    <w:basedOn w:val="1"/>
    <w:qFormat/>
    <w:uiPriority w:val="34"/>
    <w:pPr>
      <w:ind w:firstLine="420" w:firstLineChars="200"/>
    </w:pPr>
  </w:style>
  <w:style w:type="character" w:customStyle="1" w:styleId="87">
    <w:name w:val="hover18"/>
    <w:basedOn w:val="34"/>
    <w:qFormat/>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2C39694-E2D4-4EC7-B4CE-52C55243A652}">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32</Pages>
  <Words>14577</Words>
  <Characters>15387</Characters>
  <Lines>50</Lines>
  <Paragraphs>68</Paragraphs>
  <TotalTime>253</TotalTime>
  <ScaleCrop>false</ScaleCrop>
  <LinksUpToDate>false</LinksUpToDate>
  <CharactersWithSpaces>16425</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2012-11-07T02:07:00Z</dcterms:created>
  <dc:creator>微软用户</dc:creator>
  <cp:lastModifiedBy>陈壹</cp:lastModifiedBy>
  <cp:lastPrinted>2021-09-30T00:46:00Z</cp:lastPrinted>
  <dcterms:modified xsi:type="dcterms:W3CDTF">2022-08-16T07:21:58Z</dcterms:modified>
  <dc:title>驻马店市政府采购货物项目</dc:title>
  <cp:revision>1088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562A285641654D2EA086C4325B3B203C</vt:lpwstr>
  </property>
</Properties>
</file>