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953395"/>
      <w:bookmarkEnd w:id="0"/>
      <w:bookmarkStart w:id="1" w:name="_Toc22804073"/>
      <w:bookmarkEnd w:id="1"/>
    </w:p>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驻马店市中心医院PDF签章服务器及系统采购项目</w:t>
      </w: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2"/>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驻马店市中心医院PDF签章服务器及系统</w:t>
      </w:r>
      <w:r>
        <w:rPr>
          <w:rFonts w:hint="eastAsia" w:ascii="黑体" w:hAnsi="黑体" w:eastAsia="黑体" w:cs="宋体"/>
          <w:bCs/>
          <w:color w:val="auto"/>
          <w:kern w:val="0"/>
          <w:sz w:val="28"/>
          <w:szCs w:val="28"/>
          <w:lang w:val="en-US" w:eastAsia="zh-CN"/>
        </w:rPr>
        <w:t>采购</w:t>
      </w:r>
      <w:r>
        <w:rPr>
          <w:rFonts w:hint="eastAsia" w:ascii="黑体" w:hAnsi="黑体" w:eastAsia="黑体" w:cs="宋体"/>
          <w:bCs/>
          <w:color w:val="auto"/>
          <w:kern w:val="0"/>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PDF签章服务器及系统</w:t>
      </w:r>
      <w:r>
        <w:rPr>
          <w:rFonts w:hint="eastAsia" w:ascii="宋体" w:hAnsi="宋体" w:cs="宋体"/>
          <w:color w:val="auto"/>
          <w:u w:val="single"/>
          <w:lang w:eastAsia="zh-CN"/>
        </w:rPr>
        <w:t>采购项目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19521"/>
      <w:bookmarkStart w:id="5" w:name="_Toc24040"/>
      <w:bookmarkStart w:id="6" w:name="_Toc26079"/>
      <w:bookmarkStart w:id="7" w:name="_Toc27913"/>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cs="宋体"/>
          <w:color w:val="000000"/>
          <w:kern w:val="0"/>
          <w:sz w:val="22"/>
          <w:szCs w:val="22"/>
        </w:rPr>
        <w:t>符合现行国家质量要求和行业有关标准</w:t>
      </w:r>
      <w:r>
        <w:rPr>
          <w:rFonts w:hint="eastAsia" w:ascii="宋体" w:hAnsi="宋体" w:eastAsia="宋体" w:cs="宋体"/>
          <w:color w:val="auto"/>
          <w:szCs w:val="21"/>
          <w:highlight w:val="none"/>
          <w:shd w:val="clear" w:color="auto" w:fill="FFFFFF"/>
          <w:lang w:eastAsia="zh-CN"/>
        </w:rPr>
        <w:t>。</w:t>
      </w:r>
    </w:p>
    <w:p>
      <w:pPr>
        <w:pStyle w:val="29"/>
        <w:ind w:firstLine="420" w:firstLineChars="200"/>
        <w:rPr>
          <w:rFonts w:hint="default"/>
          <w:lang w:val="en-US"/>
        </w:rPr>
      </w:pPr>
      <w:r>
        <w:rPr>
          <w:rFonts w:hint="eastAsia" w:ascii="宋体" w:hAnsi="宋体" w:cs="宋体"/>
          <w:color w:val="auto"/>
          <w:szCs w:val="21"/>
          <w:highlight w:val="none"/>
          <w:shd w:val="clear" w:color="auto" w:fill="FFFFFF"/>
          <w:lang w:val="en-US" w:eastAsia="zh-CN"/>
        </w:rPr>
        <w:t>6、交货日期：合同签订后10个工作日内到货。</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16639"/>
      <w:bookmarkStart w:id="11" w:name="_Toc27704"/>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1、供应商具有独立法人资格，具有有效的营业执照、税务登记证、组织机构代码证或三证合一营业执照；</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2、具有健全的财务会计制度（提供202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年度经审计的财务报告，成立年限不足的按实际提供）；</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5、响应人若为代理商需提供制造商针对本项目出具的授权书及售后服务承诺函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23395"/>
      <w:bookmarkStart w:id="14" w:name="_Toc30971"/>
      <w:bookmarkStart w:id="15" w:name="_Toc9562"/>
      <w:bookmarkStart w:id="16" w:name="_Toc7823"/>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时间：2022年08月17日-2022年08月19日，上午8：30-11:30，下午14:30-17:30（北京时间，法定节假日除外）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5111"/>
      <w:bookmarkStart w:id="20" w:name="_Toc10738"/>
      <w:bookmarkStart w:id="21" w:name="_Toc27480"/>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30918"/>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7370"/>
      <w:bookmarkStart w:id="31" w:name="_Toc24274"/>
      <w:bookmarkStart w:id="32" w:name="_Toc16291"/>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2022年0</w:t>
      </w:r>
      <w:r>
        <w:rPr>
          <w:rFonts w:hint="eastAsia" w:ascii="宋体" w:hAnsi="宋体" w:cs="宋体"/>
          <w:color w:val="auto"/>
          <w:kern w:val="0"/>
          <w:sz w:val="21"/>
          <w:szCs w:val="21"/>
          <w:shd w:val="clear" w:color="auto" w:fill="FFFFFF"/>
          <w:lang w:val="en-US" w:eastAsia="zh-CN" w:bidi="ar-SA"/>
        </w:rPr>
        <w:t>8</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16</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23610"/>
      <w:bookmarkStart w:id="39" w:name="_Toc9989"/>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驻马店市中心医院PDF签章服务器及系统</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pStyle w:val="29"/>
        <w:ind w:left="0" w:leftChars="0" w:firstLine="0" w:firstLineChars="0"/>
        <w:rPr>
          <w:rFonts w:hint="eastAsia"/>
          <w:lang w:val="en-US" w:eastAsia="zh-CN"/>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序号</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项目名称</w:t>
            </w:r>
          </w:p>
        </w:tc>
        <w:tc>
          <w:tcPr>
            <w:tcW w:w="1736"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数量或规模</w:t>
            </w:r>
          </w:p>
        </w:tc>
        <w:tc>
          <w:tcPr>
            <w:tcW w:w="1473"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资金预算</w:t>
            </w:r>
          </w:p>
        </w:tc>
        <w:tc>
          <w:tcPr>
            <w:tcW w:w="1554"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宋体" w:hAnsi="宋体"/>
                <w:sz w:val="24"/>
                <w:szCs w:val="24"/>
                <w:lang w:val="en-US" w:eastAsia="zh-CN"/>
              </w:rPr>
            </w:pPr>
            <w:r>
              <w:rPr>
                <w:rFonts w:hint="eastAsia" w:ascii="宋体" w:hAnsi="宋体"/>
                <w:sz w:val="24"/>
                <w:szCs w:val="24"/>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hint="default" w:ascii="宋体" w:hAnsi="宋体"/>
                <w:sz w:val="24"/>
                <w:szCs w:val="24"/>
                <w:lang w:val="en-US" w:eastAsia="zh-CN"/>
              </w:rPr>
            </w:pPr>
            <w:r>
              <w:rPr>
                <w:rFonts w:ascii="宋体" w:hAnsi="宋体"/>
                <w:sz w:val="24"/>
                <w:szCs w:val="24"/>
              </w:rPr>
              <w:t>PDF</w:t>
            </w:r>
            <w:r>
              <w:rPr>
                <w:rFonts w:hint="eastAsia" w:ascii="宋体" w:hAnsi="宋体"/>
                <w:sz w:val="24"/>
                <w:szCs w:val="24"/>
              </w:rPr>
              <w:t>签章服务器及系统</w:t>
            </w:r>
          </w:p>
        </w:tc>
        <w:tc>
          <w:tcPr>
            <w:tcW w:w="1736" w:type="dxa"/>
            <w:tcBorders>
              <w:top w:val="single" w:color="auto" w:sz="4" w:space="0"/>
              <w:left w:val="nil"/>
              <w:bottom w:val="single" w:color="auto" w:sz="4" w:space="0"/>
              <w:right w:val="single" w:color="auto" w:sz="4" w:space="0"/>
            </w:tcBorders>
            <w:vAlign w:val="center"/>
          </w:tcPr>
          <w:p>
            <w:pPr>
              <w:pStyle w:val="12"/>
              <w:spacing w:after="0"/>
              <w:ind w:left="0" w:leftChars="0"/>
              <w:jc w:val="center"/>
              <w:rPr>
                <w:rFonts w:hint="default" w:ascii="宋体" w:hAnsi="宋体" w:eastAsia="宋体"/>
                <w:sz w:val="24"/>
                <w:szCs w:val="24"/>
                <w:lang w:val="en-US" w:eastAsia="zh-CN"/>
              </w:rPr>
            </w:pPr>
            <w:r>
              <w:rPr>
                <w:rFonts w:ascii="宋体" w:hAnsi="宋体"/>
                <w:sz w:val="24"/>
                <w:szCs w:val="24"/>
              </w:rPr>
              <w:t>1</w:t>
            </w:r>
            <w:r>
              <w:rPr>
                <w:rFonts w:hint="eastAsia" w:ascii="宋体" w:hAnsi="宋体"/>
                <w:sz w:val="24"/>
                <w:szCs w:val="24"/>
              </w:rPr>
              <w:t>套</w:t>
            </w:r>
          </w:p>
        </w:tc>
        <w:tc>
          <w:tcPr>
            <w:tcW w:w="1473" w:type="dxa"/>
            <w:tcBorders>
              <w:top w:val="single" w:color="auto" w:sz="4" w:space="0"/>
              <w:left w:val="nil"/>
              <w:bottom w:val="single" w:color="auto" w:sz="4" w:space="0"/>
              <w:right w:val="single" w:color="auto" w:sz="4" w:space="0"/>
            </w:tcBorders>
            <w:vAlign w:val="center"/>
          </w:tcPr>
          <w:p>
            <w:pPr>
              <w:pStyle w:val="12"/>
              <w:spacing w:after="0"/>
              <w:ind w:left="0" w:leftChars="0"/>
              <w:jc w:val="center"/>
              <w:rPr>
                <w:rFonts w:hint="default" w:ascii="宋体" w:hAnsi="宋体" w:eastAsia="宋体"/>
                <w:sz w:val="24"/>
                <w:szCs w:val="24"/>
                <w:lang w:val="en-US" w:eastAsia="zh-CN"/>
              </w:rPr>
            </w:pPr>
            <w:r>
              <w:rPr>
                <w:rFonts w:ascii="宋体" w:hAnsi="宋体"/>
                <w:sz w:val="24"/>
                <w:szCs w:val="24"/>
              </w:rPr>
              <w:t>19</w:t>
            </w:r>
            <w:r>
              <w:rPr>
                <w:rFonts w:hint="eastAsia" w:ascii="宋体" w:hAnsi="宋体"/>
                <w:sz w:val="24"/>
                <w:szCs w:val="24"/>
              </w:rPr>
              <w:t>万</w:t>
            </w:r>
          </w:p>
        </w:tc>
        <w:tc>
          <w:tcPr>
            <w:tcW w:w="1554" w:type="dxa"/>
            <w:tcBorders>
              <w:top w:val="single" w:color="auto" w:sz="4" w:space="0"/>
              <w:left w:val="nil"/>
              <w:bottom w:val="single" w:color="auto" w:sz="4" w:space="0"/>
              <w:right w:val="single" w:color="auto" w:sz="4" w:space="0"/>
            </w:tcBorders>
            <w:vAlign w:val="center"/>
          </w:tcPr>
          <w:p>
            <w:pPr>
              <w:pStyle w:val="12"/>
              <w:rPr>
                <w:rFonts w:hint="eastAsia" w:ascii="宋体" w:hAnsi="宋体" w:eastAsia="宋体"/>
                <w:sz w:val="24"/>
                <w:szCs w:val="24"/>
                <w:lang w:val="en-US" w:eastAsia="zh-CN"/>
              </w:rPr>
            </w:pPr>
            <w:r>
              <w:rPr>
                <w:rFonts w:hint="eastAsia" w:ascii="宋体" w:hAnsi="宋体"/>
                <w:sz w:val="24"/>
                <w:szCs w:val="24"/>
                <w:lang w:val="en-US" w:eastAsia="zh-CN"/>
              </w:rPr>
              <w:t>自筹</w:t>
            </w:r>
          </w:p>
        </w:tc>
      </w:tr>
    </w:tbl>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p>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2"/>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、附技术偏离表、评分标准、产品彩页、相关证明文件                                                       </w:t>
      </w:r>
    </w:p>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000000"/>
          <w:sz w:val="24"/>
        </w:rPr>
        <w:t>售后服务体系：响应人应当具有良好的服务理念和完善的售后服务体系，能够按照响应技术方案提供系统集成技术支持服务；</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质保期：所投硬件产品在验收合格后质保期不低于一年，质保期内应用软件和硬件的升级、维护均免费。</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运维支持：在系统建设、使用、运维等过程中遇到问题时，都能够得到响应人相应的技术支持与帮助；</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日常技术支持：提供7x24小时热线电话、远程网络、现场等技术支持服务，对于系统故障，</w:t>
      </w:r>
      <w:r>
        <w:rPr>
          <w:rFonts w:asciiTheme="minorEastAsia" w:hAnsiTheme="minorEastAsia"/>
          <w:sz w:val="24"/>
          <w:szCs w:val="24"/>
        </w:rPr>
        <w:t>在接到用户报修电话后，</w:t>
      </w:r>
      <w:r>
        <w:rPr>
          <w:rFonts w:hint="eastAsia" w:asciiTheme="minorEastAsia" w:hAnsiTheme="minorEastAsia"/>
          <w:sz w:val="24"/>
          <w:szCs w:val="24"/>
        </w:rPr>
        <w:t>1</w:t>
      </w:r>
      <w:r>
        <w:rPr>
          <w:rFonts w:asciiTheme="minorEastAsia" w:hAnsiTheme="minorEastAsia"/>
          <w:sz w:val="24"/>
          <w:szCs w:val="24"/>
        </w:rPr>
        <w:t>小时内给予响应，积极配合诊断并进行处理；如判断故障无法远程排除，立即安排高级技术人员在接到报修电话后，</w:t>
      </w:r>
      <w:r>
        <w:rPr>
          <w:rFonts w:hint="eastAsia" w:asciiTheme="minorEastAsia" w:hAnsiTheme="minorEastAsia"/>
          <w:sz w:val="24"/>
          <w:szCs w:val="24"/>
        </w:rPr>
        <w:t>4</w:t>
      </w:r>
      <w:r>
        <w:rPr>
          <w:rFonts w:asciiTheme="minorEastAsia" w:hAnsiTheme="minorEastAsia"/>
          <w:sz w:val="24"/>
          <w:szCs w:val="24"/>
        </w:rPr>
        <w:t>小时内到达现场进行维护或维修。</w:t>
      </w:r>
    </w:p>
    <w:p>
      <w:pPr>
        <w:numPr>
          <w:ilvl w:val="0"/>
          <w:numId w:val="1"/>
        </w:numPr>
        <w:spacing w:before="120" w:line="360" w:lineRule="auto"/>
        <w:ind w:left="0" w:firstLine="480"/>
        <w:jc w:val="left"/>
        <w:rPr>
          <w:rFonts w:ascii="宋体" w:hAnsi="宋体"/>
          <w:color w:val="auto"/>
          <w:sz w:val="28"/>
          <w:szCs w:val="28"/>
          <w:u w:val="single"/>
        </w:rPr>
      </w:pPr>
      <w:r>
        <w:rPr>
          <w:rFonts w:hint="eastAsia" w:ascii="宋体" w:hAnsi="宋体" w:cs="宋体"/>
          <w:color w:val="000000"/>
          <w:sz w:val="24"/>
        </w:rPr>
        <w:t>交货期：合同签订后</w:t>
      </w:r>
      <w:r>
        <w:rPr>
          <w:rFonts w:ascii="宋体" w:hAnsi="宋体" w:cs="宋体"/>
          <w:color w:val="000000"/>
          <w:sz w:val="24"/>
        </w:rPr>
        <w:t>10</w:t>
      </w:r>
      <w:r>
        <w:rPr>
          <w:rFonts w:hint="eastAsia" w:ascii="宋体" w:hAnsi="宋体" w:cs="宋体"/>
          <w:color w:val="000000"/>
          <w:sz w:val="24"/>
        </w:rPr>
        <w:t>个工作日内到货</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Cs w:val="21"/>
          <w:highlight w:val="none"/>
        </w:rPr>
        <w:t xml:space="preserve"> </w:t>
      </w:r>
    </w:p>
    <w:p>
      <w:pPr>
        <w:jc w:val="center"/>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技术参数</w:t>
      </w:r>
    </w:p>
    <w:p>
      <w:pPr>
        <w:pStyle w:val="19"/>
        <w:rPr>
          <w:rFonts w:hint="eastAsia"/>
          <w:lang w:val="en-US" w:eastAsia="zh-CN"/>
        </w:rPr>
      </w:pPr>
    </w:p>
    <w:tbl>
      <w:tblPr>
        <w:tblStyle w:val="31"/>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pPr>
              <w:ind w:firstLine="200" w:firstLineChars="83"/>
              <w:jc w:val="center"/>
              <w:rPr>
                <w:rFonts w:ascii="宋体" w:hAnsi="宋体"/>
                <w:b/>
                <w:bCs/>
                <w:color w:val="000000"/>
                <w:sz w:val="24"/>
              </w:rPr>
            </w:pPr>
          </w:p>
          <w:p>
            <w:pPr>
              <w:ind w:firstLine="200" w:firstLineChars="83"/>
              <w:jc w:val="center"/>
              <w:rPr>
                <w:rFonts w:ascii="宋体" w:hAnsi="宋体"/>
                <w:b/>
                <w:bCs/>
                <w:color w:val="000000"/>
                <w:sz w:val="24"/>
              </w:rPr>
            </w:pPr>
          </w:p>
          <w:p>
            <w:pPr>
              <w:ind w:firstLine="200" w:firstLineChars="83"/>
              <w:jc w:val="center"/>
              <w:rPr>
                <w:rFonts w:ascii="宋体" w:hAnsi="宋体"/>
                <w:b/>
                <w:bCs/>
                <w:color w:val="000000"/>
                <w:sz w:val="24"/>
              </w:rPr>
            </w:pPr>
          </w:p>
          <w:p>
            <w:pPr>
              <w:pStyle w:val="2"/>
              <w:jc w:val="center"/>
            </w:pPr>
          </w:p>
          <w:p>
            <w:pPr>
              <w:jc w:val="center"/>
              <w:rPr>
                <w:rFonts w:ascii="宋体" w:hAnsi="宋体"/>
                <w:b/>
                <w:bCs/>
                <w:color w:val="000000"/>
                <w:sz w:val="24"/>
              </w:rPr>
            </w:pPr>
            <w:r>
              <w:rPr>
                <w:rFonts w:hint="eastAsia" w:ascii="宋体" w:hAnsi="宋体"/>
                <w:b/>
                <w:bCs/>
                <w:color w:val="000000"/>
                <w:sz w:val="24"/>
              </w:rPr>
              <w:t>PDF签章系统</w:t>
            </w:r>
          </w:p>
        </w:tc>
        <w:tc>
          <w:tcPr>
            <w:tcW w:w="7545" w:type="dxa"/>
            <w:tcBorders>
              <w:top w:val="single" w:color="auto" w:sz="4" w:space="0"/>
              <w:left w:val="nil"/>
              <w:bottom w:val="single" w:color="auto" w:sz="4" w:space="0"/>
              <w:right w:val="single" w:color="auto" w:sz="4" w:space="0"/>
            </w:tcBorders>
          </w:tcPr>
          <w:p>
            <w:pPr>
              <w:rPr>
                <w:rFonts w:ascii="宋体" w:hAnsi="宋体"/>
                <w:b/>
                <w:bCs/>
                <w:color w:val="000000"/>
                <w:sz w:val="24"/>
              </w:rPr>
            </w:pPr>
            <w:r>
              <w:rPr>
                <w:rFonts w:hint="eastAsia" w:ascii="宋体" w:hAnsi="宋体"/>
                <w:b/>
                <w:bCs/>
                <w:color w:val="000000"/>
                <w:sz w:val="24"/>
              </w:rPr>
              <w:t>功能参数指标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1、对PDF格式的文档进行电子签章，并且在电子文档上显示签章图片；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2、支持验证PDF签章后文档的有效性、完整性。支持用标准PDF阅读器直接验证，也支持通过第三方在线验证平台进行验证；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olor w:val="000000"/>
                <w:sz w:val="24"/>
              </w:rPr>
            </w:pPr>
            <w:r>
              <w:rPr>
                <w:rFonts w:hint="eastAsia" w:ascii="宋体" w:hAnsi="宋体" w:cs="宋体"/>
                <w:sz w:val="24"/>
              </w:rPr>
              <w:t>3、管理签章应用的服务器证书、签章图片、签章展现属性、签章定位、透明度等</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4、支持PDF文档中针对单个、多个和全部关键字进行签章；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5、对PDF文档进行骑缝章签章功能，支持左右骑缝、签章位置大小分配设定功能，支持骑缝章首页签名和每页签名，并可设置文档保护限制；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6、支持对PDF文档签章的预览功能；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7、支持在PDF文档中加入不带印章图片的数字签名；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8、支持在PDF文档中加入文字或图片形式的水印；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9、对签章业务进行统计与分析，并对系统管理和维护进行日志记录和审计；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▲10、打开签章后的PDF文档时，自动对文档签章进行验证；（提供产品功能截图）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11、对签章后的PDF文档中的指定签章进行验证；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▲12、支持配置多种方式进行PDF版式文件的签章，包括通过关键字检索、坐标定位等；（提供产品功能截图）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olor w:val="000000"/>
                <w:sz w:val="24"/>
              </w:rPr>
            </w:pPr>
            <w:r>
              <w:rPr>
                <w:rFonts w:hint="eastAsia" w:ascii="宋体" w:hAnsi="宋体"/>
                <w:color w:val="000000"/>
                <w:sz w:val="24"/>
              </w:rPr>
              <w:t>13、支持对机构、用户及角色进行管理；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14、支持备份文件恢复，同时自动备份当前数据库文件；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15、提供服务器、用户印章管理功能，支持对印章图片缩放及多种格式的印章图片，同时支持印章动态附文的设置；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16、具备证书管理功能，包括证书信任链管理、签名服务器证书管理，CRL 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17、支持SM2、RSA等签名算法；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18、对签章规则的使用IP段权限进行白名单设置，有且仅有在所允许IP段的业务系统才有使用该签章规则的权限；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19、对PDF签章业务日志、系统配置、系统运行状况进行审计管理；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20、支持服务端热备负载功能，来解决不能对外提供大数据量服务的问题，即多台机器负载时，多台机器能够同时对外提供一样的服务来处理大数据量，能够提供一个高性能的服务；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▲21、兼容医院现有的签名系统设备.实现SM2算法的数字签名；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22、支持与医院现有的时间戳系统进行签名集成，实现SM2算法的时间戳签名；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23、与HIS系统对接，实现医生站、护士站的移动电子签名，与无纸化系统对接实现归档病历的自动电子签章认证。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PDF签章服务器</w:t>
            </w:r>
          </w:p>
        </w:tc>
        <w:tc>
          <w:tcPr>
            <w:tcW w:w="7545" w:type="dxa"/>
            <w:tcBorders>
              <w:top w:val="single" w:color="auto" w:sz="4" w:space="0"/>
              <w:left w:val="nil"/>
              <w:bottom w:val="single" w:color="auto" w:sz="4" w:space="0"/>
              <w:right w:val="single" w:color="auto" w:sz="4" w:space="0"/>
            </w:tcBorders>
          </w:tcPr>
          <w:p>
            <w:pPr>
              <w:rPr>
                <w:rFonts w:ascii="宋体" w:hAnsi="宋体"/>
                <w:b/>
                <w:bCs/>
                <w:color w:val="000000"/>
                <w:sz w:val="24"/>
              </w:rPr>
            </w:pPr>
            <w:r>
              <w:rPr>
                <w:rFonts w:hint="eastAsia" w:ascii="宋体" w:hAnsi="宋体"/>
                <w:b/>
                <w:bCs/>
                <w:color w:val="000000"/>
                <w:sz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FF0000"/>
                <w:sz w:val="24"/>
              </w:rPr>
            </w:pPr>
            <w:r>
              <w:rPr>
                <w:rFonts w:hint="eastAsia" w:ascii="宋体" w:hAnsi="宋体"/>
                <w:sz w:val="24"/>
              </w:rPr>
              <w:t>1、支持应用环境有Windows；Linux；AIX；Solaris；Unix等；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color w:val="000000"/>
                <w:sz w:val="24"/>
              </w:rPr>
              <w:t>2、支持C、Java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color w:val="000000"/>
                <w:sz w:val="24"/>
              </w:rPr>
              <w:t>3、业务处理能力</w:t>
            </w:r>
            <w:r>
              <w:rPr>
                <w:rFonts w:hint="eastAsia" w:ascii="宋体" w:hAnsi="宋体" w:eastAsia="宋体" w:cs="宋体"/>
                <w:sz w:val="24"/>
              </w:rPr>
              <w:t>≧5</w:t>
            </w:r>
            <w:r>
              <w:rPr>
                <w:rFonts w:hint="eastAsia" w:ascii="宋体" w:hAnsi="宋体"/>
                <w:color w:val="000000"/>
                <w:sz w:val="24"/>
              </w:rPr>
              <w:t>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bottom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4、设备高度</w:t>
            </w:r>
            <w:r>
              <w:rPr>
                <w:rFonts w:hint="eastAsia" w:ascii="宋体" w:hAnsi="宋体" w:eastAsia="宋体" w:cs="宋体"/>
                <w:sz w:val="24"/>
              </w:rPr>
              <w:t>≧</w:t>
            </w:r>
            <w:r>
              <w:rPr>
                <w:rFonts w:hint="eastAsia" w:ascii="宋体" w:hAnsi="宋体" w:cs="宋体"/>
                <w:sz w:val="24"/>
              </w:rPr>
              <w:t>2U</w:t>
            </w:r>
            <w:r>
              <w:rPr>
                <w:rFonts w:ascii="宋体" w:hAnsi="宋体" w:cs="宋体"/>
                <w:sz w:val="24"/>
              </w:rPr>
              <w:t>；</w:t>
            </w:r>
            <w:r>
              <w:rPr>
                <w:rFonts w:hint="eastAsia" w:ascii="宋体" w:hAnsi="宋体" w:cs="宋体"/>
                <w:sz w:val="24"/>
              </w:rPr>
              <w:t>网络接口</w:t>
            </w:r>
            <w:r>
              <w:rPr>
                <w:rFonts w:hint="eastAsia" w:ascii="宋体" w:hAnsi="宋体" w:eastAsia="宋体" w:cs="宋体"/>
                <w:sz w:val="24"/>
              </w:rPr>
              <w:t>≧</w:t>
            </w:r>
            <w:r>
              <w:rPr>
                <w:rFonts w:hint="eastAsia" w:ascii="宋体" w:hAnsi="宋体" w:cs="宋体"/>
                <w:sz w:val="24"/>
              </w:rPr>
              <w:t>2x1000M</w:t>
            </w:r>
            <w:r>
              <w:rPr>
                <w:rFonts w:ascii="宋体" w:hAnsi="宋体" w:cs="宋体"/>
                <w:sz w:val="24"/>
              </w:rPr>
              <w:t>；</w:t>
            </w:r>
            <w:r>
              <w:rPr>
                <w:rFonts w:hint="eastAsia" w:ascii="宋体" w:hAnsi="宋体" w:cs="宋体"/>
                <w:sz w:val="24"/>
              </w:rPr>
              <w:t>电源指标</w:t>
            </w:r>
            <w:r>
              <w:rPr>
                <w:rFonts w:hint="eastAsia" w:ascii="宋体" w:hAnsi="宋体" w:eastAsia="宋体" w:cs="宋体"/>
                <w:sz w:val="24"/>
              </w:rPr>
              <w:t>≧</w:t>
            </w:r>
            <w:r>
              <w:rPr>
                <w:rFonts w:hint="eastAsia" w:ascii="宋体" w:hAnsi="宋体" w:cs="宋体"/>
                <w:sz w:val="24"/>
              </w:rPr>
              <w:t>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restart"/>
            <w:tcBorders>
              <w:top w:val="single" w:color="auto" w:sz="4" w:space="0"/>
              <w:left w:val="single" w:color="auto" w:sz="4" w:space="0"/>
              <w:right w:val="single" w:color="auto" w:sz="4" w:space="0"/>
            </w:tcBorders>
            <w:vAlign w:val="center"/>
          </w:tcPr>
          <w:p>
            <w:pPr>
              <w:rPr>
                <w:rFonts w:ascii="宋体" w:hAnsi="宋体"/>
                <w:color w:val="000000"/>
                <w:sz w:val="24"/>
              </w:rPr>
            </w:pPr>
            <w:r>
              <w:rPr>
                <w:rFonts w:hint="eastAsia" w:ascii="宋体" w:hAnsi="宋体"/>
                <w:b/>
                <w:bCs/>
                <w:color w:val="000000"/>
                <w:sz w:val="24"/>
              </w:rPr>
              <w:t>产品资质要求</w:t>
            </w: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产品须具备</w:t>
            </w:r>
            <w:r>
              <w:rPr>
                <w:rFonts w:hint="eastAsia" w:ascii="宋体" w:hAnsi="宋体"/>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sz w:val="24"/>
              </w:rPr>
            </w:pP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产品制造厂商须具有该产品完全自主知识产权，提供软件著作权证书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sz w:val="24"/>
              </w:rPr>
            </w:pP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产品须具备国家密码管理局《商用密码产品认证证书》</w:t>
            </w:r>
          </w:p>
        </w:tc>
      </w:tr>
    </w:tbl>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sz w:val="36"/>
          <w:szCs w:val="44"/>
          <w:lang w:val="en-US" w:eastAsia="zh-CN"/>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000000"/>
                <w:kern w:val="0"/>
                <w:sz w:val="22"/>
                <w:szCs w:val="22"/>
              </w:rPr>
              <w:t>符合现行国家质量要求和行业有关标准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szCs w:val="21"/>
                <w:highlight w:val="none"/>
                <w:lang w:eastAsia="zh-CN"/>
              </w:rPr>
              <w:t>驻马店市中心医院PDF签章服务器及系统</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项</w:t>
            </w:r>
            <w:r>
              <w:rPr>
                <w:rFonts w:hint="eastAsia" w:ascii="宋体" w:hAnsi="宋体" w:cs="宋体"/>
                <w:color w:val="auto"/>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19万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19万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 供应商具有独立法人资格，具有有效的营业执照、税务登记证、组织机构代码证或三证合一营业执照；</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 具有健全的财务会计制度（提供202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年度经审计的财务报告，成立年限不足的按实际提供）；</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4.4 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4.5 响应人若为代理商需提供制造商针对本项目出具的授权书及售后服务承诺函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4.6 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w:t>
            </w:r>
            <w:bookmarkStart w:id="91" w:name="_GoBack"/>
            <w:bookmarkEnd w:id="91"/>
            <w:r>
              <w:rPr>
                <w:rFonts w:hint="eastAsia" w:ascii="宋体" w:hAnsi="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24"/>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8"/>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color w:val="auto"/>
        </w:rPr>
      </w:pPr>
    </w:p>
    <w:p>
      <w:pPr>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00000010"/>
    <w:multiLevelType w:val="multilevel"/>
    <w:tmpl w:val="000000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B349AE"/>
    <w:rsid w:val="02D92EF7"/>
    <w:rsid w:val="02DA4665"/>
    <w:rsid w:val="02F40325"/>
    <w:rsid w:val="031126C4"/>
    <w:rsid w:val="036A009A"/>
    <w:rsid w:val="03844805"/>
    <w:rsid w:val="03845791"/>
    <w:rsid w:val="03A011E9"/>
    <w:rsid w:val="03AE7F27"/>
    <w:rsid w:val="03BD2BCD"/>
    <w:rsid w:val="04070D64"/>
    <w:rsid w:val="04310280"/>
    <w:rsid w:val="0438160E"/>
    <w:rsid w:val="04416C20"/>
    <w:rsid w:val="047968B1"/>
    <w:rsid w:val="04870542"/>
    <w:rsid w:val="04CE3D2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964B56"/>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29141D"/>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884F40"/>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975AA"/>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45DAA"/>
    <w:rsid w:val="190B2D88"/>
    <w:rsid w:val="190E6B63"/>
    <w:rsid w:val="19123928"/>
    <w:rsid w:val="19194264"/>
    <w:rsid w:val="19420786"/>
    <w:rsid w:val="19427EC0"/>
    <w:rsid w:val="195711D7"/>
    <w:rsid w:val="195D2A3F"/>
    <w:rsid w:val="198310E9"/>
    <w:rsid w:val="198D747A"/>
    <w:rsid w:val="19A15638"/>
    <w:rsid w:val="1A125525"/>
    <w:rsid w:val="1A5F4342"/>
    <w:rsid w:val="1A8C5D82"/>
    <w:rsid w:val="1A8E4C85"/>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6156D"/>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B46637"/>
    <w:rsid w:val="24C04FDC"/>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065CE2"/>
    <w:rsid w:val="2F1A081D"/>
    <w:rsid w:val="2F1E3DC0"/>
    <w:rsid w:val="2F3112DE"/>
    <w:rsid w:val="2F3B6922"/>
    <w:rsid w:val="2F3C7955"/>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9758E5"/>
    <w:rsid w:val="35A815CB"/>
    <w:rsid w:val="35AA1B9C"/>
    <w:rsid w:val="35DB09A6"/>
    <w:rsid w:val="369B4CF0"/>
    <w:rsid w:val="36C24BE4"/>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075BA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9B4F7E"/>
    <w:rsid w:val="45AC5DBA"/>
    <w:rsid w:val="45C647AF"/>
    <w:rsid w:val="45C75F7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16C54"/>
    <w:rsid w:val="4BF441D2"/>
    <w:rsid w:val="4C1C2A09"/>
    <w:rsid w:val="4C694192"/>
    <w:rsid w:val="4C7964D9"/>
    <w:rsid w:val="4C87325C"/>
    <w:rsid w:val="4C9269F6"/>
    <w:rsid w:val="4CC84335"/>
    <w:rsid w:val="4CE9350A"/>
    <w:rsid w:val="4CF632F0"/>
    <w:rsid w:val="4D23312C"/>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51F9F"/>
    <w:rsid w:val="4F3D562D"/>
    <w:rsid w:val="4F5C4EE0"/>
    <w:rsid w:val="4F6E1972"/>
    <w:rsid w:val="4F943166"/>
    <w:rsid w:val="4FBA02A1"/>
    <w:rsid w:val="4FE7106E"/>
    <w:rsid w:val="50053943"/>
    <w:rsid w:val="50550E55"/>
    <w:rsid w:val="509F43E4"/>
    <w:rsid w:val="50A54D3E"/>
    <w:rsid w:val="50F1402B"/>
    <w:rsid w:val="50FD2AD9"/>
    <w:rsid w:val="51097D9A"/>
    <w:rsid w:val="51237D2E"/>
    <w:rsid w:val="51821D43"/>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1C7D2C"/>
    <w:rsid w:val="59561946"/>
    <w:rsid w:val="59670F51"/>
    <w:rsid w:val="596A44F9"/>
    <w:rsid w:val="596C19BB"/>
    <w:rsid w:val="59790BDB"/>
    <w:rsid w:val="598653AC"/>
    <w:rsid w:val="59AC3C86"/>
    <w:rsid w:val="59C3464B"/>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A77FD"/>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C80482"/>
    <w:rsid w:val="5DDF1821"/>
    <w:rsid w:val="5DEA2F91"/>
    <w:rsid w:val="5E3146A3"/>
    <w:rsid w:val="5E442F62"/>
    <w:rsid w:val="5E6C2C5B"/>
    <w:rsid w:val="5E7128C8"/>
    <w:rsid w:val="5E7251A2"/>
    <w:rsid w:val="5E7C3591"/>
    <w:rsid w:val="5E9D0E18"/>
    <w:rsid w:val="5EA2144B"/>
    <w:rsid w:val="5EA341D7"/>
    <w:rsid w:val="5EA755DE"/>
    <w:rsid w:val="5ED35F0E"/>
    <w:rsid w:val="5EFC1390"/>
    <w:rsid w:val="5EFC3EB6"/>
    <w:rsid w:val="5F03335D"/>
    <w:rsid w:val="5F0368C7"/>
    <w:rsid w:val="5F1544E7"/>
    <w:rsid w:val="5F3C4923"/>
    <w:rsid w:val="5F661D01"/>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1AD1E69"/>
    <w:rsid w:val="61C80F53"/>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103F56"/>
    <w:rsid w:val="66247D11"/>
    <w:rsid w:val="66736112"/>
    <w:rsid w:val="667F5B5B"/>
    <w:rsid w:val="66897C79"/>
    <w:rsid w:val="6694262A"/>
    <w:rsid w:val="66990381"/>
    <w:rsid w:val="66B31B01"/>
    <w:rsid w:val="66CE1E80"/>
    <w:rsid w:val="66E362F9"/>
    <w:rsid w:val="66E47FD9"/>
    <w:rsid w:val="67071922"/>
    <w:rsid w:val="672A7AB8"/>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8C6652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4C5F97"/>
    <w:rsid w:val="6A4D41E9"/>
    <w:rsid w:val="6A7903E5"/>
    <w:rsid w:val="6AA03032"/>
    <w:rsid w:val="6AA86FEC"/>
    <w:rsid w:val="6ADA6AC4"/>
    <w:rsid w:val="6ADB11D6"/>
    <w:rsid w:val="6B1A2C3C"/>
    <w:rsid w:val="6B31644D"/>
    <w:rsid w:val="6B486C86"/>
    <w:rsid w:val="6B554C72"/>
    <w:rsid w:val="6B80239C"/>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D228B4"/>
    <w:rsid w:val="6CE70FA1"/>
    <w:rsid w:val="6CFA6351"/>
    <w:rsid w:val="6CFC3C40"/>
    <w:rsid w:val="6D480984"/>
    <w:rsid w:val="6D596B3F"/>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EF189F"/>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3E6DC5"/>
    <w:rsid w:val="734C1A6A"/>
    <w:rsid w:val="735C5949"/>
    <w:rsid w:val="73737DA5"/>
    <w:rsid w:val="73887B3E"/>
    <w:rsid w:val="73892412"/>
    <w:rsid w:val="739E7864"/>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D36E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1A21DD"/>
    <w:rsid w:val="7E2822EA"/>
    <w:rsid w:val="7E355A7B"/>
    <w:rsid w:val="7E6E3E85"/>
    <w:rsid w:val="7E9C184B"/>
    <w:rsid w:val="7EA72948"/>
    <w:rsid w:val="7EB31EDB"/>
    <w:rsid w:val="7EE70CC0"/>
    <w:rsid w:val="7EEB48DB"/>
    <w:rsid w:val="7EF27444"/>
    <w:rsid w:val="7F265C58"/>
    <w:rsid w:val="7F582CF2"/>
    <w:rsid w:val="7F951B40"/>
    <w:rsid w:val="7FBF10B0"/>
    <w:rsid w:val="7FF302F4"/>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
    <w:link w:val="73"/>
    <w:qFormat/>
    <w:uiPriority w:val="0"/>
  </w:style>
  <w:style w:type="paragraph" w:styleId="12">
    <w:name w:val="Body Text Indent"/>
    <w:basedOn w:val="1"/>
    <w:next w:val="13"/>
    <w:qFormat/>
    <w:uiPriority w:val="0"/>
    <w:pPr>
      <w:widowControl/>
      <w:spacing w:beforeAutospacing="1" w:afterAutospacing="1"/>
      <w:jc w:val="left"/>
    </w:pPr>
    <w:rPr>
      <w:rFonts w:ascii="宋体" w:hAnsi="宋体" w:cs="宋体"/>
      <w:kern w:val="0"/>
      <w:sz w:val="24"/>
    </w:rPr>
  </w:style>
  <w:style w:type="paragraph" w:styleId="13">
    <w:name w:val="envelope return"/>
    <w:basedOn w:val="1"/>
    <w:unhideWhenUsed/>
    <w:qFormat/>
    <w:uiPriority w:val="99"/>
    <w:pPr>
      <w:snapToGrid w:val="0"/>
    </w:pPr>
    <w:rPr>
      <w:rFonts w:ascii="Arial" w:hAnsi="Arial"/>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6">
    <w:name w:val="toc 3"/>
    <w:basedOn w:val="1"/>
    <w:next w:val="1"/>
    <w:qFormat/>
    <w:uiPriority w:val="0"/>
    <w:pPr>
      <w:tabs>
        <w:tab w:val="left" w:pos="709"/>
        <w:tab w:val="right" w:leader="dot" w:pos="8789"/>
      </w:tabs>
      <w:spacing w:line="400" w:lineRule="atLeast"/>
    </w:pPr>
    <w:rPr>
      <w:rFonts w:ascii="宋体"/>
      <w:kern w:val="0"/>
      <w:szCs w:val="20"/>
    </w:rPr>
  </w:style>
  <w:style w:type="paragraph" w:styleId="17">
    <w:name w:val="Plain Text"/>
    <w:basedOn w:val="1"/>
    <w:qFormat/>
    <w:uiPriority w:val="0"/>
    <w:pPr>
      <w:widowControl/>
      <w:spacing w:beforeAutospacing="1" w:afterAutospacing="1"/>
      <w:jc w:val="left"/>
    </w:pPr>
    <w:rPr>
      <w:rFonts w:ascii="宋体" w:hAnsi="宋体" w:cs="宋体"/>
      <w:kern w:val="0"/>
      <w:sz w:val="24"/>
    </w:rPr>
  </w:style>
  <w:style w:type="paragraph" w:styleId="18">
    <w:name w:val="Date"/>
    <w:basedOn w:val="1"/>
    <w:next w:val="1"/>
    <w:qFormat/>
    <w:uiPriority w:val="0"/>
    <w:pPr>
      <w:ind w:left="100" w:leftChars="2500"/>
    </w:pPr>
    <w:rPr>
      <w:rFonts w:ascii="宋体" w:hAnsi="宋体"/>
      <w:sz w:val="28"/>
    </w:rPr>
  </w:style>
  <w:style w:type="paragraph" w:styleId="19">
    <w:name w:val="Body Text Indent 2"/>
    <w:basedOn w:val="1"/>
    <w:qFormat/>
    <w:uiPriority w:val="0"/>
    <w:pPr>
      <w:spacing w:line="480" w:lineRule="auto"/>
      <w:ind w:left="420" w:leftChars="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pPr>
  </w:style>
  <w:style w:type="paragraph" w:styleId="24">
    <w:name w:val="Body Text 2"/>
    <w:basedOn w:val="1"/>
    <w:next w:val="11"/>
    <w:qFormat/>
    <w:uiPriority w:val="0"/>
    <w:pPr>
      <w:spacing w:line="480" w:lineRule="auto"/>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2"/>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character" w:customStyle="1" w:styleId="89">
    <w:name w:val="font41"/>
    <w:basedOn w:val="33"/>
    <w:qFormat/>
    <w:uiPriority w:val="0"/>
    <w:rPr>
      <w:rFonts w:hint="eastAsia" w:ascii="宋体" w:hAnsi="宋体" w:eastAsia="宋体" w:cs="宋体"/>
      <w:color w:val="000000"/>
      <w:sz w:val="21"/>
      <w:szCs w:val="21"/>
      <w:u w:val="none"/>
    </w:rPr>
  </w:style>
  <w:style w:type="character" w:customStyle="1" w:styleId="90">
    <w:name w:val="font51"/>
    <w:basedOn w:val="33"/>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14749</Words>
  <Characters>15504</Characters>
  <Lines>50</Lines>
  <Paragraphs>68</Paragraphs>
  <TotalTime>1</TotalTime>
  <ScaleCrop>false</ScaleCrop>
  <LinksUpToDate>false</LinksUpToDate>
  <CharactersWithSpaces>16389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WPS_1660177687</cp:lastModifiedBy>
  <cp:lastPrinted>2021-09-30T00:46:00Z</cp:lastPrinted>
  <dcterms:modified xsi:type="dcterms:W3CDTF">2022-08-16T02:16:02Z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562A285641654D2EA086C4325B3B203C</vt:lpwstr>
  </property>
</Properties>
</file>