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7"/>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驻马店市中心医院PDF签章服务器及系统采购项目</w:t>
      </w: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 w:val="48"/>
          <w:szCs w:val="48"/>
        </w:rPr>
      </w:pPr>
    </w:p>
    <w:p>
      <w:pPr>
        <w:pStyle w:val="17"/>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9"/>
        <w:rPr>
          <w:rFonts w:hint="eastAsia"/>
          <w:color w:val="auto"/>
        </w:rPr>
      </w:pPr>
    </w:p>
    <w:p>
      <w:pPr>
        <w:pStyle w:val="58"/>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08</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2"/>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2"/>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驻马店市中心医院PDF签章服务器及系统</w:t>
      </w:r>
      <w:r>
        <w:rPr>
          <w:rFonts w:hint="eastAsia" w:ascii="黑体" w:hAnsi="黑体" w:eastAsia="黑体" w:cs="宋体"/>
          <w:bCs/>
          <w:color w:val="auto"/>
          <w:kern w:val="0"/>
          <w:sz w:val="28"/>
          <w:szCs w:val="28"/>
          <w:lang w:val="en-US" w:eastAsia="zh-CN"/>
        </w:rPr>
        <w:t>采购</w:t>
      </w:r>
      <w:r>
        <w:rPr>
          <w:rFonts w:hint="eastAsia" w:ascii="黑体" w:hAnsi="黑体" w:eastAsia="黑体" w:cs="宋体"/>
          <w:bCs/>
          <w:color w:val="auto"/>
          <w:kern w:val="0"/>
          <w:sz w:val="28"/>
          <w:szCs w:val="28"/>
          <w:lang w:eastAsia="zh-CN"/>
        </w:rPr>
        <w:t>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PDF签章服务器及系统</w:t>
      </w:r>
      <w:r>
        <w:rPr>
          <w:rFonts w:hint="eastAsia" w:ascii="宋体" w:hAnsi="宋体" w:cs="宋体"/>
          <w:color w:val="auto"/>
          <w:u w:val="single"/>
          <w:lang w:eastAsia="zh-CN"/>
        </w:rPr>
        <w:t>采购项目</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lang w:eastAsia="zh-CN"/>
        </w:rPr>
        <w:t>驻马店市中心医院PDF签章服务器及系统</w:t>
      </w:r>
      <w:r>
        <w:rPr>
          <w:rFonts w:hint="eastAsia" w:ascii="宋体" w:hAnsi="宋体" w:cs="宋体"/>
          <w:color w:val="auto"/>
          <w:lang w:val="en-US" w:eastAsia="zh-CN"/>
        </w:rPr>
        <w:t>采购</w:t>
      </w:r>
      <w:r>
        <w:rPr>
          <w:rFonts w:hint="eastAsia" w:ascii="宋体" w:hAnsi="宋体" w:cs="宋体"/>
          <w:color w:val="auto"/>
          <w:lang w:eastAsia="zh-CN"/>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19万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27913"/>
      <w:bookmarkStart w:id="5" w:name="_Toc26079"/>
      <w:bookmarkStart w:id="6" w:name="_Toc21071"/>
      <w:bookmarkStart w:id="7" w:name="_Toc1952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cs="宋体"/>
          <w:color w:val="000000"/>
          <w:kern w:val="0"/>
          <w:sz w:val="22"/>
          <w:szCs w:val="22"/>
        </w:rPr>
        <w:t>符合现行国家质量要求和行业有关标准</w:t>
      </w:r>
      <w:r>
        <w:rPr>
          <w:rFonts w:hint="eastAsia" w:ascii="宋体" w:hAnsi="宋体" w:eastAsia="宋体" w:cs="宋体"/>
          <w:color w:val="auto"/>
          <w:szCs w:val="21"/>
          <w:highlight w:val="none"/>
          <w:shd w:val="clear" w:color="auto" w:fill="FFFFFF"/>
          <w:lang w:eastAsia="zh-CN"/>
        </w:rPr>
        <w:t>。</w:t>
      </w:r>
    </w:p>
    <w:p>
      <w:pPr>
        <w:pStyle w:val="29"/>
        <w:ind w:firstLine="420" w:firstLineChars="200"/>
        <w:rPr>
          <w:rFonts w:hint="default"/>
          <w:lang w:val="en-US"/>
        </w:rPr>
      </w:pPr>
      <w:r>
        <w:rPr>
          <w:rFonts w:hint="eastAsia" w:ascii="宋体" w:hAnsi="宋体" w:cs="宋体"/>
          <w:color w:val="auto"/>
          <w:szCs w:val="21"/>
          <w:highlight w:val="none"/>
          <w:shd w:val="clear" w:color="auto" w:fill="FFFFFF"/>
          <w:lang w:val="en-US" w:eastAsia="zh-CN"/>
        </w:rPr>
        <w:t>6、交货日期：合同签订后10个工作日内到货。</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3626"/>
      <w:bookmarkStart w:id="10" w:name="_Toc18607"/>
      <w:bookmarkStart w:id="11" w:name="_Toc27704"/>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1、供应商具有独立法人资格，具有有效的营业执照、税务登记证、组织机构代码证或三证合一营业执照；</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2、具有健全的财务会计制度（提供2020年度经审计的财务报告，成立年限不足的按实际提供）；</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default"/>
          <w:color w:val="auto"/>
          <w:lang w:val="en-US" w:eastAsia="zh-CN"/>
        </w:rPr>
      </w:pPr>
      <w:r>
        <w:rPr>
          <w:rFonts w:hint="eastAsia"/>
          <w:color w:val="auto"/>
          <w:lang w:val="en-US" w:eastAsia="zh-CN"/>
        </w:rPr>
        <w:t>5、响应人若为代理商需提供制造商针对本项目出具的授权书及售后服务承诺函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643"/>
      <w:bookmarkStart w:id="14" w:name="_Toc7823"/>
      <w:bookmarkStart w:id="15" w:name="_Toc9562"/>
      <w:bookmarkStart w:id="16" w:name="_Toc30971"/>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val="en-US" w:eastAsia="zh-CN"/>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0738"/>
      <w:bookmarkStart w:id="20" w:name="_Toc15135"/>
      <w:bookmarkStart w:id="21" w:name="_Toc25869"/>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0287"/>
      <w:bookmarkStart w:id="25" w:name="_Toc6523"/>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16291"/>
      <w:bookmarkStart w:id="31" w:name="_Toc27370"/>
      <w:bookmarkStart w:id="32" w:name="_Toc24274"/>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shd w:val="clear" w:color="auto" w:fill="FFFFFF"/>
          <w:lang w:val="en-US" w:eastAsia="zh-CN" w:bidi="ar-SA"/>
        </w:rPr>
        <w:t>2022年0</w:t>
      </w:r>
      <w:r>
        <w:rPr>
          <w:rFonts w:hint="eastAsia" w:ascii="宋体" w:hAnsi="宋体" w:cs="宋体"/>
          <w:color w:val="auto"/>
          <w:kern w:val="0"/>
          <w:sz w:val="21"/>
          <w:szCs w:val="21"/>
          <w:shd w:val="clear" w:color="auto" w:fill="FFFFFF"/>
          <w:lang w:val="en-US" w:eastAsia="zh-CN" w:bidi="ar-SA"/>
        </w:rPr>
        <w:t>8</w:t>
      </w:r>
      <w:r>
        <w:rPr>
          <w:rFonts w:hint="eastAsia" w:ascii="宋体" w:hAnsi="宋体" w:eastAsia="宋体" w:cs="宋体"/>
          <w:color w:val="auto"/>
          <w:kern w:val="0"/>
          <w:sz w:val="21"/>
          <w:szCs w:val="21"/>
          <w:shd w:val="clear" w:color="auto" w:fill="FFFFFF"/>
          <w:lang w:val="en-US" w:eastAsia="zh-CN" w:bidi="ar-SA"/>
        </w:rPr>
        <w:t>月</w:t>
      </w:r>
      <w:bookmarkStart w:id="91" w:name="_GoBack"/>
      <w:r>
        <w:rPr>
          <w:rFonts w:hint="eastAsia" w:ascii="宋体" w:hAnsi="宋体" w:cs="宋体"/>
          <w:color w:val="auto"/>
          <w:kern w:val="0"/>
          <w:sz w:val="21"/>
          <w:szCs w:val="21"/>
          <w:highlight w:val="none"/>
          <w:shd w:val="clear" w:color="auto" w:fill="FFFFFF"/>
          <w:lang w:val="en-US" w:eastAsia="zh-CN" w:bidi="ar-SA"/>
        </w:rPr>
        <w:t>10</w:t>
      </w:r>
      <w:r>
        <w:rPr>
          <w:rFonts w:hint="eastAsia" w:ascii="宋体" w:hAnsi="宋体" w:eastAsia="宋体" w:cs="宋体"/>
          <w:color w:val="auto"/>
          <w:kern w:val="0"/>
          <w:sz w:val="21"/>
          <w:szCs w:val="21"/>
          <w:highlight w:val="none"/>
          <w:shd w:val="clear" w:color="auto" w:fill="FFFFFF"/>
          <w:lang w:val="en-US" w:eastAsia="zh-CN" w:bidi="ar-SA"/>
        </w:rPr>
        <w:t>日</w:t>
      </w:r>
      <w:bookmarkEnd w:id="91"/>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驻马店市中心医院PDF签章服务器及系统</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p>
      <w:pPr>
        <w:pStyle w:val="29"/>
        <w:ind w:left="0" w:leftChars="0" w:firstLine="0" w:firstLineChars="0"/>
        <w:rPr>
          <w:rFonts w:hint="eastAsia"/>
          <w:lang w:val="en-US" w:eastAsia="zh-CN"/>
        </w:rPr>
      </w:pP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序号</w:t>
            </w:r>
          </w:p>
        </w:tc>
        <w:tc>
          <w:tcPr>
            <w:tcW w:w="2718"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项目名称</w:t>
            </w:r>
          </w:p>
        </w:tc>
        <w:tc>
          <w:tcPr>
            <w:tcW w:w="1736"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数量或规模</w:t>
            </w:r>
          </w:p>
        </w:tc>
        <w:tc>
          <w:tcPr>
            <w:tcW w:w="1473"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资金预算</w:t>
            </w:r>
          </w:p>
        </w:tc>
        <w:tc>
          <w:tcPr>
            <w:tcW w:w="1554" w:type="dxa"/>
            <w:tcBorders>
              <w:top w:val="single" w:color="auto" w:sz="4" w:space="0"/>
              <w:left w:val="nil"/>
              <w:bottom w:val="single" w:color="auto" w:sz="4" w:space="0"/>
              <w:right w:val="single" w:color="auto" w:sz="4" w:space="0"/>
            </w:tcBorders>
            <w:vAlign w:val="center"/>
          </w:tcPr>
          <w:p>
            <w:pPr>
              <w:pStyle w:val="12"/>
              <w:ind w:left="0" w:leftChars="0"/>
              <w:jc w:val="center"/>
              <w:rPr>
                <w:rFonts w:ascii="宋体" w:hAnsi="宋体"/>
                <w:b/>
                <w:bCs/>
                <w:sz w:val="30"/>
                <w:szCs w:val="30"/>
              </w:rPr>
            </w:pPr>
            <w:r>
              <w:rPr>
                <w:rFonts w:hint="eastAsia" w:ascii="宋体" w:hAnsi="宋体"/>
                <w:b/>
                <w:bCs/>
                <w:sz w:val="30"/>
                <w:szCs w:val="3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2"/>
              <w:jc w:val="both"/>
              <w:rPr>
                <w:rFonts w:hint="eastAsia" w:ascii="宋体" w:hAnsi="宋体"/>
                <w:sz w:val="24"/>
                <w:szCs w:val="24"/>
                <w:lang w:val="en-US" w:eastAsia="zh-CN"/>
              </w:rPr>
            </w:pPr>
            <w:r>
              <w:rPr>
                <w:rFonts w:hint="eastAsia" w:ascii="宋体" w:hAnsi="宋体"/>
                <w:sz w:val="24"/>
                <w:szCs w:val="24"/>
                <w:lang w:val="en-US" w:eastAsia="zh-CN"/>
              </w:rPr>
              <w:t>1</w:t>
            </w:r>
          </w:p>
        </w:tc>
        <w:tc>
          <w:tcPr>
            <w:tcW w:w="2718" w:type="dxa"/>
            <w:tcBorders>
              <w:top w:val="single" w:color="auto" w:sz="4" w:space="0"/>
              <w:left w:val="nil"/>
              <w:bottom w:val="single" w:color="auto" w:sz="4" w:space="0"/>
              <w:right w:val="single" w:color="auto" w:sz="4" w:space="0"/>
            </w:tcBorders>
            <w:vAlign w:val="center"/>
          </w:tcPr>
          <w:p>
            <w:pPr>
              <w:pStyle w:val="12"/>
              <w:ind w:left="0" w:leftChars="0"/>
              <w:jc w:val="center"/>
              <w:rPr>
                <w:rFonts w:hint="default" w:ascii="宋体" w:hAnsi="宋体"/>
                <w:sz w:val="24"/>
                <w:szCs w:val="24"/>
                <w:lang w:val="en-US" w:eastAsia="zh-CN"/>
              </w:rPr>
            </w:pPr>
            <w:r>
              <w:rPr>
                <w:rFonts w:ascii="宋体" w:hAnsi="宋体"/>
                <w:sz w:val="24"/>
                <w:szCs w:val="24"/>
              </w:rPr>
              <w:t>PDF</w:t>
            </w:r>
            <w:r>
              <w:rPr>
                <w:rFonts w:hint="eastAsia" w:ascii="宋体" w:hAnsi="宋体"/>
                <w:sz w:val="24"/>
                <w:szCs w:val="24"/>
              </w:rPr>
              <w:t>签章服务器及系统</w:t>
            </w:r>
          </w:p>
        </w:tc>
        <w:tc>
          <w:tcPr>
            <w:tcW w:w="1736" w:type="dxa"/>
            <w:tcBorders>
              <w:top w:val="single" w:color="auto" w:sz="4" w:space="0"/>
              <w:left w:val="nil"/>
              <w:bottom w:val="single" w:color="auto" w:sz="4" w:space="0"/>
              <w:right w:val="single" w:color="auto" w:sz="4" w:space="0"/>
            </w:tcBorders>
            <w:vAlign w:val="center"/>
          </w:tcPr>
          <w:p>
            <w:pPr>
              <w:pStyle w:val="12"/>
              <w:spacing w:after="0"/>
              <w:ind w:left="0" w:leftChars="0"/>
              <w:jc w:val="center"/>
              <w:rPr>
                <w:rFonts w:hint="default" w:ascii="宋体" w:hAnsi="宋体" w:eastAsia="宋体"/>
                <w:sz w:val="24"/>
                <w:szCs w:val="24"/>
                <w:lang w:val="en-US" w:eastAsia="zh-CN"/>
              </w:rPr>
            </w:pPr>
            <w:r>
              <w:rPr>
                <w:rFonts w:ascii="宋体" w:hAnsi="宋体"/>
                <w:sz w:val="24"/>
                <w:szCs w:val="24"/>
              </w:rPr>
              <w:t>1</w:t>
            </w:r>
            <w:r>
              <w:rPr>
                <w:rFonts w:hint="eastAsia" w:ascii="宋体" w:hAnsi="宋体"/>
                <w:sz w:val="24"/>
                <w:szCs w:val="24"/>
              </w:rPr>
              <w:t>套</w:t>
            </w:r>
          </w:p>
        </w:tc>
        <w:tc>
          <w:tcPr>
            <w:tcW w:w="1473" w:type="dxa"/>
            <w:tcBorders>
              <w:top w:val="single" w:color="auto" w:sz="4" w:space="0"/>
              <w:left w:val="nil"/>
              <w:bottom w:val="single" w:color="auto" w:sz="4" w:space="0"/>
              <w:right w:val="single" w:color="auto" w:sz="4" w:space="0"/>
            </w:tcBorders>
            <w:vAlign w:val="center"/>
          </w:tcPr>
          <w:p>
            <w:pPr>
              <w:pStyle w:val="12"/>
              <w:spacing w:after="0"/>
              <w:ind w:left="0" w:leftChars="0"/>
              <w:jc w:val="center"/>
              <w:rPr>
                <w:rFonts w:hint="default" w:ascii="宋体" w:hAnsi="宋体" w:eastAsia="宋体"/>
                <w:sz w:val="24"/>
                <w:szCs w:val="24"/>
                <w:lang w:val="en-US" w:eastAsia="zh-CN"/>
              </w:rPr>
            </w:pPr>
            <w:r>
              <w:rPr>
                <w:rFonts w:ascii="宋体" w:hAnsi="宋体"/>
                <w:sz w:val="24"/>
                <w:szCs w:val="24"/>
              </w:rPr>
              <w:t>19</w:t>
            </w:r>
            <w:r>
              <w:rPr>
                <w:rFonts w:hint="eastAsia" w:ascii="宋体" w:hAnsi="宋体"/>
                <w:sz w:val="24"/>
                <w:szCs w:val="24"/>
              </w:rPr>
              <w:t>万</w:t>
            </w:r>
          </w:p>
        </w:tc>
        <w:tc>
          <w:tcPr>
            <w:tcW w:w="1554" w:type="dxa"/>
            <w:tcBorders>
              <w:top w:val="single" w:color="auto" w:sz="4" w:space="0"/>
              <w:left w:val="nil"/>
              <w:bottom w:val="single" w:color="auto" w:sz="4" w:space="0"/>
              <w:right w:val="single" w:color="auto" w:sz="4" w:space="0"/>
            </w:tcBorders>
            <w:vAlign w:val="center"/>
          </w:tcPr>
          <w:p>
            <w:pPr>
              <w:pStyle w:val="12"/>
              <w:rPr>
                <w:rFonts w:hint="eastAsia" w:ascii="宋体" w:hAnsi="宋体" w:eastAsia="宋体"/>
                <w:sz w:val="24"/>
                <w:szCs w:val="24"/>
                <w:lang w:val="en-US" w:eastAsia="zh-CN"/>
              </w:rPr>
            </w:pPr>
            <w:r>
              <w:rPr>
                <w:rFonts w:hint="eastAsia" w:ascii="宋体" w:hAnsi="宋体"/>
                <w:sz w:val="24"/>
                <w:szCs w:val="24"/>
                <w:lang w:val="en-US" w:eastAsia="zh-CN"/>
              </w:rPr>
              <w:t>自筹</w:t>
            </w:r>
          </w:p>
        </w:tc>
      </w:tr>
    </w:tbl>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p>
    <w:p>
      <w:pPr>
        <w:pStyle w:val="12"/>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12"/>
        <w:jc w:val="left"/>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、附技术偏离表、评分标准、产品彩页、相关证明文件                                                       </w:t>
      </w:r>
    </w:p>
    <w:p>
      <w:pPr>
        <w:pStyle w:val="12"/>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numPr>
          <w:ilvl w:val="0"/>
          <w:numId w:val="1"/>
        </w:numPr>
        <w:spacing w:before="120" w:line="360" w:lineRule="auto"/>
        <w:ind w:left="0" w:firstLine="480"/>
        <w:jc w:val="left"/>
        <w:rPr>
          <w:rFonts w:ascii="宋体" w:hAnsi="宋体" w:cs="宋体"/>
          <w:color w:val="000000"/>
          <w:sz w:val="24"/>
        </w:rPr>
      </w:pP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000000"/>
          <w:sz w:val="24"/>
        </w:rPr>
        <w:t>售后服务体系：响应人应当具有良好的服务理念和完善的售后服务体系，能够按照响应技术方案提供系统集成技术支持服务；</w:t>
      </w:r>
    </w:p>
    <w:p>
      <w:pPr>
        <w:numPr>
          <w:ilvl w:val="0"/>
          <w:numId w:val="1"/>
        </w:numPr>
        <w:spacing w:before="120" w:line="360" w:lineRule="auto"/>
        <w:ind w:left="0" w:firstLine="480"/>
        <w:jc w:val="left"/>
        <w:rPr>
          <w:rFonts w:ascii="宋体" w:hAnsi="宋体" w:cs="宋体"/>
          <w:color w:val="000000"/>
          <w:sz w:val="24"/>
        </w:rPr>
      </w:pPr>
      <w:r>
        <w:rPr>
          <w:rFonts w:hint="eastAsia" w:ascii="宋体" w:hAnsi="宋体" w:cs="宋体"/>
          <w:color w:val="000000"/>
          <w:sz w:val="24"/>
        </w:rPr>
        <w:t>质保期：所投硬件产品在验收合格后质保期不低于一年，质保期内应用软件和硬件的升级、维护均免费。</w:t>
      </w:r>
    </w:p>
    <w:p>
      <w:pPr>
        <w:numPr>
          <w:ilvl w:val="0"/>
          <w:numId w:val="1"/>
        </w:numPr>
        <w:spacing w:before="120" w:line="360" w:lineRule="auto"/>
        <w:ind w:left="0" w:firstLine="480"/>
        <w:jc w:val="left"/>
        <w:rPr>
          <w:rFonts w:ascii="宋体" w:hAnsi="宋体" w:cs="宋体"/>
          <w:color w:val="000000"/>
          <w:sz w:val="24"/>
        </w:rPr>
      </w:pPr>
      <w:r>
        <w:rPr>
          <w:rFonts w:hint="eastAsia" w:ascii="宋体" w:hAnsi="宋体" w:cs="宋体"/>
          <w:color w:val="000000"/>
          <w:sz w:val="24"/>
        </w:rPr>
        <w:t>运维支持：在系统建设、使用、运维等过程中遇到问题时，都能够得到响应人相应的技术支持与帮助；</w:t>
      </w:r>
    </w:p>
    <w:p>
      <w:pPr>
        <w:numPr>
          <w:ilvl w:val="0"/>
          <w:numId w:val="1"/>
        </w:numPr>
        <w:spacing w:before="120" w:line="360" w:lineRule="auto"/>
        <w:ind w:left="0" w:firstLine="480"/>
        <w:jc w:val="left"/>
        <w:rPr>
          <w:rFonts w:ascii="宋体" w:hAnsi="宋体" w:cs="宋体"/>
          <w:color w:val="000000"/>
          <w:sz w:val="24"/>
        </w:rPr>
      </w:pPr>
      <w:r>
        <w:rPr>
          <w:rFonts w:hint="eastAsia" w:ascii="宋体" w:hAnsi="宋体" w:cs="宋体"/>
          <w:color w:val="000000"/>
          <w:sz w:val="24"/>
        </w:rPr>
        <w:t>日常技术支持：提供7x24小时热线电话、远程网络、现场等技术支持服务，对于系统故障，</w:t>
      </w:r>
      <w:r>
        <w:rPr>
          <w:rFonts w:asciiTheme="minorEastAsia" w:hAnsiTheme="minorEastAsia"/>
          <w:sz w:val="24"/>
          <w:szCs w:val="24"/>
        </w:rPr>
        <w:t>在接到用户报修电话后，</w:t>
      </w:r>
      <w:r>
        <w:rPr>
          <w:rFonts w:hint="eastAsia" w:asciiTheme="minorEastAsia" w:hAnsiTheme="minorEastAsia"/>
          <w:sz w:val="24"/>
          <w:szCs w:val="24"/>
        </w:rPr>
        <w:t>1</w:t>
      </w:r>
      <w:r>
        <w:rPr>
          <w:rFonts w:asciiTheme="minorEastAsia" w:hAnsiTheme="minorEastAsia"/>
          <w:sz w:val="24"/>
          <w:szCs w:val="24"/>
        </w:rPr>
        <w:t>小时内给予响应，积极配合诊断并进行处理；如判断故障无法远程排除，立即安排高级技术人员在接到报修电话后，</w:t>
      </w:r>
      <w:r>
        <w:rPr>
          <w:rFonts w:hint="eastAsia" w:asciiTheme="minorEastAsia" w:hAnsiTheme="minorEastAsia"/>
          <w:sz w:val="24"/>
          <w:szCs w:val="24"/>
        </w:rPr>
        <w:t>4</w:t>
      </w:r>
      <w:r>
        <w:rPr>
          <w:rFonts w:asciiTheme="minorEastAsia" w:hAnsiTheme="minorEastAsia"/>
          <w:sz w:val="24"/>
          <w:szCs w:val="24"/>
        </w:rPr>
        <w:t>小时内到达现场进行维护或维修。</w:t>
      </w:r>
    </w:p>
    <w:p>
      <w:pPr>
        <w:numPr>
          <w:ilvl w:val="0"/>
          <w:numId w:val="1"/>
        </w:numPr>
        <w:spacing w:before="120" w:line="360" w:lineRule="auto"/>
        <w:ind w:left="0" w:firstLine="480"/>
        <w:jc w:val="left"/>
        <w:rPr>
          <w:rFonts w:ascii="宋体" w:hAnsi="宋体"/>
          <w:color w:val="auto"/>
          <w:sz w:val="28"/>
          <w:szCs w:val="28"/>
          <w:u w:val="single"/>
        </w:rPr>
      </w:pPr>
      <w:r>
        <w:rPr>
          <w:rFonts w:hint="eastAsia" w:ascii="宋体" w:hAnsi="宋体" w:cs="宋体"/>
          <w:color w:val="000000"/>
          <w:sz w:val="24"/>
        </w:rPr>
        <w:t>交货期：合同签订后</w:t>
      </w:r>
      <w:r>
        <w:rPr>
          <w:rFonts w:ascii="宋体" w:hAnsi="宋体" w:cs="宋体"/>
          <w:color w:val="000000"/>
          <w:sz w:val="24"/>
        </w:rPr>
        <w:t>10</w:t>
      </w:r>
      <w:r>
        <w:rPr>
          <w:rFonts w:hint="eastAsia" w:ascii="宋体" w:hAnsi="宋体" w:cs="宋体"/>
          <w:color w:val="000000"/>
          <w:sz w:val="24"/>
        </w:rPr>
        <w:t>个工作日内到货</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szCs w:val="21"/>
          <w:highlight w:val="none"/>
        </w:rPr>
        <w:t xml:space="preserve"> </w:t>
      </w:r>
    </w:p>
    <w:p>
      <w:pPr>
        <w:jc w:val="center"/>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技术参数</w:t>
      </w:r>
    </w:p>
    <w:p>
      <w:pPr>
        <w:pStyle w:val="19"/>
        <w:rPr>
          <w:rFonts w:hint="eastAsia"/>
          <w:lang w:val="en-US" w:eastAsia="zh-CN"/>
        </w:rPr>
      </w:pPr>
    </w:p>
    <w:tbl>
      <w:tblPr>
        <w:tblStyle w:val="31"/>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restart"/>
            <w:tcBorders>
              <w:top w:val="single" w:color="auto" w:sz="4" w:space="0"/>
              <w:left w:val="single" w:color="auto" w:sz="4" w:space="0"/>
              <w:right w:val="single" w:color="auto" w:sz="4" w:space="0"/>
            </w:tcBorders>
            <w:vAlign w:val="center"/>
          </w:tcPr>
          <w:p>
            <w:pPr>
              <w:ind w:firstLine="200" w:firstLineChars="83"/>
              <w:jc w:val="center"/>
              <w:rPr>
                <w:rFonts w:ascii="宋体" w:hAnsi="宋体"/>
                <w:b/>
                <w:bCs/>
                <w:color w:val="000000"/>
                <w:sz w:val="24"/>
              </w:rPr>
            </w:pPr>
          </w:p>
          <w:p>
            <w:pPr>
              <w:ind w:firstLine="200" w:firstLineChars="83"/>
              <w:jc w:val="center"/>
              <w:rPr>
                <w:rFonts w:ascii="宋体" w:hAnsi="宋体"/>
                <w:b/>
                <w:bCs/>
                <w:color w:val="000000"/>
                <w:sz w:val="24"/>
              </w:rPr>
            </w:pPr>
          </w:p>
          <w:p>
            <w:pPr>
              <w:ind w:firstLine="200" w:firstLineChars="83"/>
              <w:jc w:val="center"/>
              <w:rPr>
                <w:rFonts w:ascii="宋体" w:hAnsi="宋体"/>
                <w:b/>
                <w:bCs/>
                <w:color w:val="000000"/>
                <w:sz w:val="24"/>
              </w:rPr>
            </w:pPr>
          </w:p>
          <w:p>
            <w:pPr>
              <w:pStyle w:val="2"/>
              <w:jc w:val="center"/>
            </w:pPr>
          </w:p>
          <w:p>
            <w:pPr>
              <w:jc w:val="center"/>
              <w:rPr>
                <w:rFonts w:ascii="宋体" w:hAnsi="宋体"/>
                <w:b/>
                <w:bCs/>
                <w:color w:val="000000"/>
                <w:sz w:val="24"/>
              </w:rPr>
            </w:pPr>
            <w:r>
              <w:rPr>
                <w:rFonts w:hint="eastAsia" w:ascii="宋体" w:hAnsi="宋体"/>
                <w:b/>
                <w:bCs/>
                <w:color w:val="000000"/>
                <w:sz w:val="24"/>
              </w:rPr>
              <w:t>PDF签章系统</w:t>
            </w:r>
          </w:p>
        </w:tc>
        <w:tc>
          <w:tcPr>
            <w:tcW w:w="7545" w:type="dxa"/>
            <w:tcBorders>
              <w:top w:val="single" w:color="auto" w:sz="4" w:space="0"/>
              <w:left w:val="nil"/>
              <w:bottom w:val="single" w:color="auto" w:sz="4" w:space="0"/>
              <w:right w:val="single" w:color="auto" w:sz="4" w:space="0"/>
            </w:tcBorders>
          </w:tcPr>
          <w:p>
            <w:pPr>
              <w:rPr>
                <w:rFonts w:ascii="宋体" w:hAnsi="宋体"/>
                <w:b/>
                <w:bCs/>
                <w:color w:val="000000"/>
                <w:sz w:val="24"/>
              </w:rPr>
            </w:pPr>
            <w:r>
              <w:rPr>
                <w:rFonts w:hint="eastAsia" w:ascii="宋体" w:hAnsi="宋体"/>
                <w:b/>
                <w:bCs/>
                <w:color w:val="000000"/>
                <w:sz w:val="24"/>
              </w:rPr>
              <w:t>功能参数指标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s="宋体"/>
                <w:sz w:val="24"/>
              </w:rPr>
              <w:t>1、对PDF格式的文档进行电子签章，并且在电子文档上显示签章图片；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2、支持验证PDF签章后文档的有效性、完整性。支持用标准PDF阅读器直接验证，也支持通过第三方在线验证平台进行验证；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olor w:val="000000"/>
                <w:sz w:val="24"/>
              </w:rPr>
            </w:pPr>
            <w:r>
              <w:rPr>
                <w:rFonts w:hint="eastAsia" w:ascii="宋体" w:hAnsi="宋体" w:cs="宋体"/>
                <w:sz w:val="24"/>
              </w:rPr>
              <w:t>3、管理签章应用的服务器证书、签章图片、签章展现属性、签章定位、透明度等</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4、支持PDF文档中针对单个、多个和全部关键字进行签章；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5、对PDF文档进行骑缝章签章功能，支持左右骑缝、签章位置大小分配设定功能，支持骑缝章首页签名和每页签名，并可设置文档保护限制；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6、支持对PDF文档签章的预览功能；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7、支持在PDF文档中加入不带印章图片的数字签名；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8、支持在PDF文档中加入文字或图片形式的水印；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9、对签章业务进行统计与分析，并对系统管理和维护进行日志记录和审计；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s="宋体"/>
                <w:sz w:val="24"/>
              </w:rPr>
            </w:pPr>
            <w:r>
              <w:rPr>
                <w:rFonts w:hint="eastAsia" w:ascii="宋体" w:hAnsi="宋体" w:cs="宋体"/>
                <w:sz w:val="24"/>
              </w:rPr>
              <w:t>▲10、打开签章后的PDF文档时，自动对文档签章进行验证；（提供产品功能截图）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11、对签章后的PDF文档中的指定签章进行验证；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s="宋体"/>
                <w:sz w:val="24"/>
              </w:rPr>
              <w:t>▲12、支持配置多种方式进行PDF版式文件的签章，包括通过关键字检索、坐标定位等；（提供产品功能截图）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jc w:val="left"/>
              <w:rPr>
                <w:rFonts w:ascii="宋体" w:hAnsi="宋体"/>
                <w:color w:val="000000"/>
                <w:sz w:val="24"/>
              </w:rPr>
            </w:pPr>
            <w:r>
              <w:rPr>
                <w:rFonts w:hint="eastAsia" w:ascii="宋体" w:hAnsi="宋体"/>
                <w:color w:val="000000"/>
                <w:sz w:val="24"/>
              </w:rPr>
              <w:t>13、支持对机构、用户及角色进行管理；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14、支持备份文件恢复，同时自动备份当前数据库文件；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15、提供服务器、用户印章管理功能，支持对印章图片缩放及多种格式的印章图片，同时支持印章动态附文的设置；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16、具备证书管理功能，包括证书信任链管理、签名服务器证书管理，CRL 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17、支持SM2、RSA等签名算法；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18、对签章规则的使用IP段权限进行白名单设置，有且仅有在所允许IP段的业务系统才有使用该签章规则的权限；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19、对PDF签章业务日志、系统配置、系统运行状况进行审计管理；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20、支持服务端热备负载功能，来解决不能对外提供大数据量服务的问题，即多台机器负载时，多台机器能够同时对外提供一样的服务来处理大数据量，能够提供一个高性能的服务；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▲21、兼容医院现有的签名系统设备.实现SM2算法的数字签名；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22、支持与医院现有的时间戳系统进行签名集成，实现SM2算法的时间戳签名；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bottom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s="宋体"/>
                <w:sz w:val="24"/>
              </w:rPr>
            </w:pPr>
            <w:r>
              <w:rPr>
                <w:rFonts w:hint="eastAsia" w:ascii="宋体" w:hAnsi="宋体" w:cs="宋体"/>
                <w:sz w:val="24"/>
              </w:rPr>
              <w:t>23、与HIS系统对接，实现医生站、护士站的移动电子签名，与无纸化系统对接实现归档病历的自动电子签章认证。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Merge w:val="restart"/>
            <w:tcBorders>
              <w:top w:val="single" w:color="auto" w:sz="4" w:space="0"/>
              <w:left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PDF签章服务器</w:t>
            </w:r>
          </w:p>
        </w:tc>
        <w:tc>
          <w:tcPr>
            <w:tcW w:w="7545" w:type="dxa"/>
            <w:tcBorders>
              <w:top w:val="single" w:color="auto" w:sz="4" w:space="0"/>
              <w:left w:val="nil"/>
              <w:bottom w:val="single" w:color="auto" w:sz="4" w:space="0"/>
              <w:right w:val="single" w:color="auto" w:sz="4" w:space="0"/>
            </w:tcBorders>
          </w:tcPr>
          <w:p>
            <w:pPr>
              <w:rPr>
                <w:rFonts w:ascii="宋体" w:hAnsi="宋体"/>
                <w:b/>
                <w:bCs/>
                <w:color w:val="000000"/>
                <w:sz w:val="24"/>
              </w:rPr>
            </w:pPr>
            <w:r>
              <w:rPr>
                <w:rFonts w:hint="eastAsia" w:ascii="宋体" w:hAnsi="宋体"/>
                <w:b/>
                <w:bCs/>
                <w:color w:val="000000"/>
                <w:sz w:val="24"/>
              </w:rPr>
              <w:t>产品技术指标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rPr>
                <w:rFonts w:ascii="宋体" w:hAnsi="宋体"/>
                <w:color w:val="FF0000"/>
                <w:sz w:val="24"/>
              </w:rPr>
            </w:pPr>
            <w:r>
              <w:rPr>
                <w:rFonts w:hint="eastAsia" w:ascii="宋体" w:hAnsi="宋体"/>
                <w:sz w:val="24"/>
              </w:rPr>
              <w:t>1、支持应用环境有Windows；Linux；AIX；Solaris；Unix等；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rPr>
                <w:rFonts w:ascii="宋体" w:hAnsi="宋体"/>
                <w:color w:val="000000"/>
                <w:sz w:val="24"/>
              </w:rPr>
            </w:pPr>
            <w:r>
              <w:rPr>
                <w:rFonts w:hint="eastAsia" w:ascii="宋体" w:hAnsi="宋体"/>
                <w:color w:val="000000"/>
                <w:sz w:val="24"/>
              </w:rPr>
              <w:t>2、支持C、Java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rPr>
                <w:rFonts w:ascii="宋体" w:hAnsi="宋体"/>
                <w:color w:val="000000"/>
                <w:sz w:val="24"/>
              </w:rPr>
            </w:pPr>
            <w:r>
              <w:rPr>
                <w:rFonts w:hint="eastAsia" w:ascii="宋体" w:hAnsi="宋体"/>
                <w:color w:val="000000"/>
                <w:sz w:val="24"/>
              </w:rPr>
              <w:t>3、业务处理能力</w:t>
            </w:r>
            <w:r>
              <w:rPr>
                <w:rFonts w:hint="eastAsia" w:ascii="宋体" w:hAnsi="宋体" w:eastAsia="宋体" w:cs="宋体"/>
                <w:sz w:val="24"/>
              </w:rPr>
              <w:t>≧5</w:t>
            </w:r>
            <w:r>
              <w:rPr>
                <w:rFonts w:hint="eastAsia" w:ascii="宋体" w:hAnsi="宋体"/>
                <w:color w:val="000000"/>
                <w:sz w:val="24"/>
              </w:rPr>
              <w:t>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continue"/>
            <w:tcBorders>
              <w:left w:val="single" w:color="auto" w:sz="4" w:space="0"/>
              <w:bottom w:val="single" w:color="auto" w:sz="4" w:space="0"/>
              <w:right w:val="single" w:color="auto" w:sz="4" w:space="0"/>
            </w:tcBorders>
            <w:vAlign w:val="center"/>
          </w:tcPr>
          <w:p>
            <w:pPr>
              <w:ind w:firstLine="199" w:firstLineChars="83"/>
              <w:rPr>
                <w:rFonts w:ascii="宋体" w:hAnsi="宋体"/>
                <w:color w:val="000000"/>
                <w:sz w:val="24"/>
              </w:rPr>
            </w:pPr>
          </w:p>
        </w:tc>
        <w:tc>
          <w:tcPr>
            <w:tcW w:w="7545" w:type="dxa"/>
            <w:tcBorders>
              <w:top w:val="single" w:color="auto" w:sz="4" w:space="0"/>
              <w:left w:val="nil"/>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s="宋体"/>
                <w:sz w:val="24"/>
              </w:rPr>
              <w:t>4、设备高度</w:t>
            </w:r>
            <w:r>
              <w:rPr>
                <w:rFonts w:hint="eastAsia" w:ascii="宋体" w:hAnsi="宋体" w:eastAsia="宋体" w:cs="宋体"/>
                <w:sz w:val="24"/>
              </w:rPr>
              <w:t>≧</w:t>
            </w:r>
            <w:r>
              <w:rPr>
                <w:rFonts w:hint="eastAsia" w:ascii="宋体" w:hAnsi="宋体" w:cs="宋体"/>
                <w:sz w:val="24"/>
              </w:rPr>
              <w:t>2U</w:t>
            </w:r>
            <w:r>
              <w:rPr>
                <w:rFonts w:ascii="宋体" w:hAnsi="宋体" w:cs="宋体"/>
                <w:sz w:val="24"/>
              </w:rPr>
              <w:t>；</w:t>
            </w:r>
            <w:r>
              <w:rPr>
                <w:rFonts w:hint="eastAsia" w:ascii="宋体" w:hAnsi="宋体" w:cs="宋体"/>
                <w:sz w:val="24"/>
              </w:rPr>
              <w:t>网络接口</w:t>
            </w:r>
            <w:r>
              <w:rPr>
                <w:rFonts w:hint="eastAsia" w:ascii="宋体" w:hAnsi="宋体" w:eastAsia="宋体" w:cs="宋体"/>
                <w:sz w:val="24"/>
              </w:rPr>
              <w:t>≧</w:t>
            </w:r>
            <w:r>
              <w:rPr>
                <w:rFonts w:hint="eastAsia" w:ascii="宋体" w:hAnsi="宋体" w:cs="宋体"/>
                <w:sz w:val="24"/>
              </w:rPr>
              <w:t>2x1000M</w:t>
            </w:r>
            <w:r>
              <w:rPr>
                <w:rFonts w:ascii="宋体" w:hAnsi="宋体" w:cs="宋体"/>
                <w:sz w:val="24"/>
              </w:rPr>
              <w:t>；</w:t>
            </w:r>
            <w:r>
              <w:rPr>
                <w:rFonts w:hint="eastAsia" w:ascii="宋体" w:hAnsi="宋体" w:cs="宋体"/>
                <w:sz w:val="24"/>
              </w:rPr>
              <w:t>电源指标</w:t>
            </w:r>
            <w:r>
              <w:rPr>
                <w:rFonts w:hint="eastAsia" w:ascii="宋体" w:hAnsi="宋体" w:eastAsia="宋体" w:cs="宋体"/>
                <w:sz w:val="24"/>
              </w:rPr>
              <w:t>≧</w:t>
            </w:r>
            <w:r>
              <w:rPr>
                <w:rFonts w:hint="eastAsia" w:ascii="宋体" w:hAnsi="宋体" w:cs="宋体"/>
                <w:sz w:val="24"/>
              </w:rPr>
              <w:t>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restart"/>
            <w:tcBorders>
              <w:top w:val="single" w:color="auto" w:sz="4" w:space="0"/>
              <w:left w:val="single" w:color="auto" w:sz="4" w:space="0"/>
              <w:right w:val="single" w:color="auto" w:sz="4" w:space="0"/>
            </w:tcBorders>
            <w:vAlign w:val="center"/>
          </w:tcPr>
          <w:p>
            <w:pPr>
              <w:rPr>
                <w:rFonts w:ascii="宋体" w:hAnsi="宋体"/>
                <w:color w:val="000000"/>
                <w:sz w:val="24"/>
              </w:rPr>
            </w:pPr>
            <w:r>
              <w:rPr>
                <w:rFonts w:hint="eastAsia" w:ascii="宋体" w:hAnsi="宋体"/>
                <w:b/>
                <w:bCs/>
                <w:color w:val="000000"/>
                <w:sz w:val="24"/>
              </w:rPr>
              <w:t>产品资质要求</w:t>
            </w:r>
          </w:p>
        </w:tc>
        <w:tc>
          <w:tcPr>
            <w:tcW w:w="7545"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kern w:val="0"/>
                <w:sz w:val="24"/>
              </w:rPr>
              <w:t>产品须具备</w:t>
            </w:r>
            <w:r>
              <w:rPr>
                <w:rFonts w:hint="eastAsia" w:ascii="宋体" w:hAnsi="宋体"/>
                <w:sz w:val="24"/>
              </w:rPr>
              <w:t>《计算机信息系统安全专用产品销售许可证》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sz w:val="24"/>
              </w:rPr>
            </w:pPr>
          </w:p>
        </w:tc>
        <w:tc>
          <w:tcPr>
            <w:tcW w:w="7545"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kern w:val="0"/>
                <w:sz w:val="24"/>
              </w:rPr>
              <w:t>产品制造厂商须具有该产品完全自主知识产权，提供软件著作权证书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4" w:type="dxa"/>
            <w:vMerge w:val="continue"/>
            <w:tcBorders>
              <w:left w:val="single" w:color="auto" w:sz="4" w:space="0"/>
              <w:right w:val="single" w:color="auto" w:sz="4" w:space="0"/>
            </w:tcBorders>
            <w:vAlign w:val="center"/>
          </w:tcPr>
          <w:p>
            <w:pPr>
              <w:ind w:firstLine="199" w:firstLineChars="83"/>
              <w:rPr>
                <w:rFonts w:ascii="宋体" w:hAnsi="宋体"/>
                <w:sz w:val="24"/>
              </w:rPr>
            </w:pPr>
          </w:p>
        </w:tc>
        <w:tc>
          <w:tcPr>
            <w:tcW w:w="7545"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kern w:val="0"/>
                <w:sz w:val="24"/>
              </w:rPr>
              <w:t>产品须具备国家密码管理局《商用密码产品认证证书》</w:t>
            </w:r>
          </w:p>
        </w:tc>
      </w:tr>
    </w:tbl>
    <w:p>
      <w:pPr>
        <w:pStyle w:val="13"/>
        <w:keepNext w:val="0"/>
        <w:keepLines w:val="0"/>
        <w:pageBreakBefore w:val="0"/>
        <w:widowControl w:val="0"/>
        <w:kinsoku/>
        <w:wordWrap/>
        <w:overflowPunct/>
        <w:topLinePunct w:val="0"/>
        <w:autoSpaceDE/>
        <w:autoSpaceDN/>
        <w:bidi w:val="0"/>
        <w:adjustRightInd/>
        <w:spacing w:line="560" w:lineRule="exact"/>
        <w:textAlignment w:val="auto"/>
        <w:rPr>
          <w:rFonts w:hint="eastAsia"/>
          <w:sz w:val="36"/>
          <w:szCs w:val="44"/>
          <w:lang w:val="en-US" w:eastAsia="zh-CN"/>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000000"/>
                <w:kern w:val="0"/>
                <w:sz w:val="22"/>
                <w:szCs w:val="22"/>
              </w:rPr>
              <w:t>符合现行国家质量要求和行业有关标准</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szCs w:val="21"/>
                <w:highlight w:val="none"/>
                <w:lang w:eastAsia="zh-CN"/>
              </w:rPr>
              <w:t>驻马店市中心医院PDF签章服务器及系统</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项</w:t>
            </w:r>
            <w:r>
              <w:rPr>
                <w:rFonts w:hint="eastAsia" w:ascii="宋体" w:hAnsi="宋体" w:cs="宋体"/>
                <w:color w:val="auto"/>
                <w:lang w:val="en-US" w:eastAsia="zh-CN"/>
              </w:rPr>
              <w:t>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19万</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19万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 供应商具有独立法人资格，具有有效的营业执照、税务登记证、组织机构代码证或三证合一营业执照；</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 具有健全的财务会计制度（提供2020年度经审计的财务报告，成立年限不足的按实际提供）；</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4.4 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default"/>
          <w:color w:val="auto"/>
          <w:lang w:val="en-US" w:eastAsia="zh-CN"/>
        </w:rPr>
      </w:pPr>
      <w:r>
        <w:rPr>
          <w:rFonts w:hint="eastAsia"/>
          <w:color w:val="auto"/>
          <w:lang w:val="en-US" w:eastAsia="zh-CN"/>
        </w:rPr>
        <w:t>4.5 响应人若为代理商需提供制造商针对本项目出具的授权书及售后服务承诺函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4.6 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50"/>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rPr>
          <w:color w:val="auto"/>
        </w:rPr>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50"/>
        <w:rPr>
          <w:rFonts w:hAnsi="宋体"/>
          <w:b/>
          <w:bCs/>
          <w:color w:val="auto"/>
          <w:highlight w:val="none"/>
        </w:rPr>
      </w:pPr>
    </w:p>
    <w:p>
      <w:pPr>
        <w:pStyle w:val="50"/>
        <w:rPr>
          <w:rFonts w:hAnsi="宋体"/>
          <w:b/>
          <w:bCs/>
          <w:color w:val="auto"/>
          <w:highlight w:val="none"/>
        </w:rPr>
      </w:pPr>
    </w:p>
    <w:p>
      <w:pPr>
        <w:rPr>
          <w:color w:val="auto"/>
          <w:highlight w:val="none"/>
        </w:rPr>
      </w:pPr>
      <w:r>
        <w:rPr>
          <w:rFonts w:hint="eastAsia"/>
          <w:color w:val="auto"/>
          <w:highlight w:val="none"/>
        </w:rPr>
        <w:br w:type="page"/>
      </w:r>
    </w:p>
    <w:p>
      <w:pPr>
        <w:pStyle w:val="24"/>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50"/>
        <w:spacing w:line="360" w:lineRule="auto"/>
        <w:rPr>
          <w:rFonts w:hint="eastAsia" w:ascii="宋体" w:hAnsi="宋体" w:eastAsia="宋体" w:cs="宋体"/>
          <w:color w:val="auto"/>
          <w:highlight w:val="none"/>
        </w:rPr>
      </w:pPr>
    </w:p>
    <w:p>
      <w:pPr>
        <w:pStyle w:val="5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8"/>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1"/>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15804"/>
      <w:bookmarkStart w:id="77" w:name="_Toc226"/>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2"/>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rFonts w:cs="宋体"/>
          <w:b/>
          <w:color w:val="auto"/>
          <w:kern w:val="0"/>
          <w:sz w:val="24"/>
          <w:highlight w:val="none"/>
        </w:rPr>
      </w:pPr>
    </w:p>
    <w:p>
      <w:pPr>
        <w:rPr>
          <w:rFonts w:cs="宋体"/>
          <w:b/>
          <w:color w:val="auto"/>
          <w:kern w:val="0"/>
          <w:sz w:val="24"/>
          <w:highlight w:val="none"/>
        </w:rPr>
      </w:pPr>
    </w:p>
    <w:p>
      <w:pPr>
        <w:pStyle w:val="2"/>
        <w:rPr>
          <w:color w:val="auto"/>
        </w:rPr>
      </w:pPr>
    </w:p>
    <w:p>
      <w:pPr>
        <w:rPr>
          <w:rFonts w:cs="宋体"/>
          <w:b/>
          <w:color w:val="auto"/>
          <w:kern w:val="0"/>
          <w:sz w:val="24"/>
          <w:highlight w:val="none"/>
        </w:rPr>
      </w:pPr>
      <w:r>
        <w:rPr>
          <w:rFonts w:cs="宋体"/>
          <w:b/>
          <w:color w:val="auto"/>
          <w:kern w:val="0"/>
          <w:sz w:val="24"/>
          <w:highlight w:val="none"/>
        </w:rPr>
        <w:br w:type="page"/>
      </w:r>
    </w:p>
    <w:p>
      <w:pPr>
        <w:pStyle w:val="29"/>
        <w:rPr>
          <w:color w:val="auto"/>
        </w:rPr>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48"/>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ascii="宋体" w:hAnsi="宋体" w:cs="宋体"/>
        <w:color w:val="auto"/>
        <w:lang w:eastAsia="zh-CN"/>
      </w:rPr>
      <w:t>驻马店市中心医院PDF签章服务器及系统</w:t>
    </w:r>
    <w:r>
      <w:rPr>
        <w:rFonts w:hint="eastAsia" w:ascii="宋体" w:hAnsi="宋体" w:cs="宋体"/>
        <w:color w:val="auto"/>
        <w:lang w:val="en-US" w:eastAsia="zh-CN"/>
      </w:rPr>
      <w:t>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驻马店市中心医院PDF签章服务器及系统</w:t>
    </w:r>
    <w:r>
      <w:rPr>
        <w:rFonts w:hint="eastAsia" w:ascii="宋体" w:hAnsi="宋体" w:cs="宋体"/>
        <w:color w:val="auto"/>
        <w:lang w:val="en-US" w:eastAsia="zh-CN"/>
      </w:rPr>
      <w:t>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00000010"/>
    <w:multiLevelType w:val="multilevel"/>
    <w:tmpl w:val="0000001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B349AE"/>
    <w:rsid w:val="02D92EF7"/>
    <w:rsid w:val="02DA4665"/>
    <w:rsid w:val="02F40325"/>
    <w:rsid w:val="031126C4"/>
    <w:rsid w:val="036A009A"/>
    <w:rsid w:val="03844805"/>
    <w:rsid w:val="03845791"/>
    <w:rsid w:val="03A011E9"/>
    <w:rsid w:val="03AE7F27"/>
    <w:rsid w:val="03BD2BCD"/>
    <w:rsid w:val="04070D64"/>
    <w:rsid w:val="04310280"/>
    <w:rsid w:val="0438160E"/>
    <w:rsid w:val="04416C20"/>
    <w:rsid w:val="047968B1"/>
    <w:rsid w:val="04870542"/>
    <w:rsid w:val="04CE3D21"/>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964B56"/>
    <w:rsid w:val="08C52D6F"/>
    <w:rsid w:val="08D01612"/>
    <w:rsid w:val="08EF0201"/>
    <w:rsid w:val="08F41DE8"/>
    <w:rsid w:val="09737462"/>
    <w:rsid w:val="099156C3"/>
    <w:rsid w:val="09A53F39"/>
    <w:rsid w:val="09A60E13"/>
    <w:rsid w:val="09D206F0"/>
    <w:rsid w:val="0A321AC2"/>
    <w:rsid w:val="0A343D4E"/>
    <w:rsid w:val="0A3E6D2E"/>
    <w:rsid w:val="0A6C3DC0"/>
    <w:rsid w:val="0AD13A85"/>
    <w:rsid w:val="0B091954"/>
    <w:rsid w:val="0B29141D"/>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884F40"/>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45DAA"/>
    <w:rsid w:val="190B2D88"/>
    <w:rsid w:val="190E6B63"/>
    <w:rsid w:val="19123928"/>
    <w:rsid w:val="19194264"/>
    <w:rsid w:val="19420786"/>
    <w:rsid w:val="19427EC0"/>
    <w:rsid w:val="195711D7"/>
    <w:rsid w:val="195D2A3F"/>
    <w:rsid w:val="198310E9"/>
    <w:rsid w:val="198D747A"/>
    <w:rsid w:val="19A15638"/>
    <w:rsid w:val="1A125525"/>
    <w:rsid w:val="1A5F4342"/>
    <w:rsid w:val="1A8C5D82"/>
    <w:rsid w:val="1A8E4C85"/>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D6156D"/>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B46637"/>
    <w:rsid w:val="24C04FDC"/>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065CE2"/>
    <w:rsid w:val="2F1A081D"/>
    <w:rsid w:val="2F1E3DC0"/>
    <w:rsid w:val="2F3112DE"/>
    <w:rsid w:val="2F3B6922"/>
    <w:rsid w:val="2F3C7955"/>
    <w:rsid w:val="2F506C6D"/>
    <w:rsid w:val="2F51291F"/>
    <w:rsid w:val="2F55758A"/>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9758E5"/>
    <w:rsid w:val="35A815CB"/>
    <w:rsid w:val="35AA1B9C"/>
    <w:rsid w:val="35DB09A6"/>
    <w:rsid w:val="369B4CF0"/>
    <w:rsid w:val="36C24BE4"/>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C5A03"/>
    <w:rsid w:val="40991379"/>
    <w:rsid w:val="409B3C3D"/>
    <w:rsid w:val="40F701DF"/>
    <w:rsid w:val="40FD480A"/>
    <w:rsid w:val="412A32F8"/>
    <w:rsid w:val="417F433E"/>
    <w:rsid w:val="41B7239D"/>
    <w:rsid w:val="41E47AD6"/>
    <w:rsid w:val="41FF3845"/>
    <w:rsid w:val="42075BA1"/>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9B4F7E"/>
    <w:rsid w:val="45AC5DBA"/>
    <w:rsid w:val="45C647AF"/>
    <w:rsid w:val="45C75F7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23312C"/>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51F9F"/>
    <w:rsid w:val="4F3D562D"/>
    <w:rsid w:val="4F5C4EE0"/>
    <w:rsid w:val="4F6E1972"/>
    <w:rsid w:val="4F943166"/>
    <w:rsid w:val="4FBA02A1"/>
    <w:rsid w:val="4FE7106E"/>
    <w:rsid w:val="50053943"/>
    <w:rsid w:val="50550E55"/>
    <w:rsid w:val="509F43E4"/>
    <w:rsid w:val="50A54D3E"/>
    <w:rsid w:val="50F1402B"/>
    <w:rsid w:val="50FD2AD9"/>
    <w:rsid w:val="51097D9A"/>
    <w:rsid w:val="51237D2E"/>
    <w:rsid w:val="51821D43"/>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1C7D2C"/>
    <w:rsid w:val="59561946"/>
    <w:rsid w:val="59670F51"/>
    <w:rsid w:val="596A44F9"/>
    <w:rsid w:val="596C19BB"/>
    <w:rsid w:val="59790BDB"/>
    <w:rsid w:val="598653AC"/>
    <w:rsid w:val="59AC3C86"/>
    <w:rsid w:val="59C3464B"/>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A77FD"/>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7A4EE2"/>
    <w:rsid w:val="5CBB7F6F"/>
    <w:rsid w:val="5D7C3F11"/>
    <w:rsid w:val="5D9D49E0"/>
    <w:rsid w:val="5DC80482"/>
    <w:rsid w:val="5DDF1821"/>
    <w:rsid w:val="5DEA2F91"/>
    <w:rsid w:val="5E3146A3"/>
    <w:rsid w:val="5E442F62"/>
    <w:rsid w:val="5E6C2C5B"/>
    <w:rsid w:val="5E7128C8"/>
    <w:rsid w:val="5E7251A2"/>
    <w:rsid w:val="5E7C3591"/>
    <w:rsid w:val="5E9D0E18"/>
    <w:rsid w:val="5EA2144B"/>
    <w:rsid w:val="5EA341D7"/>
    <w:rsid w:val="5EA755DE"/>
    <w:rsid w:val="5ED35F0E"/>
    <w:rsid w:val="5EFC1390"/>
    <w:rsid w:val="5EFC3EB6"/>
    <w:rsid w:val="5F03335D"/>
    <w:rsid w:val="5F0368C7"/>
    <w:rsid w:val="5F1544E7"/>
    <w:rsid w:val="5F3C4923"/>
    <w:rsid w:val="5F661D01"/>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1AD1E69"/>
    <w:rsid w:val="61C80F53"/>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103F56"/>
    <w:rsid w:val="66247D11"/>
    <w:rsid w:val="66736112"/>
    <w:rsid w:val="667F5B5B"/>
    <w:rsid w:val="66897C79"/>
    <w:rsid w:val="6694262A"/>
    <w:rsid w:val="66990381"/>
    <w:rsid w:val="66B31B01"/>
    <w:rsid w:val="66CE1E80"/>
    <w:rsid w:val="66E362F9"/>
    <w:rsid w:val="66E47FD9"/>
    <w:rsid w:val="67071922"/>
    <w:rsid w:val="672A7AB8"/>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8C6652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4C5F97"/>
    <w:rsid w:val="6A4D41E9"/>
    <w:rsid w:val="6A7903E5"/>
    <w:rsid w:val="6AA03032"/>
    <w:rsid w:val="6AA86FEC"/>
    <w:rsid w:val="6ADA6AC4"/>
    <w:rsid w:val="6ADB11D6"/>
    <w:rsid w:val="6B1A2C3C"/>
    <w:rsid w:val="6B31644D"/>
    <w:rsid w:val="6B486C86"/>
    <w:rsid w:val="6B554C72"/>
    <w:rsid w:val="6B80239C"/>
    <w:rsid w:val="6B847AD7"/>
    <w:rsid w:val="6B9A2DF9"/>
    <w:rsid w:val="6BAC4619"/>
    <w:rsid w:val="6BCD2823"/>
    <w:rsid w:val="6BDD15DD"/>
    <w:rsid w:val="6BDF2966"/>
    <w:rsid w:val="6BE86A5F"/>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D228B4"/>
    <w:rsid w:val="6CE70FA1"/>
    <w:rsid w:val="6CFA6351"/>
    <w:rsid w:val="6CFC3C40"/>
    <w:rsid w:val="6D480984"/>
    <w:rsid w:val="6D596B3F"/>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6FEF189F"/>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3E6DC5"/>
    <w:rsid w:val="734C1A6A"/>
    <w:rsid w:val="735C5949"/>
    <w:rsid w:val="73737DA5"/>
    <w:rsid w:val="73887B3E"/>
    <w:rsid w:val="73892412"/>
    <w:rsid w:val="739E7864"/>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D36EF"/>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1A21DD"/>
    <w:rsid w:val="7E2822EA"/>
    <w:rsid w:val="7E355A7B"/>
    <w:rsid w:val="7E6E3E85"/>
    <w:rsid w:val="7E9C184B"/>
    <w:rsid w:val="7EA72948"/>
    <w:rsid w:val="7EB31EDB"/>
    <w:rsid w:val="7EE70CC0"/>
    <w:rsid w:val="7EEB48DB"/>
    <w:rsid w:val="7EF27444"/>
    <w:rsid w:val="7F265C58"/>
    <w:rsid w:val="7F582CF2"/>
    <w:rsid w:val="7F951B40"/>
    <w:rsid w:val="7FBF10B0"/>
    <w:rsid w:val="7FF302F4"/>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
    <w:link w:val="73"/>
    <w:qFormat/>
    <w:uiPriority w:val="0"/>
  </w:style>
  <w:style w:type="paragraph" w:styleId="12">
    <w:name w:val="Body Text Indent"/>
    <w:basedOn w:val="1"/>
    <w:next w:val="13"/>
    <w:qFormat/>
    <w:uiPriority w:val="0"/>
    <w:pPr>
      <w:widowControl/>
      <w:spacing w:beforeAutospacing="1" w:afterAutospacing="1"/>
      <w:jc w:val="left"/>
    </w:pPr>
    <w:rPr>
      <w:rFonts w:ascii="宋体" w:hAnsi="宋体" w:cs="宋体"/>
      <w:kern w:val="0"/>
      <w:sz w:val="24"/>
    </w:rPr>
  </w:style>
  <w:style w:type="paragraph" w:styleId="13">
    <w:name w:val="envelope return"/>
    <w:basedOn w:val="1"/>
    <w:unhideWhenUsed/>
    <w:qFormat/>
    <w:uiPriority w:val="99"/>
    <w:pPr>
      <w:snapToGrid w:val="0"/>
    </w:pPr>
    <w:rPr>
      <w:rFonts w:ascii="Arial" w:hAnsi="Arial"/>
    </w:r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6">
    <w:name w:val="toc 3"/>
    <w:basedOn w:val="1"/>
    <w:next w:val="1"/>
    <w:qFormat/>
    <w:uiPriority w:val="0"/>
    <w:pPr>
      <w:tabs>
        <w:tab w:val="left" w:pos="709"/>
        <w:tab w:val="right" w:leader="dot" w:pos="8789"/>
      </w:tabs>
      <w:spacing w:line="400" w:lineRule="atLeast"/>
    </w:pPr>
    <w:rPr>
      <w:rFonts w:ascii="宋体"/>
      <w:kern w:val="0"/>
      <w:szCs w:val="20"/>
    </w:rPr>
  </w:style>
  <w:style w:type="paragraph" w:styleId="17">
    <w:name w:val="Plain Text"/>
    <w:basedOn w:val="1"/>
    <w:qFormat/>
    <w:uiPriority w:val="0"/>
    <w:pPr>
      <w:widowControl/>
      <w:spacing w:beforeAutospacing="1" w:afterAutospacing="1"/>
      <w:jc w:val="left"/>
    </w:pPr>
    <w:rPr>
      <w:rFonts w:ascii="宋体" w:hAnsi="宋体" w:cs="宋体"/>
      <w:kern w:val="0"/>
      <w:sz w:val="24"/>
    </w:rPr>
  </w:style>
  <w:style w:type="paragraph" w:styleId="18">
    <w:name w:val="Date"/>
    <w:basedOn w:val="1"/>
    <w:next w:val="1"/>
    <w:qFormat/>
    <w:uiPriority w:val="0"/>
    <w:pPr>
      <w:ind w:left="100" w:leftChars="2500"/>
    </w:pPr>
    <w:rPr>
      <w:rFonts w:ascii="宋体" w:hAnsi="宋体"/>
      <w:sz w:val="28"/>
    </w:rPr>
  </w:style>
  <w:style w:type="paragraph" w:styleId="19">
    <w:name w:val="Body Text Indent 2"/>
    <w:basedOn w:val="1"/>
    <w:qFormat/>
    <w:uiPriority w:val="0"/>
    <w:pPr>
      <w:spacing w:line="480" w:lineRule="auto"/>
      <w:ind w:left="420" w:leftChars="200"/>
    </w:p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List"/>
    <w:basedOn w:val="1"/>
    <w:qFormat/>
    <w:uiPriority w:val="0"/>
    <w:pPr>
      <w:ind w:left="200" w:hanging="200" w:hangingChars="200"/>
    </w:pPr>
  </w:style>
  <w:style w:type="paragraph" w:styleId="24">
    <w:name w:val="Body Text 2"/>
    <w:basedOn w:val="1"/>
    <w:next w:val="11"/>
    <w:qFormat/>
    <w:uiPriority w:val="0"/>
    <w:pPr>
      <w:spacing w:line="480" w:lineRule="auto"/>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30"/>
    <w:qFormat/>
    <w:uiPriority w:val="0"/>
    <w:pPr>
      <w:spacing w:line="360" w:lineRule="auto"/>
      <w:ind w:firstLine="420" w:firstLineChars="100"/>
    </w:pPr>
    <w:rPr>
      <w:szCs w:val="21"/>
    </w:rPr>
  </w:style>
  <w:style w:type="paragraph" w:styleId="30">
    <w:name w:val="Body Text First Indent 2"/>
    <w:basedOn w:val="12"/>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9">
    <w:name w:val="No Spacing1"/>
    <w:basedOn w:val="1"/>
    <w:qFormat/>
    <w:uiPriority w:val="0"/>
    <w:pPr>
      <w:spacing w:line="400" w:lineRule="exact"/>
    </w:pPr>
    <w:rPr>
      <w:sz w:val="24"/>
    </w:rPr>
  </w:style>
  <w:style w:type="paragraph" w:customStyle="1" w:styleId="50">
    <w:name w:val="Default"/>
    <w:next w:val="5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大标题"/>
    <w:basedOn w:val="1"/>
    <w:next w:val="30"/>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3"/>
    <w:link w:val="11"/>
    <w:qFormat/>
    <w:uiPriority w:val="0"/>
  </w:style>
  <w:style w:type="character" w:customStyle="1" w:styleId="74">
    <w:name w:val="apple-converted-space"/>
    <w:basedOn w:val="33"/>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3"/>
    <w:qFormat/>
    <w:uiPriority w:val="0"/>
  </w:style>
  <w:style w:type="character" w:customStyle="1" w:styleId="89">
    <w:name w:val="font41"/>
    <w:basedOn w:val="33"/>
    <w:qFormat/>
    <w:uiPriority w:val="0"/>
    <w:rPr>
      <w:rFonts w:hint="eastAsia" w:ascii="宋体" w:hAnsi="宋体" w:eastAsia="宋体" w:cs="宋体"/>
      <w:color w:val="000000"/>
      <w:sz w:val="21"/>
      <w:szCs w:val="21"/>
      <w:u w:val="none"/>
    </w:rPr>
  </w:style>
  <w:style w:type="character" w:customStyle="1" w:styleId="90">
    <w:name w:val="font51"/>
    <w:basedOn w:val="33"/>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15171</Words>
  <Characters>15925</Characters>
  <Lines>50</Lines>
  <Paragraphs>68</Paragraphs>
  <TotalTime>0</TotalTime>
  <ScaleCrop>false</ScaleCrop>
  <LinksUpToDate>false</LinksUpToDate>
  <CharactersWithSpaces>16878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2022-08-10T01:26:03Z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562A285641654D2EA086C4325B3B203C</vt:lpwstr>
  </property>
</Properties>
</file>