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驻马店市中心医院新发热门诊楼雨水驳接工程三次</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08</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驻马店市中心医院新发热门诊楼雨水驳接工程三次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78" w:name="_GoBack"/>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新发热门诊楼雨水驳接工程</w:t>
      </w:r>
      <w:r>
        <w:rPr>
          <w:rFonts w:hint="eastAsia" w:ascii="宋体" w:hAnsi="宋体" w:cs="宋体"/>
          <w:i w:val="0"/>
          <w:iCs w:val="0"/>
          <w:color w:val="auto"/>
          <w:u w:val="single"/>
          <w:lang w:val="en-US" w:eastAsia="zh-CN"/>
        </w:rPr>
        <w:t>三次</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驻马店市中心医院新发热门诊楼雨水驳接工程三次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54698</w:t>
      </w:r>
      <w:r>
        <w:rPr>
          <w:rFonts w:hint="eastAsia" w:ascii="宋体" w:hAnsi="宋体" w:cs="宋体"/>
          <w:color w:val="auto"/>
          <w:kern w:val="0"/>
          <w:szCs w:val="21"/>
          <w:highlight w:val="none"/>
          <w:u w:val="none"/>
          <w:lang w:val="en-US" w:eastAsia="zh-CN"/>
        </w:rPr>
        <w:t>.00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合同签订后7日内</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7704"/>
      <w:bookmarkStart w:id="5" w:name="_Toc23626"/>
      <w:bookmarkStart w:id="6" w:name="_Toc18607"/>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供应商</w:t>
      </w:r>
      <w:r>
        <w:rPr>
          <w:rFonts w:hint="eastAsia"/>
          <w:color w:val="auto"/>
          <w:lang w:val="en-US" w:eastAsia="zh-CN"/>
        </w:rPr>
        <w:t>须具有合格有效的企业安全生产许可证；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643"/>
      <w:bookmarkStart w:id="9" w:name="_Toc23395"/>
      <w:bookmarkStart w:id="10" w:name="_Toc9562"/>
      <w:bookmarkStart w:id="11" w:name="_Toc30971"/>
      <w:bookmarkStart w:id="12" w:name="_Toc782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8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10 </w:t>
      </w:r>
      <w:r>
        <w:rPr>
          <w:rFonts w:hint="eastAsia" w:ascii="宋体" w:hAnsi="宋体" w:eastAsia="宋体" w:cs="宋体"/>
          <w:color w:val="auto"/>
          <w:szCs w:val="21"/>
          <w:highlight w:val="none"/>
          <w:shd w:val="clear" w:color="auto" w:fill="FFFFFF"/>
        </w:rPr>
        <w:t>日，上午8：30-11:30，下午14:30-17:30（北京时间，法定节假日除外）</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报名费用</w:t>
      </w:r>
      <w:r>
        <w:rPr>
          <w:rFonts w:hint="eastAsia" w:ascii="宋体" w:hAnsi="宋体" w:eastAsia="宋体" w:cs="宋体"/>
          <w:color w:val="auto"/>
          <w:szCs w:val="21"/>
          <w:highlight w:val="none"/>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w:t>
      </w:r>
      <w:r>
        <w:rPr>
          <w:rFonts w:hint="eastAsia" w:ascii="宋体" w:hAnsi="宋体" w:eastAsia="宋体" w:cs="宋体"/>
          <w:highlight w:val="none"/>
        </w:rPr>
        <w:t>XX公司</w:t>
      </w:r>
      <w:r>
        <w:rPr>
          <w:rFonts w:hint="eastAsia" w:ascii="宋体" w:hAnsi="宋体" w:eastAsia="宋体" w:cs="宋体"/>
          <w:color w:val="auto"/>
          <w:kern w:val="0"/>
          <w:sz w:val="21"/>
          <w:szCs w:val="21"/>
          <w:highlight w:val="none"/>
          <w:shd w:val="clear" w:color="auto" w:fill="FFFFFF"/>
          <w:lang w:val="en-US" w:eastAsia="zh-CN" w:bidi="ar-SA"/>
        </w:rPr>
        <w:t>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项目报名资料；审核通过后按要求交纳</w:t>
      </w:r>
      <w:r>
        <w:rPr>
          <w:rFonts w:hint="eastAsia" w:ascii="宋体" w:hAnsi="宋体" w:cs="宋体"/>
          <w:color w:val="auto"/>
          <w:kern w:val="0"/>
          <w:sz w:val="21"/>
          <w:szCs w:val="21"/>
          <w:highlight w:val="none"/>
          <w:shd w:val="clear" w:color="auto" w:fill="FFFFFF"/>
          <w:lang w:val="en-US" w:eastAsia="zh-CN" w:bidi="ar-SA"/>
        </w:rPr>
        <w:t>报名费</w:t>
      </w:r>
      <w:r>
        <w:rPr>
          <w:rFonts w:hint="eastAsia" w:ascii="宋体" w:hAnsi="宋体" w:eastAsia="宋体" w:cs="宋体"/>
          <w:color w:val="auto"/>
          <w:kern w:val="0"/>
          <w:sz w:val="21"/>
          <w:szCs w:val="21"/>
          <w:highlight w:val="none"/>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3" w:name="_Toc25869"/>
      <w:bookmarkStart w:id="14" w:name="_Toc10738"/>
      <w:bookmarkStart w:id="15" w:name="_Toc27480"/>
      <w:bookmarkStart w:id="16" w:name="_Toc15135"/>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8" w:name="_Toc30918"/>
      <w:bookmarkStart w:id="19" w:name="_Toc6523"/>
      <w:bookmarkStart w:id="20" w:name="_Toc20287"/>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w:t>
      </w:r>
      <w:r>
        <w:rPr>
          <w:rFonts w:hint="eastAsia" w:ascii="宋体" w:hAnsi="宋体" w:cs="宋体"/>
          <w:color w:val="auto"/>
          <w:kern w:val="0"/>
          <w:sz w:val="21"/>
          <w:szCs w:val="21"/>
          <w:highlight w:val="none"/>
          <w:shd w:val="clear" w:color="auto" w:fill="FFFFFF"/>
          <w:lang w:val="en-US" w:eastAsia="zh-CN" w:bidi="ar-SA"/>
        </w:rPr>
        <w:t>院内</w:t>
      </w:r>
      <w:r>
        <w:rPr>
          <w:rFonts w:hint="eastAsia" w:ascii="宋体" w:hAnsi="宋体" w:eastAsia="宋体" w:cs="宋体"/>
          <w:color w:val="auto"/>
          <w:kern w:val="0"/>
          <w:sz w:val="21"/>
          <w:szCs w:val="21"/>
          <w:highlight w:val="none"/>
          <w:shd w:val="clear" w:color="auto" w:fill="FFFFFF"/>
          <w:lang w:val="en-US" w:eastAsia="zh-CN" w:bidi="ar-SA"/>
        </w:rPr>
        <w:t>网</w:t>
      </w:r>
      <w:r>
        <w:rPr>
          <w:rFonts w:hint="eastAsia" w:ascii="宋体" w:hAnsi="宋体" w:eastAsia="宋体" w:cs="宋体"/>
          <w:color w:val="auto"/>
          <w:sz w:val="21"/>
          <w:szCs w:val="21"/>
          <w:highlight w:val="none"/>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31928"/>
      <w:bookmarkStart w:id="27" w:name="_Toc16291"/>
      <w:bookmarkStart w:id="28" w:name="_Toc27370"/>
      <w:r>
        <w:rPr>
          <w:rFonts w:hint="eastAsia" w:ascii="宋体" w:hAnsi="宋体" w:cs="宋体"/>
          <w:b/>
          <w:bCs/>
          <w:color w:val="auto"/>
          <w:kern w:val="2"/>
          <w:sz w:val="21"/>
          <w:szCs w:val="21"/>
          <w:highlight w:val="none"/>
          <w:shd w:val="clear" w:color="auto" w:fill="FFFFFF"/>
          <w:lang w:val="en-US" w:eastAsia="zh-CN" w:bidi="ar-SA"/>
        </w:rPr>
        <w:t>七</w:t>
      </w:r>
      <w:r>
        <w:rPr>
          <w:rFonts w:hint="eastAsia" w:ascii="宋体" w:hAnsi="宋体" w:eastAsia="宋体" w:cs="宋体"/>
          <w:b/>
          <w:bCs/>
          <w:color w:val="auto"/>
          <w:kern w:val="2"/>
          <w:sz w:val="21"/>
          <w:szCs w:val="21"/>
          <w:highlight w:val="none"/>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zxyyjzcgbgs@163.com</w:t>
      </w:r>
      <w:r>
        <w:rPr>
          <w:rFonts w:hint="eastAsia" w:ascii="宋体" w:hAnsi="宋体" w:eastAsia="宋体" w:cs="宋体"/>
          <w:color w:val="auto"/>
          <w:kern w:val="0"/>
          <w:sz w:val="21"/>
          <w:szCs w:val="21"/>
          <w:highlight w:val="none"/>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监督电话：0396-2725435</w:t>
      </w:r>
    </w:p>
    <w:p>
      <w:pPr>
        <w:pStyle w:val="29"/>
        <w:rPr>
          <w:rFonts w:hint="eastAsia"/>
          <w:highlight w:val="none"/>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highlight w:val="none"/>
          <w:shd w:val="clear" w:color="auto" w:fill="FFFFFF"/>
          <w:lang w:val="en-US" w:eastAsia="zh-CN" w:bidi="ar-SA"/>
        </w:rPr>
        <w:t>2022年</w:t>
      </w:r>
      <w:r>
        <w:rPr>
          <w:rFonts w:hint="eastAsia" w:ascii="宋体" w:hAnsi="宋体" w:cs="宋体"/>
          <w:kern w:val="0"/>
          <w:sz w:val="21"/>
          <w:szCs w:val="21"/>
          <w:highlight w:val="none"/>
          <w:shd w:val="clear" w:color="auto" w:fill="FFFFFF"/>
          <w:lang w:val="en-US" w:eastAsia="zh-CN" w:bidi="ar-SA"/>
        </w:rPr>
        <w:t>8</w:t>
      </w:r>
      <w:r>
        <w:rPr>
          <w:rFonts w:hint="eastAsia" w:ascii="宋体" w:hAnsi="宋体" w:eastAsia="宋体" w:cs="宋体"/>
          <w:kern w:val="0"/>
          <w:sz w:val="21"/>
          <w:szCs w:val="21"/>
          <w:highlight w:val="none"/>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bookmarkEnd w:id="78"/>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23610"/>
      <w:bookmarkStart w:id="34" w:name="_Toc31536"/>
    </w:p>
    <w:bookmarkEnd w:id="32"/>
    <w:bookmarkEnd w:id="33"/>
    <w:bookmarkEnd w:id="34"/>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一、</w:t>
      </w:r>
      <w:r>
        <w:rPr>
          <w:rFonts w:hint="eastAsia" w:ascii="宋体" w:hAnsi="宋体" w:eastAsia="宋体" w:cs="宋体"/>
          <w:b/>
          <w:bCs/>
          <w:color w:val="000000"/>
          <w:kern w:val="0"/>
          <w:sz w:val="21"/>
          <w:szCs w:val="21"/>
          <w:highlight w:val="none"/>
          <w:lang w:val="en-US" w:eastAsia="zh-CN"/>
        </w:rPr>
        <w:t>项目名称、数量</w:t>
      </w:r>
      <w:r>
        <w:rPr>
          <w:rFonts w:ascii="宋体" w:hAnsi="宋体" w:cs="宋体"/>
          <w:b/>
          <w:bCs/>
          <w:color w:val="000000"/>
          <w:kern w:val="0"/>
          <w:sz w:val="21"/>
          <w:szCs w:val="21"/>
          <w:highlight w:val="none"/>
        </w:rPr>
        <w:t>：</w:t>
      </w:r>
      <w:r>
        <w:rPr>
          <w:rFonts w:hint="eastAsia" w:ascii="宋体" w:hAnsi="宋体" w:cs="宋体"/>
          <w:color w:val="auto"/>
          <w:szCs w:val="21"/>
          <w:highlight w:val="none"/>
          <w:shd w:val="clear" w:color="auto" w:fill="FFFFFF"/>
          <w:lang w:val="en-US" w:eastAsia="zh-CN"/>
        </w:rPr>
        <w:t>驻马店市中心医院新发热门诊楼雨水驳接工程三次</w:t>
      </w:r>
      <w:r>
        <w:rPr>
          <w:rFonts w:hint="eastAsia" w:ascii="宋体" w:hAnsi="宋体" w:cs="宋体"/>
          <w:b w:val="0"/>
          <w:bCs w:val="0"/>
          <w:color w:val="000000"/>
          <w:kern w:val="0"/>
          <w:sz w:val="21"/>
          <w:szCs w:val="21"/>
          <w:highlight w:val="none"/>
          <w:lang w:val="en-US" w:eastAsia="zh-CN"/>
        </w:rPr>
        <w:t>；</w:t>
      </w:r>
    </w:p>
    <w:p>
      <w:pPr>
        <w:widowControl/>
        <w:shd w:val="clear" w:color="auto" w:fill="FFFFFF"/>
        <w:spacing w:line="460" w:lineRule="atLeast"/>
        <w:ind w:firstLine="422" w:firstLineChars="200"/>
        <w:jc w:val="left"/>
        <w:rPr>
          <w:rFonts w:hint="eastAsia" w:ascii="宋体" w:hAnsi="宋体" w:cs="宋体"/>
          <w:b w:val="0"/>
          <w:bCs w:val="0"/>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本工程施工图纸(如有)、采购文件（含工程量清单）等包含的全部内容。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7"/>
        <w:gridCol w:w="1875"/>
        <w:gridCol w:w="17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序号</w:t>
            </w:r>
          </w:p>
        </w:tc>
        <w:tc>
          <w:tcPr>
            <w:tcW w:w="3357"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项目名称</w:t>
            </w:r>
          </w:p>
        </w:tc>
        <w:tc>
          <w:tcPr>
            <w:tcW w:w="1875"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数量或规模</w:t>
            </w:r>
          </w:p>
        </w:tc>
        <w:tc>
          <w:tcPr>
            <w:tcW w:w="1710" w:type="dxa"/>
            <w:tcBorders>
              <w:left w:val="nil"/>
              <w:bottom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资金预算</w:t>
            </w:r>
          </w:p>
        </w:tc>
        <w:tc>
          <w:tcPr>
            <w:tcW w:w="1664" w:type="dxa"/>
            <w:tcBorders>
              <w:left w:val="nil"/>
              <w:bottom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14"/>
              <w:jc w:val="center"/>
              <w:rPr>
                <w:rFonts w:hint="eastAsia" w:eastAsia="宋体"/>
                <w:sz w:val="21"/>
                <w:szCs w:val="21"/>
                <w:lang w:val="en-US" w:eastAsia="zh-CN"/>
              </w:rPr>
            </w:pPr>
            <w:r>
              <w:rPr>
                <w:rFonts w:hint="eastAsia" w:ascii="宋体" w:hAnsi="宋体"/>
                <w:sz w:val="24"/>
                <w:szCs w:val="24"/>
                <w:lang w:val="en-US" w:eastAsia="zh-CN"/>
              </w:rPr>
              <w:t>1</w:t>
            </w:r>
          </w:p>
        </w:tc>
        <w:tc>
          <w:tcPr>
            <w:tcW w:w="3357" w:type="dxa"/>
            <w:tcBorders>
              <w:top w:val="single" w:color="auto" w:sz="4" w:space="0"/>
              <w:left w:val="nil"/>
              <w:right w:val="single" w:color="auto" w:sz="4" w:space="0"/>
            </w:tcBorders>
            <w:vAlign w:val="center"/>
          </w:tcPr>
          <w:p>
            <w:pPr>
              <w:pStyle w:val="14"/>
              <w:ind w:left="0" w:leftChars="0" w:firstLine="0" w:firstLineChars="0"/>
              <w:jc w:val="center"/>
              <w:rPr>
                <w:rFonts w:hint="default"/>
                <w:sz w:val="21"/>
                <w:szCs w:val="21"/>
                <w:lang w:val="en-US" w:eastAsia="zh-CN"/>
              </w:rPr>
            </w:pPr>
            <w:r>
              <w:rPr>
                <w:rFonts w:hint="eastAsia" w:ascii="宋体" w:hAnsi="宋体"/>
                <w:sz w:val="24"/>
                <w:szCs w:val="24"/>
                <w:lang w:val="en-US" w:eastAsia="zh-CN"/>
              </w:rPr>
              <w:t>新发热门诊楼雨水驳接工程</w:t>
            </w:r>
          </w:p>
        </w:tc>
        <w:tc>
          <w:tcPr>
            <w:tcW w:w="1875" w:type="dxa"/>
            <w:tcBorders>
              <w:top w:val="single" w:color="auto" w:sz="4" w:space="0"/>
              <w:left w:val="nil"/>
              <w:right w:val="single" w:color="auto" w:sz="4" w:space="0"/>
            </w:tcBorders>
            <w:vAlign w:val="center"/>
          </w:tcPr>
          <w:p>
            <w:pPr>
              <w:pStyle w:val="14"/>
              <w:jc w:val="center"/>
              <w:rPr>
                <w:rFonts w:hint="eastAsia"/>
                <w:bCs/>
                <w:sz w:val="21"/>
                <w:szCs w:val="21"/>
                <w:lang w:val="en-US" w:eastAsia="zh-CN"/>
              </w:rPr>
            </w:pPr>
            <w:r>
              <w:rPr>
                <w:rFonts w:hint="eastAsia" w:ascii="宋体" w:hAnsi="宋体"/>
                <w:sz w:val="24"/>
                <w:szCs w:val="24"/>
                <w:lang w:val="en-US" w:eastAsia="zh-CN"/>
              </w:rPr>
              <w:t>详见清单</w:t>
            </w:r>
          </w:p>
        </w:tc>
        <w:tc>
          <w:tcPr>
            <w:tcW w:w="1710" w:type="dxa"/>
            <w:tcBorders>
              <w:top w:val="single" w:color="auto" w:sz="4" w:space="0"/>
              <w:left w:val="nil"/>
            </w:tcBorders>
            <w:vAlign w:val="center"/>
          </w:tcPr>
          <w:p>
            <w:pPr>
              <w:pStyle w:val="14"/>
              <w:ind w:left="0" w:leftChars="0" w:firstLine="0" w:firstLineChars="0"/>
              <w:jc w:val="center"/>
              <w:rPr>
                <w:rFonts w:hint="eastAsia"/>
                <w:bCs/>
                <w:sz w:val="21"/>
                <w:szCs w:val="21"/>
              </w:rPr>
            </w:pPr>
            <w:r>
              <w:rPr>
                <w:rFonts w:hint="eastAsia" w:ascii="宋体" w:hAnsi="宋体"/>
                <w:sz w:val="24"/>
                <w:szCs w:val="24"/>
                <w:lang w:val="en-US" w:eastAsia="zh-CN"/>
              </w:rPr>
              <w:t>54698元</w:t>
            </w:r>
          </w:p>
        </w:tc>
        <w:tc>
          <w:tcPr>
            <w:tcW w:w="1664" w:type="dxa"/>
            <w:tcBorders>
              <w:top w:val="single" w:color="auto" w:sz="4" w:space="0"/>
              <w:left w:val="nil"/>
            </w:tcBorders>
            <w:vAlign w:val="center"/>
          </w:tcPr>
          <w:p>
            <w:pPr>
              <w:pStyle w:val="14"/>
              <w:jc w:val="center"/>
              <w:rPr>
                <w:rFonts w:hint="eastAsia" w:ascii="宋体" w:hAnsi="宋体"/>
                <w:sz w:val="24"/>
                <w:szCs w:val="24"/>
                <w:lang w:val="en-US" w:eastAsia="zh-CN"/>
              </w:rPr>
            </w:pPr>
            <w:r>
              <w:rPr>
                <w:rFonts w:hint="eastAsia" w:ascii="宋体" w:hAnsi="宋体"/>
                <w:sz w:val="24"/>
                <w:szCs w:val="24"/>
                <w:lang w:val="en-US" w:eastAsia="zh-CN"/>
              </w:rPr>
              <w:t>自筹</w:t>
            </w:r>
          </w:p>
        </w:tc>
      </w:tr>
    </w:tbl>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三、</w:t>
      </w:r>
      <w:r>
        <w:rPr>
          <w:rFonts w:hint="eastAsia" w:ascii="宋体" w:hAnsi="宋体" w:eastAsia="宋体" w:cs="宋体"/>
          <w:b/>
          <w:bCs/>
          <w:color w:val="000000"/>
          <w:kern w:val="0"/>
          <w:sz w:val="21"/>
          <w:szCs w:val="21"/>
          <w:highlight w:val="none"/>
          <w:lang w:val="en-US" w:eastAsia="zh-CN" w:bidi="ar-SA"/>
        </w:rPr>
        <w:t>配置规格、附件及零配件（包括专用工具）：</w:t>
      </w:r>
      <w:r>
        <w:rPr>
          <w:rFonts w:hint="eastAsia" w:ascii="宋体" w:hAnsi="宋体" w:eastAsia="宋体" w:cs="宋体"/>
          <w:b w:val="0"/>
          <w:bCs w:val="0"/>
          <w:color w:val="000000"/>
          <w:kern w:val="0"/>
          <w:sz w:val="21"/>
          <w:szCs w:val="21"/>
          <w:highlight w:val="none"/>
          <w:lang w:val="en-US" w:eastAsia="zh-CN" w:bidi="ar-SA"/>
        </w:rPr>
        <w:t xml:space="preserve"> </w:t>
      </w:r>
    </w:p>
    <w:p>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 xml:space="preserve">①、详情见后附工程量清单。②、工期：合同签订后7日内；。                                                                        </w:t>
      </w:r>
    </w:p>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四、</w:t>
      </w:r>
      <w:r>
        <w:rPr>
          <w:rFonts w:hint="eastAsia" w:ascii="宋体" w:hAnsi="宋体" w:eastAsia="宋体" w:cs="宋体"/>
          <w:b/>
          <w:bCs/>
          <w:color w:val="000000"/>
          <w:kern w:val="0"/>
          <w:sz w:val="21"/>
          <w:szCs w:val="21"/>
          <w:highlight w:val="none"/>
          <w:lang w:val="en-US" w:eastAsia="zh-CN" w:bidi="ar-SA"/>
        </w:rPr>
        <w:t>售后服务条件及交货日期（或工期）：</w:t>
      </w:r>
    </w:p>
    <w:bookmarkEnd w:id="30"/>
    <w:bookmarkEnd w:id="31"/>
    <w:p>
      <w:pPr>
        <w:keepNext w:val="0"/>
        <w:keepLines w:val="0"/>
        <w:pageBreakBefore w:val="0"/>
        <w:kinsoku/>
        <w:wordWrap/>
        <w:overflowPunct/>
        <w:topLinePunct w:val="0"/>
        <w:autoSpaceDE/>
        <w:autoSpaceDN/>
        <w:bidi w:val="0"/>
        <w:adjustRightInd/>
        <w:snapToGrid w:val="0"/>
        <w:spacing w:line="360" w:lineRule="auto"/>
        <w:textAlignment w:val="auto"/>
        <w:rPr>
          <w:color w:val="auto"/>
          <w:sz w:val="32"/>
          <w:szCs w:val="32"/>
          <w:highlight w:val="none"/>
        </w:rPr>
      </w:pPr>
      <w:r>
        <w:rPr>
          <w:rFonts w:hint="eastAsia" w:ascii="宋体" w:hAnsi="宋体" w:eastAsia="宋体" w:cs="宋体"/>
          <w:b w:val="0"/>
          <w:bCs w:val="0"/>
          <w:color w:val="000000"/>
          <w:kern w:val="0"/>
          <w:sz w:val="21"/>
          <w:szCs w:val="21"/>
          <w:highlight w:val="none"/>
          <w:lang w:val="en-US" w:eastAsia="zh-CN" w:bidi="ar-SA"/>
        </w:rPr>
        <w:t xml:space="preserve"> 1、质保期壹年。2、工期：合同签订后7日内。 3、招标控制价及工程量清单的编制费用由成交方支付。</w:t>
      </w: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1.1 项目名称：</w:t>
            </w:r>
            <w:r>
              <w:rPr>
                <w:rFonts w:hint="eastAsia"/>
                <w:color w:val="auto"/>
                <w:highlight w:val="none"/>
                <w:lang w:val="en-US" w:eastAsia="zh-CN"/>
              </w:rPr>
              <w:t xml:space="preserve"> </w:t>
            </w:r>
            <w:r>
              <w:rPr>
                <w:rFonts w:hint="eastAsia" w:ascii="宋体" w:hAnsi="宋体" w:cs="宋体"/>
                <w:color w:val="auto"/>
                <w:szCs w:val="21"/>
                <w:highlight w:val="none"/>
                <w:shd w:val="clear" w:color="auto" w:fill="FFFFFF"/>
                <w:lang w:val="en-US" w:eastAsia="zh-CN"/>
              </w:rPr>
              <w:t>驻马店市中心医院新发热门诊楼雨水驳接工程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54698.00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54698.00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供应商</w:t>
      </w:r>
      <w:r>
        <w:rPr>
          <w:rFonts w:hint="eastAsia"/>
          <w:color w:val="auto"/>
          <w:lang w:val="en-US" w:eastAsia="zh-CN"/>
        </w:rPr>
        <w:t>须具有合格有效的企业安全生产许可证</w:t>
      </w:r>
      <w:r>
        <w:rPr>
          <w:rFonts w:hint="eastAsia" w:ascii="宋体" w:hAnsi="宋体" w:eastAsia="宋体" w:cs="宋体"/>
          <w:color w:val="auto"/>
          <w:kern w:val="2"/>
          <w:sz w:val="21"/>
          <w:szCs w:val="24"/>
          <w:lang w:val="en-US" w:eastAsia="zh-CN" w:bidi="ar-SA"/>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w:t>
      </w:r>
      <w:r>
        <w:rPr>
          <w:rFonts w:hint="eastAsia" w:ascii="宋体" w:hAnsi="宋体"/>
          <w:color w:val="auto"/>
          <w:szCs w:val="21"/>
          <w:highlight w:val="none"/>
          <w:lang w:val="en-US" w:eastAsia="zh-CN"/>
        </w:rPr>
        <w:t>工期</w:t>
      </w:r>
      <w:r>
        <w:rPr>
          <w:rFonts w:hint="eastAsia" w:ascii="宋体" w:hAnsi="宋体"/>
          <w:color w:val="auto"/>
          <w:szCs w:val="21"/>
          <w:highlight w:val="none"/>
        </w:rPr>
        <w:t>、质保期等不满足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工程质量</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56" w:name="_Toc24743"/>
      <w:bookmarkStart w:id="57" w:name="_Toc31798"/>
      <w:r>
        <w:rPr>
          <w:rFonts w:hint="eastAsia"/>
          <w:color w:val="auto"/>
          <w:highlight w:val="none"/>
        </w:rPr>
        <w:t>附件1               投标文件封面（格式）</w:t>
      </w:r>
      <w:bookmarkEnd w:id="56"/>
      <w:bookmarkEnd w:id="57"/>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cs="宋体"/>
          <w:b/>
          <w:snapToGrid w:val="0"/>
          <w:color w:val="auto"/>
          <w:spacing w:val="0"/>
          <w:kern w:val="0"/>
          <w:sz w:val="44"/>
          <w:szCs w:val="44"/>
          <w:highlight w:val="none"/>
          <w:u w:val="none"/>
          <w:lang w:val="en-US" w:eastAsia="zh-CN"/>
        </w:rPr>
        <w:t>驻马店市中心医院新发热门诊楼雨水驳接工程三次</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58" w:name="_Toc14560"/>
      <w:bookmarkStart w:id="59" w:name="_Toc8818"/>
      <w:r>
        <w:rPr>
          <w:rFonts w:hint="eastAsia"/>
          <w:color w:val="auto"/>
          <w:highlight w:val="none"/>
        </w:rPr>
        <w:t>附件2               投  标  书（格式）</w:t>
      </w:r>
      <w:bookmarkEnd w:id="58"/>
      <w:bookmarkEnd w:id="59"/>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0" w:name="_Toc7838"/>
      <w:r>
        <w:rPr>
          <w:rFonts w:hint="eastAsia"/>
          <w:color w:val="auto"/>
          <w:highlight w:val="none"/>
        </w:rPr>
        <w:t>附件3               开标一览表</w:t>
      </w:r>
      <w:bookmarkEnd w:id="60"/>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w:t>
      </w:r>
      <w:r>
        <w:rPr>
          <w:rFonts w:hint="eastAsia" w:ascii="宋体" w:hAnsi="宋体" w:cs="宋体"/>
          <w:color w:val="auto"/>
          <w:kern w:val="0"/>
          <w:szCs w:val="21"/>
          <w:highlight w:val="none"/>
          <w:lang w:val="en-US" w:eastAsia="zh-CN"/>
        </w:rPr>
        <w:t>已标价的工程量清单</w:t>
      </w:r>
      <w:r>
        <w:rPr>
          <w:rFonts w:hint="eastAsia" w:ascii="宋体" w:hAnsi="宋体" w:cs="宋体"/>
          <w:color w:val="auto"/>
          <w:kern w:val="0"/>
          <w:szCs w:val="21"/>
          <w:highlight w:val="none"/>
        </w:rPr>
        <w:t>”中的报价相一致。</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1" w:name="_Toc11620"/>
      <w:bookmarkStart w:id="62" w:name="_Toc20877"/>
      <w:r>
        <w:rPr>
          <w:rFonts w:hint="eastAsia" w:ascii="宋体" w:hAnsi="宋体"/>
          <w:color w:val="auto"/>
          <w:szCs w:val="21"/>
          <w:highlight w:val="none"/>
        </w:rPr>
        <w:t>投标人（全称并加盖公章）：</w:t>
      </w:r>
      <w:bookmarkEnd w:id="61"/>
      <w:bookmarkEnd w:id="6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3" w:name="_Toc625"/>
      <w:bookmarkStart w:id="64" w:name="_Toc12222"/>
      <w:r>
        <w:rPr>
          <w:rFonts w:hint="eastAsia" w:ascii="宋体" w:hAnsi="宋体"/>
          <w:color w:val="auto"/>
          <w:szCs w:val="21"/>
          <w:highlight w:val="none"/>
        </w:rPr>
        <w:t>法定代表人或其委托代理人（签字）：</w:t>
      </w:r>
      <w:bookmarkEnd w:id="63"/>
      <w:bookmarkEnd w:id="64"/>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5" w:name="_Toc9950"/>
      <w:bookmarkStart w:id="66" w:name="_Toc1330"/>
      <w:r>
        <w:rPr>
          <w:rFonts w:hint="eastAsia" w:ascii="宋体" w:hAnsi="宋体"/>
          <w:color w:val="auto"/>
          <w:szCs w:val="21"/>
          <w:highlight w:val="none"/>
        </w:rPr>
        <w:t>年  月  日</w:t>
      </w:r>
      <w:bookmarkEnd w:id="65"/>
      <w:bookmarkEnd w:id="66"/>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7" w:name="_Toc28621"/>
      <w:bookmarkStart w:id="68"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7"/>
      <w:bookmarkEnd w:id="68"/>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69" w:name="_Toc13976"/>
      <w:bookmarkStart w:id="70"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69"/>
      <w:bookmarkEnd w:id="70"/>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1" w:name="_Toc24693"/>
      <w:bookmarkStart w:id="72"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1"/>
      <w:bookmarkEnd w:id="72"/>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eastAsia="zh-CN"/>
        </w:rPr>
        <w:t>、</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w:t>
      </w:r>
      <w:r>
        <w:rPr>
          <w:rFonts w:hint="eastAsia"/>
          <w:bCs/>
          <w:color w:val="auto"/>
          <w:sz w:val="21"/>
          <w:szCs w:val="21"/>
          <w:highlight w:val="none"/>
        </w:rPr>
        <w:t>其他需要提供的证明材料</w:t>
      </w:r>
      <w:bookmarkStart w:id="73"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4、</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4" w:name="_Toc13726"/>
      <w:bookmarkStart w:id="75"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3"/>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4"/>
      <w:bookmarkEnd w:id="75"/>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6" w:name="_Toc23394"/>
      <w:bookmarkStart w:id="77" w:name="_Toc25094"/>
      <w:r>
        <w:rPr>
          <w:rFonts w:hint="eastAsia" w:ascii="宋体" w:hAnsi="宋体" w:cs="Lucida Sans Unicode"/>
          <w:b/>
          <w:color w:val="auto"/>
          <w:kern w:val="0"/>
          <w:sz w:val="24"/>
          <w:highlight w:val="none"/>
        </w:rPr>
        <w:t>投标人认为有必要的其他资料</w:t>
      </w:r>
      <w:bookmarkEnd w:id="76"/>
      <w:bookmarkEnd w:id="77"/>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shd w:val="clear" w:color="auto" w:fill="FFFFFF"/>
        <w:lang w:val="en-US" w:eastAsia="zh-CN"/>
      </w:rPr>
      <w:t>驻马店市中心医院新发热门诊楼雨水驳接工程三次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shd w:val="clear" w:color="auto" w:fill="FFFFFF"/>
        <w:lang w:val="en-US" w:eastAsia="zh-CN"/>
      </w:rPr>
      <w:t>驻马店市中心医院新发热门诊楼雨水驳接工程三次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7734BA"/>
    <w:rsid w:val="02890D36"/>
    <w:rsid w:val="02D92EF7"/>
    <w:rsid w:val="02DA4665"/>
    <w:rsid w:val="02F40325"/>
    <w:rsid w:val="031126C4"/>
    <w:rsid w:val="036A009A"/>
    <w:rsid w:val="03844805"/>
    <w:rsid w:val="03845791"/>
    <w:rsid w:val="03A011E9"/>
    <w:rsid w:val="03AE7F27"/>
    <w:rsid w:val="03BD2BCD"/>
    <w:rsid w:val="042308BC"/>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E16803"/>
    <w:rsid w:val="2EFD7DB9"/>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431791"/>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A188B"/>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12B2"/>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530BD3"/>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D43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13058</Words>
  <Characters>13706</Characters>
  <Lines>50</Lines>
  <Paragraphs>68</Paragraphs>
  <TotalTime>5</TotalTime>
  <ScaleCrop>false</ScaleCrop>
  <LinksUpToDate>false</LinksUpToDate>
  <CharactersWithSpaces>14513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2022-08-05T00:50:35Z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562A285641654D2EA086C4325B3B203C</vt:lpwstr>
  </property>
</Properties>
</file>