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r>
        <w:rPr>
          <w:rFonts w:hint="eastAsia" w:ascii="黑体" w:hAnsi="黑体" w:eastAsia="黑体" w:cs="宋体"/>
          <w:bCs/>
          <w:color w:val="auto"/>
          <w:kern w:val="0"/>
          <w:sz w:val="48"/>
          <w:szCs w:val="48"/>
          <w:lang w:eastAsia="zh-CN"/>
        </w:rPr>
        <w:t>驻马店市中心医院</w:t>
      </w:r>
      <w:r>
        <w:rPr>
          <w:rFonts w:hint="eastAsia" w:ascii="黑体" w:hAnsi="黑体" w:eastAsia="黑体" w:cs="宋体"/>
          <w:bCs/>
          <w:color w:val="auto"/>
          <w:kern w:val="0"/>
          <w:sz w:val="48"/>
          <w:szCs w:val="48"/>
          <w:lang w:val="en-US" w:eastAsia="zh-CN"/>
        </w:rPr>
        <w:t>输血科和GCP药房配备UPS电源采购</w:t>
      </w:r>
      <w:r>
        <w:rPr>
          <w:rFonts w:hint="eastAsia" w:ascii="黑体" w:hAnsi="黑体" w:eastAsia="黑体" w:cs="宋体"/>
          <w:bCs/>
          <w:color w:val="auto"/>
          <w:kern w:val="0"/>
          <w:sz w:val="48"/>
          <w:szCs w:val="48"/>
          <w:lang w:eastAsia="zh-CN"/>
        </w:rPr>
        <w:t>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2"/>
        <w:rPr>
          <w:rFonts w:hint="eastAsia"/>
          <w:color w:val="auto"/>
        </w:rPr>
      </w:pPr>
    </w:p>
    <w:p>
      <w:pPr>
        <w:pStyle w:val="58"/>
        <w:rPr>
          <w:rFonts w:hint="eastAsia" w:ascii="宋体" w:hAnsi="宋体" w:eastAsia="宋体" w:cs="宋体"/>
          <w:bCs/>
          <w:color w:val="auto"/>
          <w:sz w:val="2"/>
          <w:szCs w:val="2"/>
        </w:rPr>
      </w:pPr>
    </w:p>
    <w:p>
      <w:pPr>
        <w:rPr>
          <w:rFonts w:hint="eastAsia" w:ascii="宋体" w:hAnsi="宋体" w:eastAsia="宋体" w:cs="宋体"/>
          <w:bCs/>
          <w:color w:val="auto"/>
          <w:sz w:val="2"/>
          <w:szCs w:val="2"/>
        </w:rPr>
      </w:pPr>
    </w:p>
    <w:p>
      <w:pPr>
        <w:spacing w:line="20" w:lineRule="exact"/>
        <w:rPr>
          <w:rFonts w:hint="eastAsia" w:ascii="宋体" w:hAnsi="宋体" w:eastAsia="宋体" w:cs="宋体"/>
          <w:bCs/>
          <w:color w:val="auto"/>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2022</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07</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lang w:eastAsia="zh-CN"/>
        </w:rPr>
      </w:pPr>
      <w:r>
        <w:rPr>
          <w:rFonts w:hint="eastAsia" w:ascii="黑体" w:hAnsi="黑体" w:eastAsia="黑体" w:cs="宋体"/>
          <w:bCs/>
          <w:color w:val="auto"/>
          <w:kern w:val="0"/>
          <w:sz w:val="28"/>
          <w:szCs w:val="28"/>
          <w:lang w:eastAsia="zh-CN"/>
        </w:rPr>
        <w:t>驻马店市中心医院</w:t>
      </w:r>
      <w:r>
        <w:rPr>
          <w:rFonts w:hint="eastAsia" w:ascii="黑体" w:hAnsi="黑体" w:eastAsia="黑体" w:cs="宋体"/>
          <w:bCs/>
          <w:color w:val="auto"/>
          <w:kern w:val="0"/>
          <w:sz w:val="28"/>
          <w:szCs w:val="28"/>
          <w:lang w:val="en-US" w:eastAsia="zh-CN"/>
        </w:rPr>
        <w:t>输血科和GCP药房配备UPS电源采购</w:t>
      </w:r>
      <w:r>
        <w:rPr>
          <w:rFonts w:hint="eastAsia" w:ascii="黑体" w:hAnsi="黑体" w:eastAsia="黑体" w:cs="宋体"/>
          <w:bCs/>
          <w:color w:val="auto"/>
          <w:kern w:val="0"/>
          <w:sz w:val="28"/>
          <w:szCs w:val="28"/>
          <w:lang w:eastAsia="zh-CN"/>
        </w:rPr>
        <w:t>项目</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输血科和GCP药房配备UPS电源采购</w:t>
      </w:r>
      <w:r>
        <w:rPr>
          <w:rFonts w:hint="eastAsia" w:ascii="宋体" w:hAnsi="宋体" w:eastAsia="宋体" w:cs="宋体"/>
          <w:color w:val="auto"/>
          <w:u w:val="single"/>
          <w:lang w:eastAsia="zh-CN"/>
        </w:rPr>
        <w:t>项目</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lang w:eastAsia="zh-CN"/>
        </w:rPr>
        <w:t>驻马店市中心医院</w:t>
      </w:r>
      <w:r>
        <w:rPr>
          <w:rFonts w:hint="eastAsia" w:ascii="宋体" w:hAnsi="宋体" w:cs="宋体"/>
          <w:color w:val="auto"/>
          <w:lang w:val="en-US" w:eastAsia="zh-CN"/>
        </w:rPr>
        <w:t>输血科和GCP药房配备UPS电源采购</w:t>
      </w:r>
      <w:r>
        <w:rPr>
          <w:rFonts w:hint="eastAsia" w:ascii="宋体" w:hAnsi="宋体" w:cs="宋体"/>
          <w:color w:val="auto"/>
          <w:lang w:eastAsia="zh-CN"/>
        </w:rPr>
        <w:t>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8.3万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snapToGrid w:val="0"/>
        <w:spacing w:line="360" w:lineRule="auto"/>
        <w:ind w:firstLine="420" w:firstLineChars="200"/>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bookmarkStart w:id="4" w:name="_Toc19521"/>
      <w:bookmarkStart w:id="5" w:name="_Toc21071"/>
      <w:bookmarkStart w:id="6" w:name="_Toc24040"/>
      <w:bookmarkStart w:id="7" w:name="_Toc26079"/>
      <w:bookmarkStart w:id="8" w:name="_Toc27913"/>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w:t>
      </w:r>
      <w:r>
        <w:rPr>
          <w:rFonts w:hint="eastAsia" w:ascii="宋体" w:hAnsi="宋体" w:cs="宋体"/>
          <w:color w:val="000000"/>
          <w:kern w:val="0"/>
          <w:sz w:val="22"/>
          <w:szCs w:val="22"/>
        </w:rPr>
        <w:t>符合现行国家质量要求和行业有关标准</w:t>
      </w:r>
      <w:r>
        <w:rPr>
          <w:rFonts w:hint="eastAsia" w:ascii="宋体" w:hAnsi="宋体" w:eastAsia="宋体" w:cs="宋体"/>
          <w:color w:val="auto"/>
          <w:szCs w:val="21"/>
          <w:highlight w:val="none"/>
          <w:shd w:val="clear" w:color="auto" w:fill="FFFFFF"/>
          <w:lang w:eastAsia="zh-CN"/>
        </w:rPr>
        <w:t>。</w:t>
      </w:r>
    </w:p>
    <w:p>
      <w:pPr>
        <w:pStyle w:val="2"/>
        <w:ind w:firstLine="420" w:firstLineChars="200"/>
        <w:rPr>
          <w:rFonts w:hint="default"/>
          <w:lang w:val="en-US"/>
        </w:rPr>
      </w:pPr>
      <w:r>
        <w:rPr>
          <w:rFonts w:hint="eastAsia" w:ascii="宋体" w:hAnsi="宋体" w:cs="宋体"/>
          <w:color w:val="auto"/>
          <w:szCs w:val="21"/>
          <w:highlight w:val="none"/>
          <w:shd w:val="clear" w:color="auto" w:fill="FFFFFF"/>
          <w:lang w:val="en-US" w:eastAsia="zh-CN"/>
        </w:rPr>
        <w:t>6、交货日期：合同签订后20日内。</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9" w:name="_Toc27704"/>
      <w:bookmarkStart w:id="10" w:name="_Toc18607"/>
      <w:bookmarkStart w:id="11" w:name="_Toc23626"/>
      <w:bookmarkStart w:id="12"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w:t>
      </w:r>
      <w:r>
        <w:rPr>
          <w:rFonts w:hint="eastAsia" w:ascii="宋体" w:hAnsi="宋体" w:cs="宋体"/>
          <w:color w:val="auto"/>
          <w:kern w:val="2"/>
          <w:sz w:val="21"/>
          <w:szCs w:val="24"/>
          <w:lang w:val="en-US" w:eastAsia="zh-CN" w:bidi="ar-SA"/>
        </w:rPr>
        <w:t>2021年度</w:t>
      </w:r>
      <w:r>
        <w:rPr>
          <w:rFonts w:hint="eastAsia" w:ascii="宋体" w:hAnsi="宋体" w:eastAsia="宋体" w:cs="宋体"/>
          <w:color w:val="auto"/>
          <w:kern w:val="2"/>
          <w:sz w:val="21"/>
          <w:szCs w:val="24"/>
          <w:lang w:val="en-US" w:eastAsia="zh-CN" w:bidi="ar-SA"/>
        </w:rPr>
        <w:t>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3、具有履行合同所必需的设备和专业技术能力（提供书面声明函）；</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4、参加本采购活动前三年内，在经营活动中没有重大违法记录（提供书面声明函）；</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5、符合法律、行政法规规定的其他条件；</w:t>
      </w:r>
    </w:p>
    <w:p>
      <w:pPr>
        <w:widowControl w:val="0"/>
        <w:autoSpaceDE w:val="0"/>
        <w:autoSpaceDN w:val="0"/>
        <w:adjustRightInd w:val="0"/>
        <w:snapToGrid w:val="0"/>
        <w:spacing w:line="360" w:lineRule="auto"/>
        <w:ind w:firstLine="420" w:firstLineChars="200"/>
        <w:rPr>
          <w:rFonts w:hint="eastAsia"/>
          <w:color w:val="auto"/>
          <w:highlight w:val="none"/>
          <w:lang w:val="en-US" w:eastAsia="zh-CN"/>
        </w:rPr>
      </w:pPr>
      <w:r>
        <w:rPr>
          <w:rFonts w:hint="eastAsia" w:ascii="宋体" w:hAnsi="宋体" w:eastAsia="宋体" w:cs="宋体"/>
          <w:color w:val="auto"/>
          <w:kern w:val="2"/>
          <w:sz w:val="21"/>
          <w:szCs w:val="24"/>
          <w:highlight w:val="none"/>
          <w:lang w:val="en-US" w:eastAsia="zh-CN" w:bidi="ar-SA"/>
        </w:rPr>
        <w:t>6</w:t>
      </w:r>
      <w:r>
        <w:rPr>
          <w:rFonts w:hint="eastAsia"/>
          <w:color w:val="auto"/>
          <w:highlight w:val="none"/>
          <w:lang w:val="en-US" w:eastAsia="zh-CN"/>
        </w:rPr>
        <w:t>、投标人须具有良好的商业信誉和完善的售后服务体系，并具有承担本项目的供货及服务能力（出具承诺书，格式自拟）；</w:t>
      </w:r>
    </w:p>
    <w:p>
      <w:pPr>
        <w:widowControl w:val="0"/>
        <w:autoSpaceDE w:val="0"/>
        <w:autoSpaceDN w:val="0"/>
        <w:adjustRightInd w:val="0"/>
        <w:snapToGrid w:val="0"/>
        <w:spacing w:line="360" w:lineRule="auto"/>
        <w:ind w:firstLine="420" w:firstLineChars="200"/>
        <w:rPr>
          <w:rFonts w:hint="eastAsia"/>
          <w:color w:val="auto"/>
          <w:lang w:val="en-US" w:eastAsia="zh-CN"/>
        </w:rPr>
      </w:pPr>
      <w:r>
        <w:rPr>
          <w:rFonts w:hint="eastAsia"/>
          <w:color w:val="auto"/>
          <w:lang w:val="en-US" w:eastAsia="zh-CN"/>
        </w:rPr>
        <w:t>7、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widowControl w:val="0"/>
        <w:autoSpaceDE w:val="0"/>
        <w:autoSpaceDN w:val="0"/>
        <w:adjustRightInd w:val="0"/>
        <w:snapToGrid w:val="0"/>
        <w:spacing w:line="360" w:lineRule="auto"/>
        <w:ind w:firstLine="420" w:firstLineChars="200"/>
        <w:rPr>
          <w:rFonts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bookmarkStart w:id="13" w:name="_Toc30643"/>
      <w:bookmarkStart w:id="14" w:name="_Toc7823"/>
      <w:bookmarkStart w:id="15" w:name="_Toc30971"/>
      <w:bookmarkStart w:id="16" w:name="_Toc9562"/>
      <w:bookmarkStart w:id="17" w:name="_Toc23395"/>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w:t>
      </w:r>
      <w:r>
        <w:rPr>
          <w:rFonts w:hint="eastAsia" w:ascii="宋体" w:hAnsi="宋体" w:eastAsia="宋体" w:cs="宋体"/>
          <w:color w:val="auto"/>
          <w:szCs w:val="21"/>
          <w:highlight w:val="none"/>
          <w:shd w:val="clear" w:color="auto" w:fill="FFFFFF"/>
        </w:rPr>
        <w:t>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07</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13</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07</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15</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w:t>
      </w:r>
      <w:r>
        <w:rPr>
          <w:rFonts w:hint="eastAsia" w:ascii="宋体" w:hAnsi="宋体" w:cs="宋体"/>
          <w:color w:val="auto"/>
          <w:szCs w:val="21"/>
          <w:shd w:val="clear" w:color="auto" w:fill="FFFFFF"/>
          <w:lang w:val="en-US" w:eastAsia="zh-CN"/>
        </w:rPr>
        <w:t>1</w:t>
      </w:r>
      <w:r>
        <w:rPr>
          <w:rFonts w:hint="eastAsia" w:ascii="宋体" w:hAnsi="宋体" w:eastAsia="宋体" w:cs="宋体"/>
          <w:color w:val="auto"/>
          <w:szCs w:val="21"/>
          <w:shd w:val="clear" w:color="auto" w:fill="FFFFFF"/>
          <w:lang w:val="en-US" w:eastAsia="zh-CN"/>
        </w:rPr>
        <w:t>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2131538583@qq.com并标明XX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及投标保证金。</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7480"/>
      <w:bookmarkStart w:id="19" w:name="_Toc10738"/>
      <w:bookmarkStart w:id="20" w:name="_Toc15111"/>
      <w:bookmarkStart w:id="21" w:name="_Toc25869"/>
      <w:bookmarkStart w:id="22" w:name="_Toc15135"/>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29784"/>
      <w:bookmarkStart w:id="24" w:name="_Toc30918"/>
      <w:bookmarkStart w:id="25" w:name="_Toc20287"/>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27370"/>
      <w:bookmarkStart w:id="30" w:name="_Toc24274"/>
      <w:bookmarkStart w:id="31" w:name="_Toc31928"/>
      <w:bookmarkStart w:id="32" w:name="_Toc3604"/>
      <w:bookmarkStart w:id="33" w:name="_Toc16291"/>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报名联系人：李先生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联系电话：18595618752</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2"/>
        <w:rPr>
          <w:rFonts w:hint="eastAsia"/>
          <w:color w:val="auto"/>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pPr>
        <w:pStyle w:val="30"/>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shd w:val="clear" w:color="auto" w:fill="FFFFFF"/>
          <w:lang w:val="en-US" w:eastAsia="zh-CN" w:bidi="ar-SA"/>
        </w:rPr>
        <w:t>202</w:t>
      </w:r>
      <w:bookmarkStart w:id="91" w:name="_GoBack"/>
      <w:r>
        <w:rPr>
          <w:rFonts w:hint="eastAsia" w:ascii="宋体" w:hAnsi="宋体" w:eastAsia="宋体" w:cs="宋体"/>
          <w:color w:val="auto"/>
          <w:kern w:val="0"/>
          <w:sz w:val="21"/>
          <w:szCs w:val="21"/>
          <w:highlight w:val="none"/>
          <w:shd w:val="clear" w:color="auto" w:fill="FFFFFF"/>
          <w:lang w:val="en-US" w:eastAsia="zh-CN" w:bidi="ar-SA"/>
        </w:rPr>
        <w:t>2年0</w:t>
      </w:r>
      <w:r>
        <w:rPr>
          <w:rFonts w:hint="eastAsia" w:ascii="宋体" w:hAnsi="宋体" w:cs="宋体"/>
          <w:color w:val="auto"/>
          <w:kern w:val="0"/>
          <w:sz w:val="21"/>
          <w:szCs w:val="21"/>
          <w:highlight w:val="none"/>
          <w:shd w:val="clear" w:color="auto" w:fill="FFFFFF"/>
          <w:lang w:val="en-US" w:eastAsia="zh-CN" w:bidi="ar-SA"/>
        </w:rPr>
        <w:t>7</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12</w:t>
      </w:r>
      <w:r>
        <w:rPr>
          <w:rFonts w:hint="eastAsia" w:ascii="宋体" w:hAnsi="宋体" w:eastAsia="宋体" w:cs="宋体"/>
          <w:color w:val="auto"/>
          <w:kern w:val="0"/>
          <w:sz w:val="21"/>
          <w:szCs w:val="21"/>
          <w:highlight w:val="none"/>
          <w:shd w:val="clear" w:color="auto" w:fill="FFFFFF"/>
          <w:lang w:val="en-US" w:eastAsia="zh-CN" w:bidi="ar-SA"/>
        </w:rPr>
        <w:t>日</w:t>
      </w:r>
    </w:p>
    <w:bookmarkEnd w:id="91"/>
    <w:p>
      <w:pPr>
        <w:pStyle w:val="30"/>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31536"/>
      <w:bookmarkStart w:id="39" w:name="_Toc9989"/>
    </w:p>
    <w:bookmarkEnd w:id="37"/>
    <w:bookmarkEnd w:id="38"/>
    <w:bookmarkEnd w:id="39"/>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项目名称：</w:t>
      </w:r>
      <w:r>
        <w:rPr>
          <w:rFonts w:hint="eastAsia" w:ascii="宋体" w:hAnsi="宋体" w:cs="宋体"/>
          <w:color w:val="auto"/>
          <w:lang w:eastAsia="zh-CN"/>
        </w:rPr>
        <w:t>驻马店市中心医院</w:t>
      </w:r>
      <w:r>
        <w:rPr>
          <w:rFonts w:hint="eastAsia" w:ascii="宋体" w:hAnsi="宋体" w:cs="宋体"/>
          <w:color w:val="auto"/>
          <w:lang w:val="en-US" w:eastAsia="zh-CN"/>
        </w:rPr>
        <w:t>输血科和GCP药房配备UPS电源采购</w:t>
      </w:r>
      <w:r>
        <w:rPr>
          <w:rFonts w:hint="eastAsia" w:ascii="宋体" w:hAnsi="宋体" w:cs="宋体"/>
          <w:color w:val="auto"/>
          <w:lang w:eastAsia="zh-CN"/>
        </w:rPr>
        <w:t>项目</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kern w:val="2"/>
          <w:sz w:val="21"/>
          <w:szCs w:val="21"/>
          <w:highlight w:val="none"/>
          <w:lang w:val="en-US" w:eastAsia="zh-CN" w:bidi="ar-SA"/>
        </w:rPr>
        <w:t xml:space="preserve"> </w:t>
      </w:r>
    </w:p>
    <w:p>
      <w:pPr>
        <w:pStyle w:val="2"/>
        <w:ind w:left="0" w:leftChars="0" w:firstLine="0" w:firstLineChars="0"/>
        <w:rPr>
          <w:rFonts w:hint="eastAsia"/>
          <w:lang w:val="en-US" w:eastAsia="zh-CN"/>
        </w:rPr>
      </w:pPr>
      <w:r>
        <w:rPr>
          <w:rFonts w:hint="eastAsia"/>
          <w:lang w:val="en-US" w:eastAsia="zh-CN"/>
        </w:rPr>
        <w:t>项目用途说明：输血科冰箱和电脑按要求需配备UPS电源一台，GCP药房冷链冰箱按要求需配备UPS电源一台。</w:t>
      </w:r>
    </w:p>
    <w:tbl>
      <w:tblPr>
        <w:tblStyle w:val="33"/>
        <w:tblpPr w:leftFromText="180" w:rightFromText="180" w:vertAnchor="text" w:horzAnchor="page" w:tblpX="1334" w:tblpY="402"/>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250"/>
        <w:gridCol w:w="1920"/>
        <w:gridCol w:w="1155"/>
        <w:gridCol w:w="1260"/>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6"/>
              <w:widowControl w:val="0"/>
              <w:spacing w:line="360" w:lineRule="auto"/>
              <w:ind w:left="0" w:leftChars="0" w:firstLine="0" w:firstLineChars="0"/>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序号</w:t>
            </w:r>
          </w:p>
        </w:tc>
        <w:tc>
          <w:tcPr>
            <w:tcW w:w="2250" w:type="dxa"/>
            <w:vAlign w:val="center"/>
          </w:tcPr>
          <w:p>
            <w:pPr>
              <w:pStyle w:val="6"/>
              <w:widowControl w:val="0"/>
              <w:spacing w:line="360" w:lineRule="auto"/>
              <w:ind w:left="0" w:leftChars="0" w:firstLine="0" w:firstLineChars="0"/>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产品名称</w:t>
            </w:r>
          </w:p>
        </w:tc>
        <w:tc>
          <w:tcPr>
            <w:tcW w:w="1920" w:type="dxa"/>
            <w:vAlign w:val="center"/>
          </w:tcPr>
          <w:p>
            <w:pPr>
              <w:pStyle w:val="6"/>
              <w:widowControl w:val="0"/>
              <w:spacing w:line="360" w:lineRule="auto"/>
              <w:ind w:left="0" w:leftChars="0" w:firstLine="0" w:firstLineChars="0"/>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型号</w:t>
            </w:r>
          </w:p>
        </w:tc>
        <w:tc>
          <w:tcPr>
            <w:tcW w:w="1155" w:type="dxa"/>
            <w:vAlign w:val="center"/>
          </w:tcPr>
          <w:p>
            <w:pPr>
              <w:pStyle w:val="6"/>
              <w:widowControl w:val="0"/>
              <w:spacing w:line="360" w:lineRule="auto"/>
              <w:ind w:left="0" w:leftChars="0" w:firstLine="0" w:firstLineChars="0"/>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单位</w:t>
            </w:r>
          </w:p>
        </w:tc>
        <w:tc>
          <w:tcPr>
            <w:tcW w:w="1260" w:type="dxa"/>
            <w:vAlign w:val="center"/>
          </w:tcPr>
          <w:p>
            <w:pPr>
              <w:pStyle w:val="6"/>
              <w:widowControl w:val="0"/>
              <w:spacing w:line="360" w:lineRule="auto"/>
              <w:ind w:left="0" w:leftChars="0" w:firstLine="0" w:firstLineChars="0"/>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数量</w:t>
            </w:r>
          </w:p>
        </w:tc>
        <w:tc>
          <w:tcPr>
            <w:tcW w:w="1965" w:type="dxa"/>
            <w:vAlign w:val="center"/>
          </w:tcPr>
          <w:p>
            <w:pPr>
              <w:pStyle w:val="6"/>
              <w:widowControl w:val="0"/>
              <w:spacing w:line="360" w:lineRule="auto"/>
              <w:ind w:left="0" w:leftChars="0" w:firstLine="0" w:firstLineChars="0"/>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0" w:type="dxa"/>
            <w:gridSpan w:val="6"/>
            <w:vAlign w:val="center"/>
          </w:tcPr>
          <w:p>
            <w:pPr>
              <w:pStyle w:val="6"/>
              <w:widowControl w:val="0"/>
              <w:spacing w:line="360" w:lineRule="auto"/>
              <w:ind w:left="0" w:leftChars="0" w:firstLine="0" w:firstLineChars="0"/>
              <w:jc w:val="center"/>
              <w:rPr>
                <w:rFonts w:hint="default" w:ascii="Times New Roman" w:hAnsi="Times New Roman" w:cs="Times New Roman"/>
                <w:sz w:val="24"/>
                <w:szCs w:val="24"/>
                <w:vertAlign w:val="baseline"/>
                <w:lang w:val="en-US" w:eastAsia="zh-CN"/>
              </w:rPr>
            </w:pPr>
            <w:r>
              <w:rPr>
                <w:rFonts w:hint="eastAsia" w:cs="Times New Roman"/>
                <w:sz w:val="24"/>
                <w:szCs w:val="24"/>
                <w:vertAlign w:val="baseline"/>
                <w:lang w:val="en-US" w:eastAsia="zh-CN"/>
              </w:rPr>
              <w:t>一、输血科配备UPS电源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2250" w:type="dxa"/>
            <w:vAlign w:val="center"/>
          </w:tcPr>
          <w:p>
            <w:pPr>
              <w:keepNext w:val="0"/>
              <w:keepLines w:val="0"/>
              <w:widowControl/>
              <w:suppressLineNumbers w:val="0"/>
              <w:spacing w:line="360" w:lineRule="auto"/>
              <w:jc w:val="center"/>
              <w:textAlignment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主机</w:t>
            </w:r>
          </w:p>
        </w:tc>
        <w:tc>
          <w:tcPr>
            <w:tcW w:w="192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r>
              <w:rPr>
                <w:rFonts w:hint="default" w:ascii="宋体" w:hAnsi="宋体" w:eastAsia="宋体" w:cs="宋体"/>
                <w:i w:val="0"/>
                <w:iCs w:val="0"/>
                <w:color w:val="000000"/>
                <w:kern w:val="0"/>
                <w:sz w:val="24"/>
                <w:szCs w:val="24"/>
                <w:u w:val="none"/>
                <w:lang w:val="en-US" w:eastAsia="zh-CN" w:bidi="ar"/>
              </w:rPr>
              <w:t>K</w:t>
            </w:r>
          </w:p>
        </w:tc>
        <w:tc>
          <w:tcPr>
            <w:tcW w:w="1155" w:type="dxa"/>
            <w:vAlign w:val="center"/>
          </w:tcPr>
          <w:p>
            <w:pPr>
              <w:keepNext w:val="0"/>
              <w:keepLines w:val="0"/>
              <w:widowControl/>
              <w:suppressLineNumbers w:val="0"/>
              <w:spacing w:line="360" w:lineRule="auto"/>
              <w:jc w:val="center"/>
              <w:textAlignment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126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1965" w:type="dxa"/>
            <w:vAlign w:val="center"/>
          </w:tcPr>
          <w:p>
            <w:pPr>
              <w:keepNext w:val="0"/>
              <w:keepLines w:val="0"/>
              <w:widowControl/>
              <w:suppressLineNumbers w:val="0"/>
              <w:spacing w:line="360" w:lineRule="auto"/>
              <w:jc w:val="center"/>
              <w:textAlignment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医疗专用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p>
        </w:tc>
        <w:tc>
          <w:tcPr>
            <w:tcW w:w="2250" w:type="dxa"/>
            <w:vAlign w:val="center"/>
          </w:tcPr>
          <w:p>
            <w:pPr>
              <w:keepNext w:val="0"/>
              <w:keepLines w:val="0"/>
              <w:widowControl/>
              <w:suppressLineNumbers w:val="0"/>
              <w:spacing w:line="360" w:lineRule="auto"/>
              <w:jc w:val="center"/>
              <w:textAlignment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蓄电池</w:t>
            </w:r>
          </w:p>
        </w:tc>
        <w:tc>
          <w:tcPr>
            <w:tcW w:w="192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12V</w:t>
            </w:r>
            <w:r>
              <w:rPr>
                <w:rFonts w:hint="eastAsia" w:ascii="宋体" w:hAnsi="宋体" w:eastAsia="宋体" w:cs="宋体"/>
                <w:i w:val="0"/>
                <w:iCs w:val="0"/>
                <w:color w:val="000000"/>
                <w:kern w:val="0"/>
                <w:sz w:val="24"/>
                <w:szCs w:val="24"/>
                <w:u w:val="none"/>
                <w:lang w:val="en-US" w:eastAsia="zh-CN" w:bidi="ar"/>
              </w:rPr>
              <w:t>8</w:t>
            </w:r>
            <w:r>
              <w:rPr>
                <w:rFonts w:hint="default" w:ascii="宋体" w:hAnsi="宋体" w:eastAsia="宋体" w:cs="宋体"/>
                <w:i w:val="0"/>
                <w:iCs w:val="0"/>
                <w:color w:val="000000"/>
                <w:kern w:val="0"/>
                <w:sz w:val="24"/>
                <w:szCs w:val="24"/>
                <w:u w:val="none"/>
                <w:lang w:val="en-US" w:eastAsia="zh-CN" w:bidi="ar"/>
              </w:rPr>
              <w:t>0AH</w:t>
            </w:r>
          </w:p>
        </w:tc>
        <w:tc>
          <w:tcPr>
            <w:tcW w:w="1155" w:type="dxa"/>
            <w:vAlign w:val="center"/>
          </w:tcPr>
          <w:p>
            <w:pPr>
              <w:keepNext w:val="0"/>
              <w:keepLines w:val="0"/>
              <w:widowControl/>
              <w:suppressLineNumbers w:val="0"/>
              <w:spacing w:line="360" w:lineRule="auto"/>
              <w:jc w:val="center"/>
              <w:textAlignment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126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16</w:t>
            </w:r>
          </w:p>
        </w:tc>
        <w:tc>
          <w:tcPr>
            <w:tcW w:w="1965" w:type="dxa"/>
            <w:vAlign w:val="center"/>
          </w:tcPr>
          <w:p>
            <w:pPr>
              <w:keepNext w:val="0"/>
              <w:keepLines w:val="0"/>
              <w:widowControl/>
              <w:suppressLineNumbers w:val="0"/>
              <w:spacing w:line="360" w:lineRule="auto"/>
              <w:jc w:val="center"/>
              <w:textAlignment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医疗专用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w:t>
            </w:r>
          </w:p>
        </w:tc>
        <w:tc>
          <w:tcPr>
            <w:tcW w:w="225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电气安全监控系统</w:t>
            </w:r>
          </w:p>
        </w:tc>
        <w:tc>
          <w:tcPr>
            <w:tcW w:w="192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GD-02</w:t>
            </w:r>
          </w:p>
        </w:tc>
        <w:tc>
          <w:tcPr>
            <w:tcW w:w="1155"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6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1965" w:type="dxa"/>
            <w:vAlign w:val="center"/>
          </w:tcPr>
          <w:p>
            <w:pPr>
              <w:pStyle w:val="6"/>
              <w:widowControl w:val="0"/>
              <w:spacing w:line="360" w:lineRule="auto"/>
              <w:ind w:left="0" w:leftChars="0" w:firstLine="0" w:firstLineChars="0"/>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w:t>
            </w:r>
          </w:p>
        </w:tc>
        <w:tc>
          <w:tcPr>
            <w:tcW w:w="225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电池架</w:t>
            </w:r>
          </w:p>
        </w:tc>
        <w:tc>
          <w:tcPr>
            <w:tcW w:w="192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C-16</w:t>
            </w:r>
          </w:p>
        </w:tc>
        <w:tc>
          <w:tcPr>
            <w:tcW w:w="1155" w:type="dxa"/>
            <w:vAlign w:val="center"/>
          </w:tcPr>
          <w:p>
            <w:pPr>
              <w:keepNext w:val="0"/>
              <w:keepLines w:val="0"/>
              <w:widowControl/>
              <w:suppressLineNumbers w:val="0"/>
              <w:spacing w:line="360" w:lineRule="auto"/>
              <w:jc w:val="center"/>
              <w:textAlignment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126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1965" w:type="dxa"/>
            <w:vAlign w:val="center"/>
          </w:tcPr>
          <w:p>
            <w:pPr>
              <w:pStyle w:val="6"/>
              <w:widowControl w:val="0"/>
              <w:spacing w:line="360" w:lineRule="auto"/>
              <w:ind w:left="0" w:leftChars="0" w:firstLine="0" w:firstLineChars="0"/>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w:t>
            </w:r>
          </w:p>
        </w:tc>
        <w:tc>
          <w:tcPr>
            <w:tcW w:w="2250" w:type="dxa"/>
            <w:vAlign w:val="center"/>
          </w:tcPr>
          <w:p>
            <w:pPr>
              <w:keepNext w:val="0"/>
              <w:keepLines w:val="0"/>
              <w:widowControl/>
              <w:suppressLineNumbers w:val="0"/>
              <w:spacing w:line="360" w:lineRule="auto"/>
              <w:jc w:val="center"/>
              <w:textAlignment w:val="center"/>
              <w:rPr>
                <w:rFonts w:hint="default"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电池连接线</w:t>
            </w:r>
          </w:p>
        </w:tc>
        <w:tc>
          <w:tcPr>
            <w:tcW w:w="192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10mm²</w:t>
            </w:r>
          </w:p>
        </w:tc>
        <w:tc>
          <w:tcPr>
            <w:tcW w:w="1155" w:type="dxa"/>
            <w:vAlign w:val="center"/>
          </w:tcPr>
          <w:p>
            <w:pPr>
              <w:keepNext w:val="0"/>
              <w:keepLines w:val="0"/>
              <w:widowControl/>
              <w:suppressLineNumbers w:val="0"/>
              <w:spacing w:line="360" w:lineRule="auto"/>
              <w:jc w:val="center"/>
              <w:textAlignment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126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1965" w:type="dxa"/>
            <w:vAlign w:val="center"/>
          </w:tcPr>
          <w:p>
            <w:pPr>
              <w:pStyle w:val="6"/>
              <w:widowControl w:val="0"/>
              <w:spacing w:line="360" w:lineRule="auto"/>
              <w:ind w:left="0" w:leftChars="0" w:firstLine="0" w:firstLineChars="0"/>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w:t>
            </w:r>
          </w:p>
        </w:tc>
        <w:tc>
          <w:tcPr>
            <w:tcW w:w="2250" w:type="dxa"/>
            <w:vAlign w:val="center"/>
          </w:tcPr>
          <w:p>
            <w:pPr>
              <w:keepNext w:val="0"/>
              <w:keepLines w:val="0"/>
              <w:widowControl/>
              <w:suppressLineNumbers w:val="0"/>
              <w:spacing w:line="360" w:lineRule="auto"/>
              <w:jc w:val="center"/>
              <w:textAlignment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输入输出线缆</w:t>
            </w:r>
          </w:p>
        </w:tc>
        <w:tc>
          <w:tcPr>
            <w:tcW w:w="192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10mm²</w:t>
            </w:r>
          </w:p>
        </w:tc>
        <w:tc>
          <w:tcPr>
            <w:tcW w:w="1155" w:type="dxa"/>
            <w:vAlign w:val="center"/>
          </w:tcPr>
          <w:p>
            <w:pPr>
              <w:keepNext w:val="0"/>
              <w:keepLines w:val="0"/>
              <w:widowControl/>
              <w:suppressLineNumbers w:val="0"/>
              <w:spacing w:line="360" w:lineRule="auto"/>
              <w:jc w:val="center"/>
              <w:textAlignment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126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1965" w:type="dxa"/>
            <w:vAlign w:val="center"/>
          </w:tcPr>
          <w:p>
            <w:pPr>
              <w:pStyle w:val="6"/>
              <w:widowControl w:val="0"/>
              <w:spacing w:line="360" w:lineRule="auto"/>
              <w:ind w:left="0" w:leftChars="0" w:firstLine="0" w:firstLineChars="0"/>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w:t>
            </w:r>
          </w:p>
        </w:tc>
        <w:tc>
          <w:tcPr>
            <w:tcW w:w="2250" w:type="dxa"/>
            <w:vAlign w:val="center"/>
          </w:tcPr>
          <w:p>
            <w:pPr>
              <w:keepNext w:val="0"/>
              <w:keepLines w:val="0"/>
              <w:widowControl/>
              <w:suppressLineNumbers w:val="0"/>
              <w:spacing w:line="360" w:lineRule="auto"/>
              <w:jc w:val="center"/>
              <w:textAlignment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安装调试</w:t>
            </w:r>
          </w:p>
        </w:tc>
        <w:tc>
          <w:tcPr>
            <w:tcW w:w="192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w:t>
            </w:r>
          </w:p>
        </w:tc>
        <w:tc>
          <w:tcPr>
            <w:tcW w:w="1155" w:type="dxa"/>
            <w:vAlign w:val="center"/>
          </w:tcPr>
          <w:p>
            <w:pPr>
              <w:keepNext w:val="0"/>
              <w:keepLines w:val="0"/>
              <w:widowControl/>
              <w:suppressLineNumbers w:val="0"/>
              <w:spacing w:line="360" w:lineRule="auto"/>
              <w:jc w:val="center"/>
              <w:textAlignment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次</w:t>
            </w:r>
          </w:p>
        </w:tc>
        <w:tc>
          <w:tcPr>
            <w:tcW w:w="126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1965" w:type="dxa"/>
            <w:vAlign w:val="center"/>
          </w:tcPr>
          <w:p>
            <w:pPr>
              <w:pStyle w:val="6"/>
              <w:widowControl w:val="0"/>
              <w:spacing w:line="360" w:lineRule="auto"/>
              <w:ind w:left="0" w:leftChars="0" w:firstLine="0" w:firstLineChars="0"/>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0" w:type="dxa"/>
            <w:gridSpan w:val="6"/>
            <w:vAlign w:val="center"/>
          </w:tcPr>
          <w:p>
            <w:pPr>
              <w:pStyle w:val="6"/>
              <w:widowControl w:val="0"/>
              <w:spacing w:line="360" w:lineRule="auto"/>
              <w:ind w:left="0" w:leftChars="0" w:firstLine="0" w:firstLineChars="0"/>
              <w:jc w:val="center"/>
              <w:rPr>
                <w:rFonts w:hint="default" w:ascii="Times New Roman" w:hAnsi="Times New Roman" w:cs="Times New Roman"/>
                <w:sz w:val="24"/>
                <w:szCs w:val="24"/>
                <w:vertAlign w:val="baseline"/>
                <w:lang w:val="en-US" w:eastAsia="zh-CN"/>
              </w:rPr>
            </w:pPr>
            <w:r>
              <w:rPr>
                <w:rFonts w:hint="eastAsia" w:cs="Times New Roman"/>
                <w:sz w:val="24"/>
                <w:szCs w:val="24"/>
                <w:vertAlign w:val="baseline"/>
                <w:lang w:val="en-US" w:eastAsia="zh-CN"/>
              </w:rPr>
              <w:t>二、GCP药房配备UPS电源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2250" w:type="dxa"/>
            <w:vAlign w:val="center"/>
          </w:tcPr>
          <w:p>
            <w:pPr>
              <w:keepNext w:val="0"/>
              <w:keepLines w:val="0"/>
              <w:widowControl/>
              <w:suppressLineNumbers w:val="0"/>
              <w:spacing w:line="360" w:lineRule="auto"/>
              <w:jc w:val="center"/>
              <w:textAlignment w:val="center"/>
              <w:rPr>
                <w:rFonts w:hint="eastAsia"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主机</w:t>
            </w:r>
          </w:p>
        </w:tc>
        <w:tc>
          <w:tcPr>
            <w:tcW w:w="192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10K</w:t>
            </w:r>
          </w:p>
        </w:tc>
        <w:tc>
          <w:tcPr>
            <w:tcW w:w="1155" w:type="dxa"/>
            <w:vAlign w:val="center"/>
          </w:tcPr>
          <w:p>
            <w:pPr>
              <w:keepNext w:val="0"/>
              <w:keepLines w:val="0"/>
              <w:widowControl/>
              <w:suppressLineNumbers w:val="0"/>
              <w:spacing w:line="360" w:lineRule="auto"/>
              <w:jc w:val="center"/>
              <w:textAlignment w:val="center"/>
              <w:rPr>
                <w:rFonts w:hint="eastAsia"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126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1965" w:type="dxa"/>
            <w:vAlign w:val="center"/>
          </w:tcPr>
          <w:p>
            <w:pPr>
              <w:keepNext w:val="0"/>
              <w:keepLines w:val="0"/>
              <w:widowControl/>
              <w:suppressLineNumbers w:val="0"/>
              <w:spacing w:line="360" w:lineRule="auto"/>
              <w:jc w:val="center"/>
              <w:textAlignment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医疗专用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p>
        </w:tc>
        <w:tc>
          <w:tcPr>
            <w:tcW w:w="2250" w:type="dxa"/>
            <w:vAlign w:val="center"/>
          </w:tcPr>
          <w:p>
            <w:pPr>
              <w:keepNext w:val="0"/>
              <w:keepLines w:val="0"/>
              <w:widowControl/>
              <w:suppressLineNumbers w:val="0"/>
              <w:spacing w:line="360" w:lineRule="auto"/>
              <w:jc w:val="center"/>
              <w:textAlignment w:val="center"/>
              <w:rPr>
                <w:rFonts w:hint="eastAsia"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蓄电池</w:t>
            </w:r>
          </w:p>
        </w:tc>
        <w:tc>
          <w:tcPr>
            <w:tcW w:w="192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12V150AH</w:t>
            </w:r>
          </w:p>
        </w:tc>
        <w:tc>
          <w:tcPr>
            <w:tcW w:w="1155" w:type="dxa"/>
            <w:vAlign w:val="center"/>
          </w:tcPr>
          <w:p>
            <w:pPr>
              <w:keepNext w:val="0"/>
              <w:keepLines w:val="0"/>
              <w:widowControl/>
              <w:suppressLineNumbers w:val="0"/>
              <w:spacing w:line="360" w:lineRule="auto"/>
              <w:jc w:val="center"/>
              <w:textAlignment w:val="center"/>
              <w:rPr>
                <w:rFonts w:hint="eastAsia"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126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16</w:t>
            </w:r>
          </w:p>
        </w:tc>
        <w:tc>
          <w:tcPr>
            <w:tcW w:w="1965" w:type="dxa"/>
            <w:vAlign w:val="center"/>
          </w:tcPr>
          <w:p>
            <w:pPr>
              <w:keepNext w:val="0"/>
              <w:keepLines w:val="0"/>
              <w:widowControl/>
              <w:suppressLineNumbers w:val="0"/>
              <w:spacing w:line="360" w:lineRule="auto"/>
              <w:jc w:val="center"/>
              <w:textAlignment w:val="center"/>
              <w:rPr>
                <w:rFonts w:hint="default"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医疗专用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w:t>
            </w:r>
          </w:p>
        </w:tc>
        <w:tc>
          <w:tcPr>
            <w:tcW w:w="225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电气安全监控系统</w:t>
            </w:r>
          </w:p>
        </w:tc>
        <w:tc>
          <w:tcPr>
            <w:tcW w:w="192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GD-02</w:t>
            </w:r>
          </w:p>
        </w:tc>
        <w:tc>
          <w:tcPr>
            <w:tcW w:w="1155"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6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1965" w:type="dxa"/>
            <w:vAlign w:val="center"/>
          </w:tcPr>
          <w:p>
            <w:pPr>
              <w:pStyle w:val="6"/>
              <w:widowControl w:val="0"/>
              <w:spacing w:line="360" w:lineRule="auto"/>
              <w:ind w:left="0" w:leftChars="0" w:firstLine="0" w:firstLineChars="0"/>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w:t>
            </w:r>
          </w:p>
        </w:tc>
        <w:tc>
          <w:tcPr>
            <w:tcW w:w="225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电池架</w:t>
            </w:r>
          </w:p>
        </w:tc>
        <w:tc>
          <w:tcPr>
            <w:tcW w:w="192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C-16</w:t>
            </w:r>
          </w:p>
        </w:tc>
        <w:tc>
          <w:tcPr>
            <w:tcW w:w="1155" w:type="dxa"/>
            <w:vAlign w:val="center"/>
          </w:tcPr>
          <w:p>
            <w:pPr>
              <w:keepNext w:val="0"/>
              <w:keepLines w:val="0"/>
              <w:widowControl/>
              <w:suppressLineNumbers w:val="0"/>
              <w:spacing w:line="360" w:lineRule="auto"/>
              <w:jc w:val="center"/>
              <w:textAlignment w:val="center"/>
              <w:rPr>
                <w:rFonts w:hint="eastAsia"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126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1965" w:type="dxa"/>
            <w:vAlign w:val="center"/>
          </w:tcPr>
          <w:p>
            <w:pPr>
              <w:pStyle w:val="6"/>
              <w:widowControl w:val="0"/>
              <w:spacing w:line="360" w:lineRule="auto"/>
              <w:ind w:left="0" w:leftChars="0" w:firstLine="0" w:firstLineChars="0"/>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w:t>
            </w:r>
          </w:p>
        </w:tc>
        <w:tc>
          <w:tcPr>
            <w:tcW w:w="2250" w:type="dxa"/>
            <w:vAlign w:val="center"/>
          </w:tcPr>
          <w:p>
            <w:pPr>
              <w:keepNext w:val="0"/>
              <w:keepLines w:val="0"/>
              <w:widowControl/>
              <w:suppressLineNumbers w:val="0"/>
              <w:spacing w:line="360" w:lineRule="auto"/>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电池连接线</w:t>
            </w:r>
          </w:p>
        </w:tc>
        <w:tc>
          <w:tcPr>
            <w:tcW w:w="192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25mm²</w:t>
            </w:r>
          </w:p>
        </w:tc>
        <w:tc>
          <w:tcPr>
            <w:tcW w:w="1155" w:type="dxa"/>
            <w:vAlign w:val="center"/>
          </w:tcPr>
          <w:p>
            <w:pPr>
              <w:keepNext w:val="0"/>
              <w:keepLines w:val="0"/>
              <w:widowControl/>
              <w:suppressLineNumbers w:val="0"/>
              <w:spacing w:line="360" w:lineRule="auto"/>
              <w:jc w:val="center"/>
              <w:textAlignment w:val="center"/>
              <w:rPr>
                <w:rFonts w:hint="eastAsia"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126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1965" w:type="dxa"/>
            <w:vAlign w:val="center"/>
          </w:tcPr>
          <w:p>
            <w:pPr>
              <w:pStyle w:val="6"/>
              <w:widowControl w:val="0"/>
              <w:spacing w:line="360" w:lineRule="auto"/>
              <w:ind w:left="0" w:leftChars="0" w:firstLine="0" w:firstLineChars="0"/>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w:t>
            </w:r>
          </w:p>
        </w:tc>
        <w:tc>
          <w:tcPr>
            <w:tcW w:w="2250" w:type="dxa"/>
            <w:vAlign w:val="center"/>
          </w:tcPr>
          <w:p>
            <w:pPr>
              <w:keepNext w:val="0"/>
              <w:keepLines w:val="0"/>
              <w:widowControl/>
              <w:suppressLineNumbers w:val="0"/>
              <w:spacing w:line="360" w:lineRule="auto"/>
              <w:jc w:val="center"/>
              <w:textAlignment w:val="center"/>
              <w:rPr>
                <w:rFonts w:hint="eastAsia"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输入输出线缆</w:t>
            </w:r>
          </w:p>
        </w:tc>
        <w:tc>
          <w:tcPr>
            <w:tcW w:w="192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25mm²</w:t>
            </w:r>
          </w:p>
        </w:tc>
        <w:tc>
          <w:tcPr>
            <w:tcW w:w="1155" w:type="dxa"/>
            <w:vAlign w:val="center"/>
          </w:tcPr>
          <w:p>
            <w:pPr>
              <w:keepNext w:val="0"/>
              <w:keepLines w:val="0"/>
              <w:widowControl/>
              <w:suppressLineNumbers w:val="0"/>
              <w:spacing w:line="360" w:lineRule="auto"/>
              <w:jc w:val="center"/>
              <w:textAlignment w:val="center"/>
              <w:rPr>
                <w:rFonts w:hint="eastAsia"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126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1965" w:type="dxa"/>
            <w:vAlign w:val="center"/>
          </w:tcPr>
          <w:p>
            <w:pPr>
              <w:pStyle w:val="6"/>
              <w:widowControl w:val="0"/>
              <w:spacing w:line="360" w:lineRule="auto"/>
              <w:ind w:left="0" w:leftChars="0" w:firstLine="0" w:firstLineChars="0"/>
              <w:jc w:val="center"/>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w:t>
            </w:r>
          </w:p>
        </w:tc>
        <w:tc>
          <w:tcPr>
            <w:tcW w:w="2250" w:type="dxa"/>
            <w:vAlign w:val="center"/>
          </w:tcPr>
          <w:p>
            <w:pPr>
              <w:keepNext w:val="0"/>
              <w:keepLines w:val="0"/>
              <w:widowControl/>
              <w:suppressLineNumbers w:val="0"/>
              <w:spacing w:line="360" w:lineRule="auto"/>
              <w:jc w:val="center"/>
              <w:textAlignment w:val="center"/>
              <w:rPr>
                <w:rFonts w:hint="eastAsia"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安装调试</w:t>
            </w:r>
          </w:p>
        </w:tc>
        <w:tc>
          <w:tcPr>
            <w:tcW w:w="192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w:t>
            </w:r>
          </w:p>
        </w:tc>
        <w:tc>
          <w:tcPr>
            <w:tcW w:w="1155" w:type="dxa"/>
            <w:vAlign w:val="center"/>
          </w:tcPr>
          <w:p>
            <w:pPr>
              <w:keepNext w:val="0"/>
              <w:keepLines w:val="0"/>
              <w:widowControl/>
              <w:suppressLineNumbers w:val="0"/>
              <w:spacing w:line="360" w:lineRule="auto"/>
              <w:jc w:val="center"/>
              <w:textAlignment w:val="center"/>
              <w:rPr>
                <w:rFonts w:hint="eastAsia" w:asciiTheme="minorHAnsi" w:hAnsiTheme="minorHAnsi" w:eastAsiaTheme="minorEastAsia" w:cstheme="minorBidi"/>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次</w:t>
            </w:r>
          </w:p>
        </w:tc>
        <w:tc>
          <w:tcPr>
            <w:tcW w:w="1260" w:type="dxa"/>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1965" w:type="dxa"/>
            <w:vAlign w:val="center"/>
          </w:tcPr>
          <w:p>
            <w:pPr>
              <w:pStyle w:val="6"/>
              <w:widowControl w:val="0"/>
              <w:spacing w:line="360" w:lineRule="auto"/>
              <w:ind w:left="0" w:leftChars="0" w:firstLine="0" w:firstLineChars="0"/>
              <w:jc w:val="center"/>
              <w:rPr>
                <w:rFonts w:hint="default" w:ascii="Times New Roman" w:hAnsi="Times New Roman" w:cs="Times New Roman"/>
                <w:sz w:val="24"/>
                <w:szCs w:val="24"/>
                <w:vertAlign w:val="baseline"/>
                <w:lang w:val="en-US" w:eastAsia="zh-CN"/>
              </w:rPr>
            </w:pPr>
          </w:p>
        </w:tc>
      </w:tr>
    </w:tbl>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p>
    <w:p>
      <w:pPr>
        <w:pStyle w:val="5"/>
        <w:numPr>
          <w:ilvl w:val="0"/>
          <w:numId w:val="0"/>
        </w:numPr>
        <w:spacing w:after="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二、详细技术要求、参数及产品资料等：</w:t>
      </w:r>
    </w:p>
    <w:p>
      <w:pPr>
        <w:pStyle w:val="5"/>
        <w:jc w:val="left"/>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 xml:space="preserve">、附技术偏离表、评分标准、产品彩页、相关证明文件                                                       </w:t>
      </w:r>
    </w:p>
    <w:p>
      <w:pPr>
        <w:pStyle w:val="5"/>
        <w:numPr>
          <w:ilvl w:val="0"/>
          <w:numId w:val="0"/>
        </w:numPr>
        <w:spacing w:after="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三、售后服务条件及交货日期（或工期）：</w:t>
      </w:r>
    </w:p>
    <w:p>
      <w:pPr>
        <w:widowControl/>
        <w:adjustRightInd w:val="0"/>
        <w:snapToGrid w:val="0"/>
        <w:spacing w:line="360" w:lineRule="auto"/>
        <w:jc w:val="left"/>
        <w:rPr>
          <w:rFonts w:ascii="宋体" w:hAnsi="宋体"/>
          <w:color w:val="auto"/>
          <w:sz w:val="28"/>
          <w:szCs w:val="28"/>
          <w:u w:val="single"/>
        </w:rPr>
      </w:pPr>
      <w:r>
        <w:rPr>
          <w:rFonts w:hint="eastAsia" w:ascii="宋体" w:hAnsi="宋体" w:eastAsia="宋体" w:cs="宋体"/>
          <w:color w:val="auto"/>
          <w:kern w:val="2"/>
          <w:sz w:val="21"/>
          <w:szCs w:val="21"/>
          <w:highlight w:val="none"/>
          <w:lang w:val="en-US" w:eastAsia="zh-CN" w:bidi="ar-SA"/>
        </w:rPr>
        <w:t xml:space="preserve"> 1、质保期36个月；2、交货日期：合同签订后20日内。  </w:t>
      </w:r>
      <w:r>
        <w:rPr>
          <w:rFonts w:hint="eastAsia" w:ascii="宋体" w:hAnsi="宋体" w:eastAsia="宋体" w:cs="宋体"/>
          <w:color w:val="auto"/>
          <w:szCs w:val="21"/>
          <w:highlight w:val="none"/>
        </w:rPr>
        <w:t xml:space="preserve"> </w:t>
      </w:r>
    </w:p>
    <w:p>
      <w:pPr>
        <w:rPr>
          <w:color w:val="auto"/>
        </w:rPr>
      </w:pPr>
    </w:p>
    <w:p>
      <w:pPr>
        <w:jc w:val="center"/>
        <w:rPr>
          <w:rFonts w:hint="eastAsia"/>
          <w:sz w:val="36"/>
          <w:szCs w:val="44"/>
          <w:lang w:val="en-US" w:eastAsia="zh-CN"/>
        </w:rPr>
      </w:pPr>
      <w:r>
        <w:rPr>
          <w:rFonts w:hint="eastAsia" w:ascii="宋体" w:hAnsi="宋体" w:eastAsia="宋体" w:cs="宋体"/>
          <w:color w:val="auto"/>
          <w:kern w:val="2"/>
          <w:sz w:val="21"/>
          <w:szCs w:val="24"/>
          <w:lang w:val="en-US" w:eastAsia="zh-CN" w:bidi="ar-SA"/>
        </w:rPr>
        <w:br w:type="page"/>
      </w:r>
      <w:r>
        <w:rPr>
          <w:rFonts w:hint="eastAsia"/>
          <w:sz w:val="36"/>
          <w:szCs w:val="44"/>
          <w:lang w:val="en-US" w:eastAsia="zh-CN"/>
        </w:rPr>
        <w:t>产品技术参数</w:t>
      </w:r>
    </w:p>
    <w:tbl>
      <w:tblPr>
        <w:tblStyle w:val="32"/>
        <w:tblW w:w="9846" w:type="dxa"/>
        <w:jc w:val="center"/>
        <w:tblLayout w:type="fixed"/>
        <w:tblCellMar>
          <w:top w:w="0" w:type="dxa"/>
          <w:left w:w="0" w:type="dxa"/>
          <w:bottom w:w="0" w:type="dxa"/>
          <w:right w:w="0" w:type="dxa"/>
        </w:tblCellMar>
      </w:tblPr>
      <w:tblGrid>
        <w:gridCol w:w="551"/>
        <w:gridCol w:w="938"/>
        <w:gridCol w:w="8357"/>
      </w:tblGrid>
      <w:tr>
        <w:tblPrEx>
          <w:tblCellMar>
            <w:top w:w="0" w:type="dxa"/>
            <w:left w:w="0" w:type="dxa"/>
            <w:bottom w:w="0" w:type="dxa"/>
            <w:right w:w="0" w:type="dxa"/>
          </w:tblCellMar>
        </w:tblPrEx>
        <w:trPr>
          <w:trHeight w:val="634" w:hRule="atLeast"/>
          <w:jc w:val="center"/>
        </w:trPr>
        <w:tc>
          <w:tcPr>
            <w:tcW w:w="551" w:type="dxa"/>
            <w:tcBorders>
              <w:top w:val="single" w:color="000000" w:sz="8" w:space="0"/>
              <w:left w:val="single" w:color="000000" w:sz="8" w:space="0"/>
              <w:bottom w:val="single" w:color="000000" w:sz="8" w:space="0"/>
              <w:right w:val="single" w:color="000000" w:sz="8" w:space="0"/>
            </w:tcBorders>
            <w:shd w:val="clear" w:color="auto" w:fill="FFFFFF" w:themeFill="background1"/>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b w:val="0"/>
                <w:bCs/>
                <w:color w:val="000000"/>
                <w:kern w:val="0"/>
                <w:szCs w:val="21"/>
                <w:lang w:val="en-US" w:eastAsia="zh-CN"/>
              </w:rPr>
            </w:pPr>
            <w:r>
              <w:rPr>
                <w:rFonts w:hint="eastAsia" w:ascii="宋体" w:hAnsi="宋体" w:cs="宋体"/>
                <w:b w:val="0"/>
                <w:bCs/>
                <w:color w:val="000000"/>
                <w:kern w:val="0"/>
                <w:szCs w:val="21"/>
                <w:lang w:val="en-US" w:eastAsia="zh-CN"/>
              </w:rPr>
              <w:t>序号</w:t>
            </w:r>
          </w:p>
        </w:tc>
        <w:tc>
          <w:tcPr>
            <w:tcW w:w="938" w:type="dxa"/>
            <w:tcBorders>
              <w:top w:val="single" w:color="000000" w:sz="8" w:space="0"/>
              <w:left w:val="nil"/>
              <w:bottom w:val="single" w:color="000000" w:sz="8" w:space="0"/>
              <w:right w:val="single" w:color="000000" w:sz="8" w:space="0"/>
            </w:tcBorders>
            <w:shd w:val="clear" w:color="auto" w:fill="FFFFFF" w:themeFill="background1"/>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b w:val="0"/>
                <w:bCs/>
                <w:color w:val="000000"/>
                <w:kern w:val="0"/>
                <w:szCs w:val="21"/>
                <w:lang w:val="en-US" w:eastAsia="zh-CN"/>
              </w:rPr>
            </w:pPr>
            <w:r>
              <w:rPr>
                <w:rFonts w:hint="eastAsia" w:ascii="宋体" w:hAnsi="宋体" w:cs="宋体"/>
                <w:b w:val="0"/>
                <w:bCs/>
                <w:color w:val="000000"/>
                <w:kern w:val="0"/>
                <w:szCs w:val="21"/>
                <w:lang w:val="en-US" w:eastAsia="zh-CN"/>
              </w:rPr>
              <w:t>产品</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b w:val="0"/>
                <w:bCs/>
                <w:color w:val="000000"/>
                <w:kern w:val="0"/>
                <w:szCs w:val="21"/>
                <w:lang w:val="en-US" w:eastAsia="zh-CN"/>
              </w:rPr>
            </w:pPr>
            <w:r>
              <w:rPr>
                <w:rFonts w:hint="eastAsia" w:ascii="宋体" w:hAnsi="宋体" w:cs="宋体"/>
                <w:b w:val="0"/>
                <w:bCs/>
                <w:color w:val="000000"/>
                <w:kern w:val="0"/>
                <w:szCs w:val="21"/>
                <w:lang w:val="en-US" w:eastAsia="zh-CN"/>
              </w:rPr>
              <w:t>名称</w:t>
            </w:r>
          </w:p>
        </w:tc>
        <w:tc>
          <w:tcPr>
            <w:tcW w:w="8357" w:type="dxa"/>
            <w:tcBorders>
              <w:top w:val="single" w:color="000000" w:sz="8" w:space="0"/>
              <w:left w:val="nil"/>
              <w:bottom w:val="single" w:color="000000" w:sz="8" w:space="0"/>
              <w:right w:val="single" w:color="000000" w:sz="8" w:space="0"/>
            </w:tcBorders>
            <w:shd w:val="clear" w:color="auto" w:fill="FFFFFF" w:themeFill="background1"/>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b w:val="0"/>
                <w:bCs/>
                <w:color w:val="000000"/>
                <w:kern w:val="0"/>
                <w:szCs w:val="21"/>
                <w:lang w:val="en-US" w:eastAsia="zh-CN"/>
              </w:rPr>
            </w:pPr>
            <w:r>
              <w:rPr>
                <w:rFonts w:hint="eastAsia" w:ascii="宋体" w:hAnsi="宋体" w:cs="宋体"/>
                <w:b w:val="0"/>
                <w:bCs/>
                <w:color w:val="000000"/>
                <w:kern w:val="0"/>
                <w:szCs w:val="21"/>
                <w:lang w:val="en-US" w:eastAsia="zh-CN"/>
              </w:rPr>
              <w:t>技术参数要求</w:t>
            </w:r>
          </w:p>
        </w:tc>
      </w:tr>
      <w:tr>
        <w:tblPrEx>
          <w:tblCellMar>
            <w:top w:w="0" w:type="dxa"/>
            <w:left w:w="0" w:type="dxa"/>
            <w:bottom w:w="0" w:type="dxa"/>
            <w:right w:w="0" w:type="dxa"/>
          </w:tblCellMar>
        </w:tblPrEx>
        <w:trPr>
          <w:trHeight w:val="464" w:hRule="atLeast"/>
          <w:jc w:val="center"/>
        </w:trPr>
        <w:tc>
          <w:tcPr>
            <w:tcW w:w="984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宋体" w:hAnsi="宋体" w:cs="宋体"/>
                <w:b w:val="0"/>
                <w:bCs/>
                <w:color w:val="000000"/>
                <w:kern w:val="0"/>
                <w:szCs w:val="21"/>
                <w:lang w:val="en-US" w:eastAsia="zh-CN"/>
              </w:rPr>
            </w:pPr>
            <w:r>
              <w:rPr>
                <w:rFonts w:hint="eastAsia" w:ascii="宋体" w:hAnsi="宋体" w:cs="宋体"/>
                <w:b w:val="0"/>
                <w:bCs/>
                <w:color w:val="000000"/>
                <w:kern w:val="0"/>
                <w:szCs w:val="21"/>
                <w:lang w:val="en-US" w:eastAsia="zh-CN"/>
              </w:rPr>
              <w:t>一、输血科配备UPS电源</w:t>
            </w:r>
          </w:p>
        </w:tc>
      </w:tr>
      <w:tr>
        <w:tblPrEx>
          <w:tblCellMar>
            <w:top w:w="0" w:type="dxa"/>
            <w:left w:w="0" w:type="dxa"/>
            <w:bottom w:w="0" w:type="dxa"/>
            <w:right w:w="0" w:type="dxa"/>
          </w:tblCellMar>
        </w:tblPrEx>
        <w:trPr>
          <w:trHeight w:val="90" w:hRule="atLeast"/>
          <w:jc w:val="center"/>
        </w:trPr>
        <w:tc>
          <w:tcPr>
            <w:tcW w:w="551"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eastAsia" w:ascii="宋体" w:hAnsi="宋体" w:eastAsia="宋体" w:cs="宋体"/>
                <w:b w:val="0"/>
                <w:bCs/>
                <w:color w:val="000000"/>
                <w:kern w:val="0"/>
                <w:szCs w:val="21"/>
                <w:lang w:val="en-US" w:eastAsia="zh-CN"/>
              </w:rPr>
            </w:pPr>
            <w:r>
              <w:rPr>
                <w:rFonts w:hint="eastAsia" w:ascii="宋体" w:hAnsi="宋体" w:cs="宋体"/>
                <w:b w:val="0"/>
                <w:bCs/>
                <w:color w:val="000000"/>
                <w:kern w:val="0"/>
                <w:szCs w:val="21"/>
                <w:lang w:val="en-US" w:eastAsia="zh-CN"/>
              </w:rPr>
              <w:t>1</w:t>
            </w:r>
          </w:p>
        </w:tc>
        <w:tc>
          <w:tcPr>
            <w:tcW w:w="938"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UPS</w:t>
            </w:r>
          </w:p>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eastAsia" w:ascii="宋体" w:hAnsi="宋体" w:eastAsia="宋体" w:cs="宋体"/>
                <w:b w:val="0"/>
                <w:bCs/>
                <w:i w:val="0"/>
                <w:iCs w:val="0"/>
                <w:color w:val="003366"/>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主机</w:t>
            </w:r>
          </w:p>
        </w:tc>
        <w:tc>
          <w:tcPr>
            <w:tcW w:w="8357"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Style w:val="89"/>
                <w:rFonts w:hint="eastAsia" w:eastAsia="宋体"/>
                <w:lang w:eastAsia="zh-CN"/>
              </w:rPr>
            </w:pPr>
            <w:r>
              <w:rPr>
                <w:rFonts w:hint="eastAsia" w:eastAsia="宋体" w:cs="Times New Roman"/>
                <w:lang w:val="en-US" w:eastAsia="zh-CN"/>
              </w:rPr>
              <w:t>1</w:t>
            </w:r>
            <w:r>
              <w:rPr>
                <w:rFonts w:hint="default" w:eastAsia="宋体" w:cs="Times New Roman"/>
                <w:lang w:val="en-US" w:eastAsia="zh-CN"/>
              </w:rPr>
              <w:t>、</w:t>
            </w:r>
            <w:r>
              <w:rPr>
                <w:rStyle w:val="89"/>
                <w:rFonts w:hint="default"/>
              </w:rPr>
              <w:t>UPS额定容量</w:t>
            </w:r>
            <w:r>
              <w:rPr>
                <w:rStyle w:val="89"/>
                <w:rFonts w:hint="eastAsia" w:eastAsia="宋体"/>
                <w:lang w:val="en-US" w:eastAsia="zh-CN"/>
              </w:rPr>
              <w:t>6</w:t>
            </w:r>
            <w:r>
              <w:rPr>
                <w:rStyle w:val="89"/>
                <w:rFonts w:hint="default"/>
              </w:rPr>
              <w:t>KVA</w:t>
            </w:r>
            <w:r>
              <w:rPr>
                <w:rStyle w:val="89"/>
                <w:rFonts w:hint="eastAsia" w:eastAsia="宋体"/>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 xml:space="preserve">2、UPS符合IEC 62040-3标准的双变换电路结构；UPS相关功能组件和相应开关，必须使用断路器或负荷开关。 </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3、UPS至少包含1个整流器和1个逆变器，1个静态旁路、1个主输入开关，1个静态旁路输入开关，1个输出开关和1个维修旁路开关。</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4、设备需实现全数化控制，输出电压和电流应用复合控制策略，实现动态调节，减小输出电压失真，输出波形质量高，负载特性好。</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5、</w:t>
            </w:r>
            <w:r>
              <w:rPr>
                <w:rFonts w:hint="eastAsia"/>
                <w:sz w:val="21"/>
                <w:szCs w:val="21"/>
                <w:lang w:val="en-US" w:eastAsia="zh-CN"/>
              </w:rPr>
              <w:t>采用工业级强力高速离心风机散热，智能化调速</w:t>
            </w:r>
            <w:r>
              <w:rPr>
                <w:rFonts w:hint="eastAsia"/>
                <w:lang w:val="en-US"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6、具有输入、输出的过压和欠压保护、相序检测、电池过充过放保护、输出过载短路保护和温度过高保护等保护和报警功能，并设有EPO紧急关断按钮。</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7、具备Wi-Fi功能，使用手机或平板电脑进行操控，可调整整流和逆变等相关参数，操作与控制范围在距本机≤100m。</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8、ECO节能模式下效率≥97%。</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9、6脉冲整流若加配功率因数校正模块，输入功率因数≥0.95。</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10、</w:t>
            </w:r>
            <w:r>
              <w:rPr>
                <w:rFonts w:hint="eastAsia" w:ascii="宋体" w:hAnsi="宋体" w:cs="宋体"/>
                <w:color w:val="000000"/>
                <w:kern w:val="0"/>
                <w:szCs w:val="21"/>
              </w:rPr>
              <w:t>配备智能化电池管理功能，可对电池组进行无风险标准和深度放电检测，具有充电电压温度补偿，电池放电终止电压智能调节，电池极性反接保护和告警，电池定期自动放电激活，自动设定充电电流等功能</w:t>
            </w:r>
            <w:r>
              <w:rPr>
                <w:rFonts w:hint="eastAsia"/>
                <w:lang w:val="en-US"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11、具备GCI并网运行功能，设计与电网并联的PWM逆变器(Grid connected inverter)控制系统。</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12、人机界面采用液晶触摸屏。</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13、平均无故障工作时间≥45万小时。</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14、落地式，底部含360度方向轮（可以拆装）。</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15、操作开关：整流开关、电池开关、旁路开关、输出开关维修开关均采用断路器。</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16、输入特性：</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（1）电压范围，不低于(-15%~+20%)；</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（2）宽频率输入范围(50Hz±10%)；</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（3）PFC技术，无须附加外接设备，输入功率因数≥0.98；</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（4）PFC技术，无须附加外接设备，输入电流谐波(THDI&lt;5%)，功率100KVA以上时，为&lt;3%。</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17、输出特性：</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（1）输出功率因数≥0.8；</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（2）输出电压，输出THDU≥2%，≤5%；</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（3）具有带三相100%不平衡负载的能力；</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（4）过载能力及抗冲击能力；150%时</w:t>
            </w:r>
            <w:r>
              <w:rPr>
                <w:rFonts w:hint="default" w:ascii="Arial" w:hAnsi="Arial" w:cs="Arial"/>
                <w:lang w:val="en-US" w:eastAsia="zh-CN"/>
              </w:rPr>
              <w:t>≥</w:t>
            </w:r>
            <w:r>
              <w:rPr>
                <w:rFonts w:hint="eastAsia"/>
                <w:lang w:val="en-US" w:eastAsia="zh-CN"/>
              </w:rPr>
              <w:t>10秒钟，125%时</w:t>
            </w:r>
            <w:r>
              <w:rPr>
                <w:rFonts w:hint="default" w:ascii="Arial" w:hAnsi="Arial" w:cs="Arial"/>
                <w:lang w:val="en-US" w:eastAsia="zh-CN"/>
              </w:rPr>
              <w:t>≥</w:t>
            </w:r>
            <w:r>
              <w:rPr>
                <w:rFonts w:hint="eastAsia"/>
                <w:lang w:val="en-US" w:eastAsia="zh-CN"/>
              </w:rPr>
              <w:t>2分钟。</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18、监控管理：</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（1）支持无线监控功能RS232、RS485、R244、MODEM多种后台通讯方式；</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（2）UPS标配SNMP网络管理卡；</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（3）系统具有电池放电终止预告警和自动安全关机功能；</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（4）兼容10M/100M以太网，支持SNMP、HTTP等协议，监控软件具备电源事件记录和分析功能，组网方案，可实现在Internet/Intranet上的远程监控。</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19、</w:t>
            </w:r>
            <w:r>
              <w:rPr>
                <w:rStyle w:val="89"/>
                <w:rFonts w:hint="default"/>
              </w:rPr>
              <w:t>面板显示为触控液晶显示屏，可显示UPS的运行参数、历史记录和整机工作状态；并具有修改显示界面</w:t>
            </w:r>
            <w:r>
              <w:rPr>
                <w:rStyle w:val="89"/>
                <w:rFonts w:hint="eastAsia" w:eastAsia="宋体"/>
                <w:lang w:eastAsia="zh-CN"/>
              </w:rPr>
              <w:t>，</w:t>
            </w:r>
            <w:r>
              <w:rPr>
                <w:rStyle w:val="89"/>
                <w:rFonts w:hint="default"/>
              </w:rPr>
              <w:t>可根据要求现场更改显示语言种类</w:t>
            </w:r>
            <w:r>
              <w:rPr>
                <w:rStyle w:val="89"/>
                <w:rFonts w:hint="eastAsia" w:eastAsia="宋体"/>
                <w:lang w:eastAsia="zh-CN"/>
              </w:rPr>
              <w:t>，</w:t>
            </w:r>
            <w:r>
              <w:rPr>
                <w:rStyle w:val="89"/>
                <w:rFonts w:hint="default"/>
              </w:rPr>
              <w:t>能够记录</w:t>
            </w:r>
            <w:r>
              <w:rPr>
                <w:rStyle w:val="89"/>
                <w:rFonts w:hint="default" w:ascii="Arial" w:hAnsi="Arial" w:cs="Arial"/>
              </w:rPr>
              <w:t>≥</w:t>
            </w:r>
            <w:r>
              <w:rPr>
                <w:rStyle w:val="89"/>
                <w:rFonts w:hint="default"/>
              </w:rPr>
              <w:t>10000条的历史记录，故障信息需有：市电停电、电池低压、整流器异常、逆变器异常等。</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b w:val="0"/>
                <w:bCs w:val="0"/>
                <w:color w:val="auto"/>
                <w:kern w:val="0"/>
                <w:lang w:eastAsia="zh-CN"/>
              </w:rPr>
            </w:pPr>
            <w:r>
              <w:rPr>
                <w:rFonts w:hint="eastAsia" w:ascii="宋体" w:hAnsi="宋体" w:cs="宋体"/>
                <w:b w:val="0"/>
                <w:bCs w:val="0"/>
                <w:color w:val="auto"/>
                <w:kern w:val="0"/>
              </w:rPr>
              <w:t>投标人须提供所投主机设备制造商如下证书：</w:t>
            </w:r>
            <w:r>
              <w:rPr>
                <w:rFonts w:hint="eastAsia" w:ascii="宋体" w:hAnsi="宋体" w:cs="宋体"/>
                <w:b w:val="0"/>
                <w:bCs w:val="0"/>
                <w:color w:val="auto"/>
                <w:kern w:val="0"/>
                <w:lang w:eastAsia="zh-CN"/>
              </w:rPr>
              <w:t>（</w:t>
            </w:r>
            <w:r>
              <w:rPr>
                <w:rFonts w:hint="eastAsia" w:ascii="宋体" w:hAnsi="宋体" w:cs="宋体"/>
                <w:b w:val="0"/>
                <w:bCs w:val="0"/>
                <w:color w:val="auto"/>
                <w:kern w:val="0"/>
              </w:rPr>
              <w:t>提供复印件并加盖制造商公章</w:t>
            </w:r>
            <w:r>
              <w:rPr>
                <w:rFonts w:hint="eastAsia" w:ascii="宋体" w:hAnsi="宋体" w:cs="宋体"/>
                <w:b w:val="0"/>
                <w:bCs w:val="0"/>
                <w:color w:val="auto"/>
                <w:kern w:val="0"/>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lang w:val="en-US" w:eastAsia="zh-CN"/>
              </w:rPr>
            </w:pPr>
            <w:r>
              <w:rPr>
                <w:rFonts w:hint="eastAsia" w:ascii="宋体" w:hAnsi="宋体" w:cs="宋体"/>
                <w:b w:val="0"/>
                <w:bCs w:val="0"/>
                <w:color w:val="auto"/>
                <w:kern w:val="0"/>
              </w:rPr>
              <w:t>①节能认证证书</w:t>
            </w:r>
            <w:r>
              <w:rPr>
                <w:rFonts w:hint="eastAsia" w:ascii="宋体" w:hAnsi="宋体" w:cs="宋体"/>
                <w:b w:val="0"/>
                <w:bCs w:val="0"/>
                <w:color w:val="auto"/>
                <w:kern w:val="0"/>
                <w:lang w:val="en-US" w:eastAsia="zh-CN"/>
              </w:rPr>
              <w:t xml:space="preserve"> </w:t>
            </w:r>
            <w:r>
              <w:rPr>
                <w:rFonts w:hint="eastAsia" w:ascii="宋体" w:hAnsi="宋体" w:cs="宋体"/>
                <w:b w:val="0"/>
                <w:bCs w:val="0"/>
                <w:color w:val="auto"/>
                <w:kern w:val="0"/>
              </w:rPr>
              <w:t>②</w:t>
            </w:r>
            <w:r>
              <w:rPr>
                <w:rFonts w:ascii="宋体" w:hAnsi="宋体" w:cs="宋体"/>
                <w:b w:val="0"/>
                <w:bCs w:val="0"/>
                <w:color w:val="auto"/>
                <w:kern w:val="0"/>
              </w:rPr>
              <w:t>ROHS</w:t>
            </w:r>
            <w:r>
              <w:rPr>
                <w:rFonts w:hint="eastAsia" w:ascii="宋体" w:hAnsi="宋体" w:cs="宋体"/>
                <w:b w:val="0"/>
                <w:bCs w:val="0"/>
                <w:color w:val="auto"/>
                <w:kern w:val="0"/>
              </w:rPr>
              <w:t>环保测试报告</w:t>
            </w:r>
            <w:r>
              <w:rPr>
                <w:rFonts w:hint="eastAsia" w:ascii="宋体" w:hAnsi="宋体" w:cs="宋体"/>
                <w:b w:val="0"/>
                <w:bCs w:val="0"/>
                <w:color w:val="auto"/>
                <w:kern w:val="0"/>
                <w:lang w:val="en-US" w:eastAsia="zh-CN"/>
              </w:rPr>
              <w:t xml:space="preserve"> </w:t>
            </w:r>
            <w:r>
              <w:rPr>
                <w:rFonts w:hint="eastAsia" w:ascii="宋体" w:hAnsi="宋体" w:cs="宋体"/>
                <w:b w:val="0"/>
                <w:bCs w:val="0"/>
                <w:color w:val="auto"/>
                <w:kern w:val="0"/>
              </w:rPr>
              <w:t>③</w:t>
            </w:r>
            <w:r>
              <w:rPr>
                <w:rFonts w:hint="eastAsia" w:ascii="宋体" w:hAnsi="宋体"/>
                <w:b w:val="0"/>
                <w:bCs w:val="0"/>
                <w:color w:val="auto"/>
              </w:rPr>
              <w:t>产品检测报告</w:t>
            </w:r>
          </w:p>
        </w:tc>
      </w:tr>
      <w:tr>
        <w:tblPrEx>
          <w:tblCellMar>
            <w:top w:w="0" w:type="dxa"/>
            <w:left w:w="0" w:type="dxa"/>
            <w:bottom w:w="0" w:type="dxa"/>
            <w:right w:w="0" w:type="dxa"/>
          </w:tblCellMar>
        </w:tblPrEx>
        <w:trPr>
          <w:trHeight w:val="484" w:hRule="atLeast"/>
          <w:jc w:val="center"/>
        </w:trPr>
        <w:tc>
          <w:tcPr>
            <w:tcW w:w="5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9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ascii="宋体" w:hAnsi="宋体" w:cs="宋体"/>
                <w:color w:val="000000"/>
                <w:szCs w:val="21"/>
              </w:rPr>
            </w:pPr>
            <w:r>
              <w:rPr>
                <w:rFonts w:hint="eastAsia" w:ascii="宋体" w:hAnsi="宋体" w:cs="宋体"/>
                <w:color w:val="000000"/>
                <w:kern w:val="0"/>
                <w:szCs w:val="21"/>
              </w:rPr>
              <w:t>蓄电池</w:t>
            </w:r>
          </w:p>
        </w:tc>
        <w:tc>
          <w:tcPr>
            <w:tcW w:w="83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eastAsia="宋体"/>
                <w:lang w:eastAsia="zh-CN"/>
              </w:rPr>
            </w:pPr>
            <w:r>
              <w:rPr>
                <w:rFonts w:hint="eastAsia"/>
                <w:lang w:val="en-US" w:eastAsia="zh-CN"/>
              </w:rPr>
              <w:t>1</w:t>
            </w:r>
            <w:r>
              <w:rPr>
                <w:rFonts w:hint="eastAsia"/>
              </w:rPr>
              <w:t>、</w:t>
            </w:r>
            <w:r>
              <w:rPr>
                <w:rFonts w:hint="default"/>
              </w:rPr>
              <w:t>设计浮充使用寿命：</w:t>
            </w:r>
            <w:r>
              <w:rPr>
                <w:rFonts w:hint="eastAsia"/>
                <w:lang w:val="en-US" w:eastAsia="zh-CN"/>
              </w:rPr>
              <w:t>≥</w:t>
            </w:r>
            <w:r>
              <w:rPr>
                <w:rFonts w:hint="default"/>
              </w:rPr>
              <w:t>12年（25℃）</w:t>
            </w:r>
            <w:r>
              <w:rPr>
                <w:rFonts w:hint="eastAsia"/>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eastAsia="宋体"/>
                <w:lang w:eastAsia="zh-CN"/>
              </w:rPr>
            </w:pPr>
            <w:r>
              <w:rPr>
                <w:rFonts w:hint="eastAsia"/>
                <w:lang w:val="en-US" w:eastAsia="zh-CN"/>
              </w:rPr>
              <w:t>2</w:t>
            </w:r>
            <w:r>
              <w:rPr>
                <w:rFonts w:hint="default"/>
              </w:rPr>
              <w:t>、额定电压：12V</w:t>
            </w:r>
            <w:r>
              <w:rPr>
                <w:rFonts w:hint="eastAsia"/>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eastAsia="宋体"/>
                <w:lang w:eastAsia="zh-CN"/>
              </w:rPr>
            </w:pPr>
            <w:r>
              <w:rPr>
                <w:rFonts w:hint="eastAsia"/>
                <w:lang w:val="en-US" w:eastAsia="zh-CN"/>
              </w:rPr>
              <w:t>3</w:t>
            </w:r>
            <w:r>
              <w:rPr>
                <w:rFonts w:hint="default"/>
              </w:rPr>
              <w:t>、额定容量 (10 小时率)：</w:t>
            </w:r>
            <w:r>
              <w:rPr>
                <w:rFonts w:hint="eastAsia"/>
                <w:lang w:val="en-US" w:eastAsia="zh-CN"/>
              </w:rPr>
              <w:t>≥8</w:t>
            </w:r>
            <w:r>
              <w:rPr>
                <w:rFonts w:hint="default"/>
              </w:rPr>
              <w:t>0A</w:t>
            </w:r>
            <w:r>
              <w:rPr>
                <w:rFonts w:hint="eastAsia"/>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eastAsia="宋体"/>
                <w:lang w:eastAsia="zh-CN"/>
              </w:rPr>
            </w:pPr>
            <w:r>
              <w:rPr>
                <w:rFonts w:hint="eastAsia"/>
                <w:lang w:val="en-US" w:eastAsia="zh-CN"/>
              </w:rPr>
              <w:t>4</w:t>
            </w:r>
            <w:r>
              <w:rPr>
                <w:rFonts w:hint="eastAsia"/>
              </w:rPr>
              <w:t>、</w:t>
            </w:r>
            <w:r>
              <w:rPr>
                <w:rFonts w:hint="default"/>
              </w:rPr>
              <w:t>比重为1.280d 的低密度电解液</w:t>
            </w:r>
            <w:r>
              <w:rPr>
                <w:rFonts w:hint="eastAsia"/>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pPr>
            <w:r>
              <w:rPr>
                <w:rFonts w:hint="eastAsia"/>
                <w:lang w:val="en-US" w:eastAsia="zh-CN"/>
              </w:rPr>
              <w:t>5</w:t>
            </w:r>
            <w:r>
              <w:rPr>
                <w:rFonts w:hint="default"/>
              </w:rPr>
              <w:t>、</w:t>
            </w:r>
            <w:r>
              <w:rPr>
                <w:rStyle w:val="89"/>
                <w:rFonts w:hint="default"/>
              </w:rPr>
              <w:t>采用达到UL94 V-0 阻燃等级的ABS 阻燃壳体</w:t>
            </w:r>
            <w:r>
              <w:rPr>
                <w:rFonts w:hint="default"/>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eastAsia="宋体"/>
                <w:lang w:eastAsia="zh-CN"/>
              </w:rPr>
            </w:pPr>
            <w:r>
              <w:rPr>
                <w:rFonts w:hint="eastAsia"/>
                <w:lang w:val="en-US" w:eastAsia="zh-CN"/>
              </w:rPr>
              <w:t>6</w:t>
            </w:r>
            <w:r>
              <w:rPr>
                <w:rFonts w:hint="default"/>
              </w:rPr>
              <w:t>、</w:t>
            </w:r>
            <w:r>
              <w:rPr>
                <w:rStyle w:val="89"/>
                <w:rFonts w:hint="default"/>
              </w:rPr>
              <w:t>电池密封反应效率≥98%</w:t>
            </w:r>
            <w:r>
              <w:rPr>
                <w:rFonts w:hint="eastAsia" w:eastAsia="宋体"/>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eastAsia="宋体"/>
                <w:lang w:val="en-US" w:eastAsia="zh-CN"/>
              </w:rPr>
            </w:pPr>
            <w:r>
              <w:rPr>
                <w:rFonts w:hint="eastAsia"/>
                <w:lang w:val="en-US" w:eastAsia="zh-CN"/>
              </w:rPr>
              <w:t>7</w:t>
            </w:r>
            <w:r>
              <w:rPr>
                <w:rFonts w:hint="default"/>
              </w:rPr>
              <w:t>、在25℃环境下，电池自放电＜3%/月；电池循环寿命较普通电池提升15%以上，25%DOD 循环1200 次以上</w:t>
            </w:r>
            <w:r>
              <w:rPr>
                <w:rFonts w:hint="eastAsia"/>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210" w:firstLineChars="100"/>
              <w:textAlignment w:val="auto"/>
              <w:rPr>
                <w:rFonts w:ascii="宋体" w:hAnsi="宋体" w:cs="宋体"/>
                <w:b w:val="0"/>
                <w:bCs w:val="0"/>
                <w:color w:val="auto"/>
                <w:kern w:val="0"/>
              </w:rPr>
            </w:pPr>
            <w:r>
              <w:rPr>
                <w:rFonts w:hint="eastAsia" w:ascii="宋体" w:hAnsi="宋体" w:cs="宋体"/>
                <w:b w:val="0"/>
                <w:bCs w:val="0"/>
                <w:color w:val="auto"/>
                <w:kern w:val="0"/>
              </w:rPr>
              <w:t>投标人须提供</w:t>
            </w:r>
            <w:r>
              <w:rPr>
                <w:rFonts w:hint="eastAsia" w:ascii="宋体" w:hAnsi="宋体" w:cs="宋体"/>
                <w:b w:val="0"/>
                <w:bCs w:val="0"/>
                <w:color w:val="auto"/>
                <w:kern w:val="0"/>
                <w:lang w:eastAsia="zh-CN"/>
              </w:rPr>
              <w:t>所投</w:t>
            </w:r>
            <w:r>
              <w:rPr>
                <w:rFonts w:hint="eastAsia" w:ascii="宋体" w:hAnsi="宋体" w:cs="宋体"/>
                <w:b w:val="0"/>
                <w:bCs w:val="0"/>
                <w:color w:val="auto"/>
                <w:kern w:val="0"/>
              </w:rPr>
              <w:t>蓄电池制造商如下证书：</w:t>
            </w:r>
            <w:r>
              <w:rPr>
                <w:rFonts w:hint="eastAsia" w:ascii="宋体" w:hAnsi="宋体" w:cs="宋体"/>
                <w:b w:val="0"/>
                <w:bCs w:val="0"/>
                <w:color w:val="auto"/>
                <w:kern w:val="0"/>
                <w:lang w:eastAsia="zh-CN"/>
              </w:rPr>
              <w:t>（</w:t>
            </w:r>
            <w:r>
              <w:rPr>
                <w:rFonts w:hint="eastAsia" w:ascii="宋体" w:hAnsi="宋体" w:cs="宋体"/>
                <w:b w:val="0"/>
                <w:bCs w:val="0"/>
                <w:color w:val="auto"/>
                <w:kern w:val="0"/>
              </w:rPr>
              <w:t>提供复印件并加盖制造商公章</w:t>
            </w:r>
            <w:r>
              <w:rPr>
                <w:rFonts w:hint="eastAsia" w:ascii="宋体" w:hAnsi="宋体" w:cs="宋体"/>
                <w:b w:val="0"/>
                <w:bCs w:val="0"/>
                <w:color w:val="auto"/>
                <w:kern w:val="0"/>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lang w:val="en-US" w:eastAsia="zh-CN"/>
              </w:rPr>
            </w:pPr>
            <w:r>
              <w:rPr>
                <w:rFonts w:hint="eastAsia" w:ascii="宋体" w:hAnsi="宋体" w:cs="宋体"/>
                <w:b w:val="0"/>
                <w:bCs w:val="0"/>
                <w:color w:val="auto"/>
                <w:kern w:val="0"/>
              </w:rPr>
              <w:t>①泰尔认证证书</w:t>
            </w:r>
            <w:r>
              <w:rPr>
                <w:rFonts w:hint="eastAsia" w:ascii="宋体" w:hAnsi="宋体" w:cs="宋体"/>
                <w:b w:val="0"/>
                <w:bCs w:val="0"/>
                <w:color w:val="auto"/>
                <w:kern w:val="0"/>
                <w:lang w:val="en-US" w:eastAsia="zh-CN"/>
              </w:rPr>
              <w:t xml:space="preserve"> </w:t>
            </w:r>
            <w:r>
              <w:rPr>
                <w:rFonts w:hint="eastAsia" w:ascii="宋体" w:hAnsi="宋体" w:cs="宋体"/>
                <w:b w:val="0"/>
                <w:bCs w:val="0"/>
                <w:color w:val="auto"/>
                <w:kern w:val="0"/>
              </w:rPr>
              <w:t>②工业生产许可证</w:t>
            </w:r>
          </w:p>
        </w:tc>
      </w:tr>
      <w:tr>
        <w:tblPrEx>
          <w:tblCellMar>
            <w:top w:w="0" w:type="dxa"/>
            <w:left w:w="0" w:type="dxa"/>
            <w:bottom w:w="0" w:type="dxa"/>
            <w:right w:w="0" w:type="dxa"/>
          </w:tblCellMar>
        </w:tblPrEx>
        <w:trPr>
          <w:trHeight w:val="484" w:hRule="atLeast"/>
          <w:jc w:val="center"/>
        </w:trPr>
        <w:tc>
          <w:tcPr>
            <w:tcW w:w="5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eastAsia" w:ascii="宋体" w:hAnsi="宋体" w:cs="宋体"/>
                <w:color w:val="000000"/>
                <w:szCs w:val="21"/>
                <w:lang w:val="en-US" w:eastAsia="zh-CN"/>
              </w:rPr>
            </w:pPr>
            <w:r>
              <w:rPr>
                <w:rFonts w:hint="eastAsia" w:ascii="宋体" w:hAnsi="宋体" w:cs="宋体"/>
                <w:kern w:val="0"/>
                <w:szCs w:val="21"/>
                <w:lang w:val="en-US" w:eastAsia="zh-CN"/>
              </w:rPr>
              <w:t>3</w:t>
            </w:r>
          </w:p>
        </w:tc>
        <w:tc>
          <w:tcPr>
            <w:tcW w:w="9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电气安全监控系统</w:t>
            </w:r>
          </w:p>
        </w:tc>
        <w:tc>
          <w:tcPr>
            <w:tcW w:w="83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left"/>
              <w:textAlignment w:val="center"/>
              <w:rPr>
                <w:rFonts w:hint="eastAsia"/>
                <w:lang w:val="en-US" w:eastAsia="zh-CN"/>
              </w:rPr>
            </w:pPr>
            <w:r>
              <w:rPr>
                <w:rFonts w:hint="eastAsia" w:ascii="宋体" w:hAnsi="宋体" w:eastAsia="宋体" w:cs="宋体"/>
                <w:lang w:val="en-US" w:eastAsia="zh-CN"/>
              </w:rPr>
              <w:t>1、</w:t>
            </w:r>
            <w:r>
              <w:rPr>
                <w:rFonts w:hint="eastAsia"/>
                <w:lang w:val="en-US" w:eastAsia="zh-CN"/>
              </w:rPr>
              <w:t>一体化设计，多功能主机，应同时具备剩余电流（漏电）、电流、温度、短路、故障电弧、功率、电量等多种功能，并支持自动断电。</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both"/>
              <w:textAlignment w:val="center"/>
              <w:rPr>
                <w:rFonts w:hint="eastAsia"/>
                <w:lang w:val="en-US" w:eastAsia="zh-CN"/>
              </w:rPr>
            </w:pPr>
            <w:r>
              <w:rPr>
                <w:rFonts w:hint="eastAsia" w:ascii="宋体" w:hAnsi="宋体" w:eastAsia="宋体" w:cs="宋体"/>
                <w:lang w:val="en-US" w:eastAsia="zh-CN"/>
              </w:rPr>
              <w:t>2、</w:t>
            </w:r>
            <w:r>
              <w:rPr>
                <w:rFonts w:hint="eastAsia"/>
                <w:lang w:val="en-US" w:eastAsia="zh-CN"/>
              </w:rPr>
              <w:t>设备采用非入侵式智能识别技术，可实现线路内全部用电器的类型识别及运行状态监测。</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3、信息转发，支持APP、短信、电话、邮件等多种转发方式；APP和WEB可查看通知记录信息（通知人员，通知方式、监测点名称、报警类型、报警时间</w:t>
            </w:r>
            <w:r>
              <w:rPr>
                <w:rStyle w:val="89"/>
                <w:rFonts w:hint="eastAsia" w:ascii="宋体" w:hAnsi="宋体" w:eastAsia="宋体" w:cs="宋体"/>
                <w:sz w:val="21"/>
                <w:szCs w:val="21"/>
                <w:lang w:val="en-US" w:eastAsia="zh-CN" w:bidi="ar"/>
              </w:rPr>
              <w:t>），可筛选开始时间至结束时间、通知人、监测点名称、报警类型、报警时间。</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left"/>
              <w:textAlignment w:val="center"/>
              <w:rPr>
                <w:rFonts w:hint="default"/>
                <w:b/>
                <w:bCs/>
              </w:rPr>
            </w:pPr>
            <w:r>
              <w:rPr>
                <w:rFonts w:hint="eastAsia" w:ascii="宋体" w:hAnsi="宋体" w:eastAsia="宋体" w:cs="宋体"/>
                <w:i w:val="0"/>
                <w:color w:val="000000"/>
                <w:kern w:val="0"/>
                <w:sz w:val="21"/>
                <w:szCs w:val="21"/>
                <w:u w:val="none"/>
                <w:lang w:val="en-US" w:eastAsia="zh-CN" w:bidi="ar"/>
              </w:rPr>
              <w:t>4、</w:t>
            </w:r>
            <w:r>
              <w:rPr>
                <w:rStyle w:val="90"/>
                <w:rFonts w:hint="default"/>
                <w:bCs/>
              </w:rPr>
              <w:t>电气安全监控软件平台须与</w:t>
            </w:r>
            <w:r>
              <w:rPr>
                <w:rStyle w:val="90"/>
                <w:rFonts w:hint="eastAsia" w:eastAsia="宋体"/>
                <w:bCs/>
                <w:lang w:val="en-US" w:eastAsia="zh-CN"/>
              </w:rPr>
              <w:t>医</w:t>
            </w:r>
            <w:r>
              <w:rPr>
                <w:rStyle w:val="90"/>
                <w:rFonts w:hint="default"/>
                <w:bCs/>
              </w:rPr>
              <w:t>院现有的电力安全系统平台统一到一个平台上，实现统一管理，方面监管维护</w:t>
            </w:r>
            <w:r>
              <w:rPr>
                <w:rFonts w:hint="default"/>
                <w:b/>
                <w:bCs/>
              </w:rPr>
              <w:t>。</w:t>
            </w:r>
          </w:p>
          <w:p>
            <w:pPr>
              <w:pStyle w:val="4"/>
              <w:tabs>
                <w:tab w:val="left" w:pos="945"/>
                <w:tab w:val="left" w:pos="1155"/>
              </w:tabs>
              <w:spacing w:line="240" w:lineRule="auto"/>
              <w:ind w:left="0" w:leftChars="0" w:firstLine="240" w:firstLineChars="100"/>
              <w:rPr>
                <w:rFonts w:hint="eastAsia" w:ascii="宋体" w:hAnsi="宋体" w:eastAsia="宋体" w:cs="宋体"/>
                <w:b w:val="0"/>
                <w:bCs w:val="0"/>
                <w:color w:val="auto"/>
                <w:kern w:val="0"/>
                <w:sz w:val="21"/>
                <w:szCs w:val="24"/>
                <w:lang w:val="en-US" w:eastAsia="zh-CN" w:bidi="ar-SA"/>
              </w:rPr>
            </w:pPr>
            <w:r>
              <w:rPr>
                <w:rFonts w:hint="eastAsia" w:ascii="宋体" w:hAnsi="宋体" w:cs="宋体"/>
                <w:b w:val="0"/>
                <w:bCs w:val="0"/>
                <w:color w:val="auto"/>
                <w:kern w:val="0"/>
              </w:rPr>
              <w:t>投标人</w:t>
            </w:r>
            <w:r>
              <w:rPr>
                <w:rFonts w:hint="eastAsia" w:ascii="宋体" w:hAnsi="宋体" w:eastAsia="宋体" w:cs="宋体"/>
                <w:b w:val="0"/>
                <w:bCs w:val="0"/>
                <w:color w:val="auto"/>
                <w:kern w:val="0"/>
                <w:sz w:val="21"/>
                <w:szCs w:val="24"/>
                <w:lang w:val="en-US" w:eastAsia="zh-CN" w:bidi="ar-SA"/>
              </w:rPr>
              <w:t>须提供电气安全监控设备</w:t>
            </w:r>
            <w:r>
              <w:rPr>
                <w:rFonts w:hint="eastAsia" w:ascii="宋体" w:hAnsi="宋体" w:cs="宋体"/>
                <w:b w:val="0"/>
                <w:bCs w:val="0"/>
                <w:color w:val="auto"/>
                <w:kern w:val="0"/>
                <w:sz w:val="21"/>
                <w:szCs w:val="24"/>
                <w:lang w:val="en-US" w:eastAsia="zh-CN" w:bidi="ar-SA"/>
              </w:rPr>
              <w:t>制造商</w:t>
            </w:r>
            <w:r>
              <w:rPr>
                <w:rFonts w:hint="eastAsia" w:ascii="宋体" w:hAnsi="宋体" w:eastAsia="宋体" w:cs="宋体"/>
                <w:b w:val="0"/>
                <w:bCs w:val="0"/>
                <w:color w:val="auto"/>
                <w:kern w:val="0"/>
                <w:sz w:val="21"/>
                <w:szCs w:val="24"/>
                <w:lang w:val="en-US" w:eastAsia="zh-CN" w:bidi="ar-SA"/>
              </w:rPr>
              <w:t>如下证书：（提供复印件并加盖</w:t>
            </w:r>
            <w:r>
              <w:rPr>
                <w:rFonts w:hint="eastAsia" w:ascii="宋体" w:hAnsi="宋体" w:cs="宋体"/>
                <w:b w:val="0"/>
                <w:bCs w:val="0"/>
                <w:color w:val="auto"/>
                <w:kern w:val="0"/>
              </w:rPr>
              <w:t>制造商</w:t>
            </w:r>
            <w:r>
              <w:rPr>
                <w:rFonts w:hint="eastAsia" w:ascii="宋体" w:hAnsi="宋体" w:eastAsia="宋体" w:cs="宋体"/>
                <w:b w:val="0"/>
                <w:bCs w:val="0"/>
                <w:color w:val="auto"/>
                <w:kern w:val="0"/>
                <w:sz w:val="21"/>
                <w:szCs w:val="24"/>
                <w:lang w:val="en-US" w:eastAsia="zh-CN" w:bidi="ar-SA"/>
              </w:rPr>
              <w:t>公章）</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left"/>
              <w:textAlignment w:val="center"/>
              <w:rPr>
                <w:rFonts w:hint="eastAsia" w:ascii="宋体" w:hAnsi="宋体" w:cs="宋体"/>
                <w:b w:val="0"/>
                <w:bCs w:val="0"/>
                <w:color w:val="auto"/>
                <w:kern w:val="0"/>
              </w:rPr>
            </w:pPr>
            <w:r>
              <w:rPr>
                <w:rFonts w:hint="eastAsia" w:ascii="宋体" w:hAnsi="宋体" w:eastAsia="宋体" w:cs="宋体"/>
                <w:b w:val="0"/>
                <w:bCs w:val="0"/>
                <w:color w:val="auto"/>
                <w:kern w:val="0"/>
                <w:sz w:val="21"/>
                <w:szCs w:val="24"/>
                <w:lang w:val="en-US" w:eastAsia="zh-CN" w:bidi="ar-SA"/>
              </w:rPr>
              <w:t>①消防部门检测报告</w:t>
            </w:r>
            <w:r>
              <w:rPr>
                <w:rFonts w:hint="eastAsia" w:ascii="宋体" w:hAnsi="宋体" w:cs="宋体"/>
                <w:b w:val="0"/>
                <w:bCs w:val="0"/>
                <w:color w:val="auto"/>
                <w:kern w:val="0"/>
                <w:sz w:val="21"/>
                <w:szCs w:val="24"/>
                <w:lang w:val="en-US" w:eastAsia="zh-CN" w:bidi="ar-SA"/>
              </w:rPr>
              <w:t xml:space="preserve"> </w:t>
            </w:r>
            <w:r>
              <w:rPr>
                <w:rFonts w:hint="eastAsia" w:ascii="宋体" w:hAnsi="宋体" w:eastAsia="宋体" w:cs="宋体"/>
                <w:b w:val="0"/>
                <w:bCs w:val="0"/>
                <w:color w:val="auto"/>
                <w:kern w:val="0"/>
                <w:sz w:val="21"/>
                <w:szCs w:val="24"/>
                <w:lang w:val="en-US" w:eastAsia="zh-CN" w:bidi="ar-SA"/>
              </w:rPr>
              <w:t>②3C认证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3" w:hRule="atLeast"/>
          <w:jc w:val="center"/>
        </w:trPr>
        <w:tc>
          <w:tcPr>
            <w:tcW w:w="551" w:type="dxa"/>
            <w:tcBorders>
              <w:top w:val="single" w:color="auto" w:sz="4"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938"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电池架</w:t>
            </w:r>
          </w:p>
        </w:tc>
        <w:tc>
          <w:tcPr>
            <w:tcW w:w="8357" w:type="dxa"/>
            <w:tcBorders>
              <w:top w:val="single" w:color="auto" w:sz="4" w:space="0"/>
              <w:left w:val="nil"/>
              <w:bottom w:val="single" w:color="auto" w:sz="4" w:space="0"/>
            </w:tcBorders>
            <w:noWrap w:val="0"/>
            <w:tcMar>
              <w:top w:w="15" w:type="dxa"/>
              <w:left w:w="15" w:type="dxa"/>
              <w:right w:w="15" w:type="dxa"/>
            </w:tcMar>
            <w:vAlign w:val="center"/>
          </w:tcPr>
          <w:p>
            <w:pPr>
              <w:pStyle w:val="4"/>
              <w:keepNext w:val="0"/>
              <w:keepLines w:val="0"/>
              <w:pageBreakBefore w:val="0"/>
              <w:widowControl/>
              <w:tabs>
                <w:tab w:val="left" w:pos="945"/>
                <w:tab w:val="left" w:pos="1155"/>
              </w:tabs>
              <w:kinsoku/>
              <w:wordWrap/>
              <w:overflowPunct/>
              <w:topLinePunct w:val="0"/>
              <w:autoSpaceDE/>
              <w:autoSpaceDN/>
              <w:bidi w:val="0"/>
              <w:adjustRightInd/>
              <w:snapToGrid/>
              <w:spacing w:line="288" w:lineRule="auto"/>
              <w:ind w:left="0" w:leftChars="0" w:firstLine="0" w:firstLineChars="0"/>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国标</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3" w:hRule="atLeast"/>
          <w:jc w:val="center"/>
        </w:trPr>
        <w:tc>
          <w:tcPr>
            <w:tcW w:w="551" w:type="dxa"/>
            <w:tcBorders>
              <w:top w:val="single" w:color="auto" w:sz="4"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938"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电池</w:t>
            </w:r>
          </w:p>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连接线</w:t>
            </w:r>
          </w:p>
        </w:tc>
        <w:tc>
          <w:tcPr>
            <w:tcW w:w="8357" w:type="dxa"/>
            <w:tcBorders>
              <w:top w:val="single" w:color="auto" w:sz="4" w:space="0"/>
              <w:left w:val="nil"/>
              <w:bottom w:val="single" w:color="auto" w:sz="4" w:space="0"/>
            </w:tcBorders>
            <w:noWrap w:val="0"/>
            <w:tcMar>
              <w:top w:w="15" w:type="dxa"/>
              <w:left w:w="15" w:type="dxa"/>
              <w:right w:w="15" w:type="dxa"/>
            </w:tcMar>
            <w:vAlign w:val="center"/>
          </w:tcPr>
          <w:p>
            <w:pPr>
              <w:pStyle w:val="4"/>
              <w:keepNext w:val="0"/>
              <w:keepLines w:val="0"/>
              <w:pageBreakBefore w:val="0"/>
              <w:widowControl/>
              <w:tabs>
                <w:tab w:val="left" w:pos="945"/>
                <w:tab w:val="left" w:pos="1155"/>
              </w:tabs>
              <w:kinsoku/>
              <w:wordWrap/>
              <w:overflowPunct/>
              <w:topLinePunct w:val="0"/>
              <w:autoSpaceDE/>
              <w:autoSpaceDN/>
              <w:bidi w:val="0"/>
              <w:adjustRightInd/>
              <w:snapToGrid/>
              <w:spacing w:line="288" w:lineRule="auto"/>
              <w:ind w:left="0" w:leftChars="0" w:firstLine="0" w:firstLineChars="0"/>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10</w:t>
            </w:r>
            <w:r>
              <w:rPr>
                <w:rStyle w:val="89"/>
                <w:rFonts w:hint="eastAsia" w:ascii="宋体" w:hAnsi="宋体" w:eastAsia="宋体" w:cs="宋体"/>
                <w:color w:val="auto"/>
                <w:sz w:val="21"/>
                <w:szCs w:val="21"/>
                <w:lang w:val="en-US" w:eastAsia="zh-CN" w:bidi="ar"/>
              </w:rPr>
              <w:t>mm²</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3" w:hRule="atLeast"/>
          <w:jc w:val="center"/>
        </w:trPr>
        <w:tc>
          <w:tcPr>
            <w:tcW w:w="551" w:type="dxa"/>
            <w:tcBorders>
              <w:top w:val="single" w:color="auto" w:sz="4"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6</w:t>
            </w:r>
          </w:p>
        </w:tc>
        <w:tc>
          <w:tcPr>
            <w:tcW w:w="938"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输入</w:t>
            </w:r>
          </w:p>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输出线缆</w:t>
            </w:r>
          </w:p>
        </w:tc>
        <w:tc>
          <w:tcPr>
            <w:tcW w:w="8357" w:type="dxa"/>
            <w:tcBorders>
              <w:top w:val="single" w:color="auto" w:sz="4" w:space="0"/>
              <w:left w:val="nil"/>
              <w:bottom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b/>
                <w:bCs/>
                <w:lang w:val="en-US" w:eastAsia="zh-CN"/>
              </w:rPr>
            </w:pPr>
            <w:r>
              <w:rPr>
                <w:rFonts w:hint="eastAsia" w:ascii="宋体" w:hAnsi="宋体" w:cs="宋体"/>
                <w:color w:val="000000"/>
                <w:kern w:val="0"/>
                <w:szCs w:val="21"/>
                <w:lang w:val="en-US" w:eastAsia="zh-CN"/>
              </w:rPr>
              <w:t>10</w:t>
            </w:r>
            <w:r>
              <w:rPr>
                <w:rStyle w:val="89"/>
                <w:rFonts w:hint="eastAsia" w:ascii="宋体" w:hAnsi="宋体" w:eastAsia="宋体" w:cs="宋体"/>
                <w:color w:val="auto"/>
                <w:sz w:val="21"/>
                <w:szCs w:val="21"/>
                <w:lang w:val="en-US" w:eastAsia="zh-CN" w:bidi="ar"/>
              </w:rPr>
              <w:t>mm²</w:t>
            </w:r>
          </w:p>
        </w:tc>
      </w:tr>
      <w:tr>
        <w:tblPrEx>
          <w:tblCellMar>
            <w:top w:w="0" w:type="dxa"/>
            <w:left w:w="0" w:type="dxa"/>
            <w:bottom w:w="0" w:type="dxa"/>
            <w:right w:w="0" w:type="dxa"/>
          </w:tblCellMar>
        </w:tblPrEx>
        <w:trPr>
          <w:trHeight w:val="439" w:hRule="atLeast"/>
          <w:jc w:val="center"/>
        </w:trPr>
        <w:tc>
          <w:tcPr>
            <w:tcW w:w="551"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widowControl/>
              <w:spacing w:line="240" w:lineRule="auto"/>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7</w:t>
            </w:r>
          </w:p>
        </w:tc>
        <w:tc>
          <w:tcPr>
            <w:tcW w:w="938"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line="240" w:lineRule="auto"/>
              <w:jc w:val="both"/>
              <w:textAlignment w:val="center"/>
              <w:rPr>
                <w:rFonts w:ascii="宋体" w:hAnsi="宋体" w:cs="宋体"/>
                <w:szCs w:val="21"/>
              </w:rPr>
            </w:pPr>
            <w:r>
              <w:rPr>
                <w:rFonts w:hint="eastAsia" w:ascii="宋体" w:hAnsi="宋体" w:eastAsia="宋体" w:cs="宋体"/>
                <w:i w:val="0"/>
                <w:iCs w:val="0"/>
                <w:color w:val="000000"/>
                <w:kern w:val="0"/>
                <w:sz w:val="22"/>
                <w:szCs w:val="22"/>
                <w:u w:val="none"/>
                <w:lang w:val="en-US" w:eastAsia="zh-CN" w:bidi="ar"/>
              </w:rPr>
              <w:t>安装调试</w:t>
            </w:r>
          </w:p>
        </w:tc>
        <w:tc>
          <w:tcPr>
            <w:tcW w:w="8357"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cs="宋体"/>
                <w:szCs w:val="21"/>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按国家电力标准</w:t>
            </w:r>
            <w:r>
              <w:rPr>
                <w:rFonts w:hint="eastAsia" w:ascii="宋体" w:hAnsi="宋体" w:eastAsia="宋体" w:cs="宋体"/>
                <w:i w:val="0"/>
                <w:iCs w:val="0"/>
                <w:color w:val="000000"/>
                <w:kern w:val="0"/>
                <w:sz w:val="22"/>
                <w:szCs w:val="22"/>
                <w:highlight w:val="none"/>
                <w:u w:val="none"/>
                <w:lang w:val="en-US" w:eastAsia="zh-CN" w:bidi="ar"/>
              </w:rPr>
              <w:t>进行安装调试。</w:t>
            </w:r>
          </w:p>
        </w:tc>
      </w:tr>
      <w:tr>
        <w:tblPrEx>
          <w:tblCellMar>
            <w:top w:w="0" w:type="dxa"/>
            <w:left w:w="0" w:type="dxa"/>
            <w:bottom w:w="0" w:type="dxa"/>
            <w:right w:w="0" w:type="dxa"/>
          </w:tblCellMar>
        </w:tblPrEx>
        <w:trPr>
          <w:trHeight w:val="256" w:hRule="atLeast"/>
          <w:jc w:val="center"/>
        </w:trPr>
        <w:tc>
          <w:tcPr>
            <w:tcW w:w="1489" w:type="dxa"/>
            <w:gridSpan w:val="2"/>
            <w:tcBorders>
              <w:top w:val="single" w:color="auto" w:sz="4" w:space="0"/>
              <w:left w:val="single" w:color="000000" w:sz="8" w:space="0"/>
              <w:bottom w:val="single" w:color="auto" w:sz="4" w:space="0"/>
              <w:right w:val="single" w:color="000000" w:sz="8"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质量标准</w:t>
            </w:r>
          </w:p>
        </w:tc>
        <w:tc>
          <w:tcPr>
            <w:tcW w:w="8357"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rPr>
                <w:rFonts w:ascii="宋体" w:hAnsi="宋体" w:cs="宋体"/>
                <w:color w:val="000000"/>
                <w:sz w:val="24"/>
              </w:rPr>
            </w:pPr>
            <w:r>
              <w:rPr>
                <w:rFonts w:hint="eastAsia" w:ascii="宋体" w:hAnsi="宋体" w:cs="宋体"/>
                <w:color w:val="000000"/>
                <w:kern w:val="0"/>
                <w:sz w:val="22"/>
                <w:szCs w:val="22"/>
              </w:rPr>
              <w:t>符合现行国家质量要求和行业有关标准。</w:t>
            </w:r>
          </w:p>
        </w:tc>
      </w:tr>
      <w:tr>
        <w:tblPrEx>
          <w:tblCellMar>
            <w:top w:w="0" w:type="dxa"/>
            <w:left w:w="0" w:type="dxa"/>
            <w:bottom w:w="0" w:type="dxa"/>
            <w:right w:w="0" w:type="dxa"/>
          </w:tblCellMar>
        </w:tblPrEx>
        <w:trPr>
          <w:trHeight w:val="464" w:hRule="atLeast"/>
          <w:jc w:val="center"/>
        </w:trPr>
        <w:tc>
          <w:tcPr>
            <w:tcW w:w="984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noWrap w:val="0"/>
            <w:tcMar>
              <w:top w:w="15" w:type="dxa"/>
              <w:left w:w="15" w:type="dxa"/>
              <w:right w:w="15" w:type="dxa"/>
            </w:tcMar>
            <w:vAlign w:val="center"/>
          </w:tcPr>
          <w:p>
            <w:pPr>
              <w:widowControl/>
              <w:jc w:val="center"/>
              <w:textAlignment w:val="center"/>
              <w:rPr>
                <w:rFonts w:hint="default" w:ascii="宋体" w:hAnsi="宋体" w:cs="宋体"/>
                <w:b/>
                <w:color w:val="000000"/>
                <w:kern w:val="0"/>
                <w:szCs w:val="21"/>
                <w:lang w:val="en-US"/>
              </w:rPr>
            </w:pPr>
            <w:r>
              <w:rPr>
                <w:rFonts w:hint="eastAsia" w:ascii="宋体" w:hAnsi="宋体" w:eastAsia="宋体" w:cs="宋体"/>
                <w:b/>
                <w:i w:val="0"/>
                <w:color w:val="000000"/>
                <w:kern w:val="0"/>
                <w:sz w:val="21"/>
                <w:szCs w:val="21"/>
                <w:u w:val="none"/>
                <w:lang w:val="en-US" w:eastAsia="zh-CN" w:bidi="ar"/>
              </w:rPr>
              <w:t>二、GCP药房配备UPS电源</w:t>
            </w:r>
          </w:p>
        </w:tc>
      </w:tr>
      <w:tr>
        <w:tblPrEx>
          <w:tblCellMar>
            <w:top w:w="0" w:type="dxa"/>
            <w:left w:w="0" w:type="dxa"/>
            <w:bottom w:w="0" w:type="dxa"/>
            <w:right w:w="0" w:type="dxa"/>
          </w:tblCellMar>
        </w:tblPrEx>
        <w:trPr>
          <w:trHeight w:val="90" w:hRule="atLeast"/>
          <w:jc w:val="center"/>
        </w:trPr>
        <w:tc>
          <w:tcPr>
            <w:tcW w:w="551"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eastAsia" w:ascii="宋体" w:hAnsi="宋体" w:eastAsia="宋体" w:cs="宋体"/>
                <w:b w:val="0"/>
                <w:bCs/>
                <w:color w:val="000000"/>
                <w:kern w:val="0"/>
                <w:szCs w:val="21"/>
                <w:lang w:val="en-US" w:eastAsia="zh-CN"/>
              </w:rPr>
            </w:pPr>
            <w:r>
              <w:rPr>
                <w:rFonts w:hint="eastAsia" w:ascii="宋体" w:hAnsi="宋体" w:cs="宋体"/>
                <w:b w:val="0"/>
                <w:bCs/>
                <w:color w:val="000000"/>
                <w:kern w:val="0"/>
                <w:szCs w:val="21"/>
                <w:lang w:val="en-US" w:eastAsia="zh-CN"/>
              </w:rPr>
              <w:t>1</w:t>
            </w:r>
          </w:p>
        </w:tc>
        <w:tc>
          <w:tcPr>
            <w:tcW w:w="938"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UPS</w:t>
            </w:r>
          </w:p>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eastAsia" w:ascii="宋体" w:hAnsi="宋体" w:eastAsia="宋体" w:cs="宋体"/>
                <w:b w:val="0"/>
                <w:bCs/>
                <w:i w:val="0"/>
                <w:iCs w:val="0"/>
                <w:color w:val="003366"/>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主机</w:t>
            </w:r>
          </w:p>
        </w:tc>
        <w:tc>
          <w:tcPr>
            <w:tcW w:w="8357"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Style w:val="89"/>
                <w:rFonts w:hint="eastAsia" w:eastAsia="宋体"/>
                <w:lang w:eastAsia="zh-CN"/>
              </w:rPr>
            </w:pPr>
            <w:r>
              <w:rPr>
                <w:rFonts w:hint="eastAsia" w:eastAsia="宋体" w:cs="Times New Roman"/>
                <w:lang w:val="en-US" w:eastAsia="zh-CN"/>
              </w:rPr>
              <w:t>1</w:t>
            </w:r>
            <w:r>
              <w:rPr>
                <w:rFonts w:hint="default" w:eastAsia="宋体" w:cs="Times New Roman"/>
                <w:lang w:val="en-US" w:eastAsia="zh-CN"/>
              </w:rPr>
              <w:t>、</w:t>
            </w:r>
            <w:r>
              <w:rPr>
                <w:rStyle w:val="89"/>
                <w:rFonts w:hint="default"/>
              </w:rPr>
              <w:t>UPS额定容量</w:t>
            </w:r>
            <w:r>
              <w:rPr>
                <w:rStyle w:val="89"/>
                <w:rFonts w:hint="eastAsia" w:eastAsia="宋体"/>
                <w:lang w:val="en-US" w:eastAsia="zh-CN"/>
              </w:rPr>
              <w:t>10</w:t>
            </w:r>
            <w:r>
              <w:rPr>
                <w:rStyle w:val="89"/>
                <w:rFonts w:hint="default"/>
              </w:rPr>
              <w:t>KVA</w:t>
            </w:r>
            <w:r>
              <w:rPr>
                <w:rStyle w:val="89"/>
                <w:rFonts w:hint="eastAsia" w:eastAsia="宋体"/>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 xml:space="preserve">2、UPS符合IEC 62040-3标准的双变换电路结构；UPS相关功能组件和相应开关，必须使用断路器或负荷开关。 </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3、UPS至少包含1个整流器和1个逆变器，1个静态旁路、1个主输入开关，1个静态旁路输入开关，1个输出开关和1个维修旁路开关。</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4、设备需实现全数化控制，输出电压和电流应用复合控制策略，实现动态调节，减小输出电压失真，输出波形质量高，负载特性好。</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5、</w:t>
            </w:r>
            <w:r>
              <w:rPr>
                <w:rFonts w:hint="eastAsia"/>
                <w:sz w:val="21"/>
                <w:szCs w:val="21"/>
                <w:lang w:val="en-US" w:eastAsia="zh-CN"/>
              </w:rPr>
              <w:t>采用工业级强力高速离心风机散热，智能化调速</w:t>
            </w:r>
            <w:r>
              <w:rPr>
                <w:rFonts w:hint="eastAsia"/>
                <w:lang w:val="en-US"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6、具有输入、输出的过压和欠压保护、相序检测、电池过充过放保护、输出过载短路保护和温度过高保护等保护和报警功能，并设有EPO紧急关断按钮。</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7、具备Wi-Fi功能，使用手机或平板电脑进行操控，可调整整流和逆变等相关参数，操作与控制范围在距本机≤100m。</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8、ECO节能模式下效率≥97%。</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9、6脉冲整流若加配功率因数校正模块，输入功率因数≥0.95。</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10、</w:t>
            </w:r>
            <w:r>
              <w:rPr>
                <w:rFonts w:hint="eastAsia" w:ascii="宋体" w:hAnsi="宋体" w:cs="宋体"/>
                <w:color w:val="000000"/>
                <w:kern w:val="0"/>
                <w:szCs w:val="21"/>
              </w:rPr>
              <w:t>配备智能化电池管理功能，可对电池组进行无风险标准和深度放电检测，具有充电电压温度补偿，电池放电终止电压智能调节，电池极性反接保护和告警，电池定期自动放电激活，自动设定充电电流等功能</w:t>
            </w:r>
            <w:r>
              <w:rPr>
                <w:rFonts w:hint="eastAsia"/>
                <w:lang w:val="en-US"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11、具备GCI并网运行功能，设计与电网并联的PWM逆变器(Grid connected inverter)控制系统。</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12、人机界面采用液晶触摸屏。</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13、平均无故障工作时间≥45万小时。</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14、落地式，底部含360度方向轮（可以拆装）。</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15、操作开关：整流开关、电池开关、旁路开关、输出开关维修开关均采用断路器。</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16、输入特性：</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（1）电压范围，不低于(-15%~+20%)；</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（2）宽频率输入范围(50Hz±10%)；</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（3）PFC技术，无须附加外接设备，输入功率因数≥0.98；</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（4）PFC技术，无须附加外接设备，输入电流谐波(THDI&lt;5%)，功率100KVA以上时，为&lt;3%。</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17、输出特性：</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（1）输出功率因数≥0.8；</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（2）输出电压，输出THDU≥2%，≤5%；</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（3）具有带三相100%不平衡负载的能力；</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（4）过载能力及抗冲击能力；150%时</w:t>
            </w:r>
            <w:r>
              <w:rPr>
                <w:rFonts w:hint="default" w:ascii="Arial" w:hAnsi="Arial" w:cs="Arial"/>
                <w:lang w:val="en-US" w:eastAsia="zh-CN"/>
              </w:rPr>
              <w:t>≥</w:t>
            </w:r>
            <w:r>
              <w:rPr>
                <w:rFonts w:hint="eastAsia"/>
                <w:lang w:val="en-US" w:eastAsia="zh-CN"/>
              </w:rPr>
              <w:t>10秒钟，125%时</w:t>
            </w:r>
            <w:r>
              <w:rPr>
                <w:rFonts w:hint="default" w:ascii="Arial" w:hAnsi="Arial" w:cs="Arial"/>
                <w:lang w:val="en-US" w:eastAsia="zh-CN"/>
              </w:rPr>
              <w:t>≥</w:t>
            </w:r>
            <w:r>
              <w:rPr>
                <w:rFonts w:hint="eastAsia"/>
                <w:lang w:val="en-US" w:eastAsia="zh-CN"/>
              </w:rPr>
              <w:t>2分钟。</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18、监控管理：</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（1）支持无线监控功能RS232、RS485、R244、MODEM多种后台通讯方式；</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（2）UPS标配SNMP网络管理卡；</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（3）系统具有电池放电终止预告警和自动安全关机功能；</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（4）兼容10M/100M以太网，支持SNMP、HTTP等协议，监控软件具备电源事件记录和分析功能，组网方案，可实现在Internet/Intranet上的远程监控。</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19、</w:t>
            </w:r>
            <w:r>
              <w:rPr>
                <w:rStyle w:val="89"/>
                <w:rFonts w:hint="default"/>
              </w:rPr>
              <w:t>面板显示为触控液晶显示屏，可显示UPS的运行参数、历史记录和整机工作状态；并具有修改显示界面</w:t>
            </w:r>
            <w:r>
              <w:rPr>
                <w:rStyle w:val="89"/>
                <w:rFonts w:hint="eastAsia" w:eastAsia="宋体"/>
                <w:lang w:eastAsia="zh-CN"/>
              </w:rPr>
              <w:t>，</w:t>
            </w:r>
            <w:r>
              <w:rPr>
                <w:rStyle w:val="89"/>
                <w:rFonts w:hint="default"/>
              </w:rPr>
              <w:t>可根据要求现场更改显示语言种类</w:t>
            </w:r>
            <w:r>
              <w:rPr>
                <w:rStyle w:val="89"/>
                <w:rFonts w:hint="eastAsia" w:eastAsia="宋体"/>
                <w:lang w:eastAsia="zh-CN"/>
              </w:rPr>
              <w:t>，</w:t>
            </w:r>
            <w:r>
              <w:rPr>
                <w:rStyle w:val="89"/>
                <w:rFonts w:hint="default"/>
              </w:rPr>
              <w:t>能够记录</w:t>
            </w:r>
            <w:r>
              <w:rPr>
                <w:rStyle w:val="89"/>
                <w:rFonts w:hint="default" w:ascii="Arial" w:hAnsi="Arial" w:cs="Arial"/>
              </w:rPr>
              <w:t>≥</w:t>
            </w:r>
            <w:r>
              <w:rPr>
                <w:rStyle w:val="89"/>
                <w:rFonts w:hint="default"/>
              </w:rPr>
              <w:t>10000条的历史记录，故障信息需有：市电停电、电池低压、整流器异常、逆变器异常等。</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b w:val="0"/>
                <w:bCs w:val="0"/>
                <w:color w:val="auto"/>
                <w:kern w:val="0"/>
                <w:lang w:eastAsia="zh-CN"/>
              </w:rPr>
            </w:pPr>
            <w:r>
              <w:rPr>
                <w:rFonts w:hint="eastAsia" w:ascii="宋体" w:hAnsi="宋体" w:cs="宋体"/>
                <w:b w:val="0"/>
                <w:bCs w:val="0"/>
                <w:color w:val="auto"/>
                <w:kern w:val="0"/>
              </w:rPr>
              <w:t>投标人须提供所投主机设备制造商如下证书：</w:t>
            </w:r>
            <w:r>
              <w:rPr>
                <w:rFonts w:hint="eastAsia" w:ascii="宋体" w:hAnsi="宋体" w:cs="宋体"/>
                <w:b w:val="0"/>
                <w:bCs w:val="0"/>
                <w:color w:val="auto"/>
                <w:kern w:val="0"/>
                <w:lang w:eastAsia="zh-CN"/>
              </w:rPr>
              <w:t>（</w:t>
            </w:r>
            <w:r>
              <w:rPr>
                <w:rFonts w:hint="eastAsia" w:ascii="宋体" w:hAnsi="宋体" w:cs="宋体"/>
                <w:b w:val="0"/>
                <w:bCs w:val="0"/>
                <w:color w:val="auto"/>
                <w:kern w:val="0"/>
              </w:rPr>
              <w:t>提供复印件并加盖制造商公章</w:t>
            </w:r>
            <w:r>
              <w:rPr>
                <w:rFonts w:hint="eastAsia" w:ascii="宋体" w:hAnsi="宋体" w:cs="宋体"/>
                <w:b w:val="0"/>
                <w:bCs w:val="0"/>
                <w:color w:val="auto"/>
                <w:kern w:val="0"/>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lang w:val="en-US" w:eastAsia="zh-CN"/>
              </w:rPr>
            </w:pPr>
            <w:r>
              <w:rPr>
                <w:rFonts w:hint="eastAsia" w:ascii="宋体" w:hAnsi="宋体" w:cs="宋体"/>
                <w:b w:val="0"/>
                <w:bCs w:val="0"/>
                <w:color w:val="auto"/>
                <w:kern w:val="0"/>
              </w:rPr>
              <w:t>①节能认证证书</w:t>
            </w:r>
            <w:r>
              <w:rPr>
                <w:rFonts w:hint="eastAsia" w:ascii="宋体" w:hAnsi="宋体" w:cs="宋体"/>
                <w:b w:val="0"/>
                <w:bCs w:val="0"/>
                <w:color w:val="auto"/>
                <w:kern w:val="0"/>
                <w:lang w:val="en-US" w:eastAsia="zh-CN"/>
              </w:rPr>
              <w:t xml:space="preserve"> </w:t>
            </w:r>
            <w:r>
              <w:rPr>
                <w:rFonts w:hint="eastAsia" w:ascii="宋体" w:hAnsi="宋体" w:cs="宋体"/>
                <w:b w:val="0"/>
                <w:bCs w:val="0"/>
                <w:color w:val="auto"/>
                <w:kern w:val="0"/>
              </w:rPr>
              <w:t>②</w:t>
            </w:r>
            <w:r>
              <w:rPr>
                <w:rFonts w:ascii="宋体" w:hAnsi="宋体" w:cs="宋体"/>
                <w:b w:val="0"/>
                <w:bCs w:val="0"/>
                <w:color w:val="auto"/>
                <w:kern w:val="0"/>
              </w:rPr>
              <w:t>ROHS</w:t>
            </w:r>
            <w:r>
              <w:rPr>
                <w:rFonts w:hint="eastAsia" w:ascii="宋体" w:hAnsi="宋体" w:cs="宋体"/>
                <w:b w:val="0"/>
                <w:bCs w:val="0"/>
                <w:color w:val="auto"/>
                <w:kern w:val="0"/>
              </w:rPr>
              <w:t>环保测试报告</w:t>
            </w:r>
            <w:r>
              <w:rPr>
                <w:rFonts w:hint="eastAsia" w:ascii="宋体" w:hAnsi="宋体" w:cs="宋体"/>
                <w:b w:val="0"/>
                <w:bCs w:val="0"/>
                <w:color w:val="auto"/>
                <w:kern w:val="0"/>
                <w:lang w:val="en-US" w:eastAsia="zh-CN"/>
              </w:rPr>
              <w:t xml:space="preserve"> </w:t>
            </w:r>
            <w:r>
              <w:rPr>
                <w:rFonts w:hint="eastAsia" w:ascii="宋体" w:hAnsi="宋体" w:cs="宋体"/>
                <w:b w:val="0"/>
                <w:bCs w:val="0"/>
                <w:color w:val="auto"/>
                <w:kern w:val="0"/>
              </w:rPr>
              <w:t>③</w:t>
            </w:r>
            <w:r>
              <w:rPr>
                <w:rFonts w:hint="eastAsia" w:ascii="宋体" w:hAnsi="宋体"/>
                <w:b w:val="0"/>
                <w:bCs w:val="0"/>
                <w:color w:val="auto"/>
              </w:rPr>
              <w:t>产品检测报告</w:t>
            </w:r>
          </w:p>
        </w:tc>
      </w:tr>
      <w:tr>
        <w:tblPrEx>
          <w:tblCellMar>
            <w:top w:w="0" w:type="dxa"/>
            <w:left w:w="0" w:type="dxa"/>
            <w:bottom w:w="0" w:type="dxa"/>
            <w:right w:w="0" w:type="dxa"/>
          </w:tblCellMar>
        </w:tblPrEx>
        <w:trPr>
          <w:trHeight w:val="484" w:hRule="atLeast"/>
          <w:jc w:val="center"/>
        </w:trPr>
        <w:tc>
          <w:tcPr>
            <w:tcW w:w="5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9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ascii="宋体" w:hAnsi="宋体" w:cs="宋体"/>
                <w:color w:val="000000"/>
                <w:szCs w:val="21"/>
              </w:rPr>
            </w:pPr>
            <w:r>
              <w:rPr>
                <w:rFonts w:hint="eastAsia" w:ascii="宋体" w:hAnsi="宋体" w:cs="宋体"/>
                <w:color w:val="000000"/>
                <w:kern w:val="0"/>
                <w:szCs w:val="21"/>
              </w:rPr>
              <w:t>蓄电池</w:t>
            </w:r>
          </w:p>
        </w:tc>
        <w:tc>
          <w:tcPr>
            <w:tcW w:w="83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eastAsia="宋体"/>
                <w:lang w:eastAsia="zh-CN"/>
              </w:rPr>
            </w:pPr>
            <w:r>
              <w:rPr>
                <w:rFonts w:hint="eastAsia"/>
                <w:lang w:val="en-US" w:eastAsia="zh-CN"/>
              </w:rPr>
              <w:t>1</w:t>
            </w:r>
            <w:r>
              <w:rPr>
                <w:rFonts w:hint="eastAsia"/>
              </w:rPr>
              <w:t>、</w:t>
            </w:r>
            <w:r>
              <w:rPr>
                <w:rFonts w:hint="default"/>
              </w:rPr>
              <w:t>设计浮充使用寿命：</w:t>
            </w:r>
            <w:r>
              <w:rPr>
                <w:rFonts w:hint="eastAsia"/>
                <w:lang w:val="en-US" w:eastAsia="zh-CN"/>
              </w:rPr>
              <w:t>≥</w:t>
            </w:r>
            <w:r>
              <w:rPr>
                <w:rFonts w:hint="default"/>
              </w:rPr>
              <w:t>12年（25℃）</w:t>
            </w:r>
            <w:r>
              <w:rPr>
                <w:rFonts w:hint="eastAsia"/>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eastAsia="宋体"/>
                <w:lang w:eastAsia="zh-CN"/>
              </w:rPr>
            </w:pPr>
            <w:r>
              <w:rPr>
                <w:rFonts w:hint="eastAsia"/>
                <w:lang w:val="en-US" w:eastAsia="zh-CN"/>
              </w:rPr>
              <w:t>2</w:t>
            </w:r>
            <w:r>
              <w:rPr>
                <w:rFonts w:hint="default"/>
              </w:rPr>
              <w:t>、额定电压：12V</w:t>
            </w:r>
            <w:r>
              <w:rPr>
                <w:rFonts w:hint="eastAsia"/>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eastAsia="宋体"/>
                <w:lang w:eastAsia="zh-CN"/>
              </w:rPr>
            </w:pPr>
            <w:r>
              <w:rPr>
                <w:rFonts w:hint="eastAsia"/>
                <w:lang w:val="en-US" w:eastAsia="zh-CN"/>
              </w:rPr>
              <w:t>3</w:t>
            </w:r>
            <w:r>
              <w:rPr>
                <w:rFonts w:hint="default"/>
              </w:rPr>
              <w:t>、额定容量 (10 小时率)：</w:t>
            </w:r>
            <w:r>
              <w:rPr>
                <w:rFonts w:hint="eastAsia"/>
                <w:lang w:val="en-US" w:eastAsia="zh-CN"/>
              </w:rPr>
              <w:t>≥15</w:t>
            </w:r>
            <w:r>
              <w:rPr>
                <w:rFonts w:hint="default"/>
              </w:rPr>
              <w:t>0A</w:t>
            </w:r>
            <w:r>
              <w:rPr>
                <w:rFonts w:hint="eastAsia"/>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eastAsia="宋体"/>
                <w:lang w:eastAsia="zh-CN"/>
              </w:rPr>
            </w:pPr>
            <w:r>
              <w:rPr>
                <w:rFonts w:hint="eastAsia"/>
                <w:lang w:val="en-US" w:eastAsia="zh-CN"/>
              </w:rPr>
              <w:t>4</w:t>
            </w:r>
            <w:r>
              <w:rPr>
                <w:rFonts w:hint="eastAsia"/>
              </w:rPr>
              <w:t>、</w:t>
            </w:r>
            <w:r>
              <w:rPr>
                <w:rFonts w:hint="default"/>
              </w:rPr>
              <w:t>比重为1.280d 的低密度电解液</w:t>
            </w:r>
            <w:r>
              <w:rPr>
                <w:rFonts w:hint="eastAsia"/>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eastAsia="宋体"/>
                <w:lang w:eastAsia="zh-CN"/>
              </w:rPr>
            </w:pPr>
            <w:r>
              <w:rPr>
                <w:rFonts w:hint="eastAsia"/>
                <w:lang w:val="en-US" w:eastAsia="zh-CN"/>
              </w:rPr>
              <w:t>5</w:t>
            </w:r>
            <w:r>
              <w:rPr>
                <w:rFonts w:hint="default"/>
              </w:rPr>
              <w:t>、</w:t>
            </w:r>
            <w:r>
              <w:rPr>
                <w:rStyle w:val="89"/>
                <w:rFonts w:hint="default"/>
              </w:rPr>
              <w:t>采用达到UL94 V-0 阻燃等级的ABS 阻燃壳体</w:t>
            </w:r>
            <w:r>
              <w:rPr>
                <w:rFonts w:hint="eastAsia" w:eastAsia="宋体"/>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eastAsia="宋体"/>
                <w:lang w:eastAsia="zh-CN"/>
              </w:rPr>
            </w:pPr>
            <w:r>
              <w:rPr>
                <w:rFonts w:hint="eastAsia"/>
                <w:lang w:val="en-US" w:eastAsia="zh-CN"/>
              </w:rPr>
              <w:t>6</w:t>
            </w:r>
            <w:r>
              <w:rPr>
                <w:rFonts w:hint="default"/>
              </w:rPr>
              <w:t>、</w:t>
            </w:r>
            <w:r>
              <w:rPr>
                <w:rStyle w:val="89"/>
                <w:rFonts w:hint="default"/>
              </w:rPr>
              <w:t>电池密封反应效率≥98%</w:t>
            </w:r>
            <w:r>
              <w:rPr>
                <w:rFonts w:hint="eastAsia" w:eastAsia="宋体"/>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eastAsia="宋体"/>
                <w:lang w:val="en-US" w:eastAsia="zh-CN"/>
              </w:rPr>
            </w:pPr>
            <w:r>
              <w:rPr>
                <w:rFonts w:hint="eastAsia"/>
                <w:lang w:val="en-US" w:eastAsia="zh-CN"/>
              </w:rPr>
              <w:t>7</w:t>
            </w:r>
            <w:r>
              <w:rPr>
                <w:rFonts w:hint="default"/>
              </w:rPr>
              <w:t>、在25℃环境下，电池自放电＜3%/月；电池循环寿命较普通电池提升15%以上，25%DOD 循环1200 次以上</w:t>
            </w:r>
            <w:r>
              <w:rPr>
                <w:rFonts w:hint="eastAsia"/>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210" w:firstLineChars="100"/>
              <w:textAlignment w:val="auto"/>
              <w:rPr>
                <w:rFonts w:ascii="宋体" w:hAnsi="宋体" w:cs="宋体"/>
                <w:b w:val="0"/>
                <w:bCs w:val="0"/>
                <w:color w:val="auto"/>
                <w:kern w:val="0"/>
              </w:rPr>
            </w:pPr>
            <w:r>
              <w:rPr>
                <w:rFonts w:hint="eastAsia" w:ascii="宋体" w:hAnsi="宋体" w:cs="宋体"/>
                <w:b w:val="0"/>
                <w:bCs w:val="0"/>
                <w:color w:val="auto"/>
                <w:kern w:val="0"/>
              </w:rPr>
              <w:t>投标人须提供</w:t>
            </w:r>
            <w:r>
              <w:rPr>
                <w:rFonts w:hint="eastAsia" w:ascii="宋体" w:hAnsi="宋体" w:cs="宋体"/>
                <w:b w:val="0"/>
                <w:bCs w:val="0"/>
                <w:color w:val="auto"/>
                <w:kern w:val="0"/>
                <w:lang w:eastAsia="zh-CN"/>
              </w:rPr>
              <w:t>所投</w:t>
            </w:r>
            <w:r>
              <w:rPr>
                <w:rFonts w:hint="eastAsia" w:ascii="宋体" w:hAnsi="宋体" w:cs="宋体"/>
                <w:b w:val="0"/>
                <w:bCs w:val="0"/>
                <w:color w:val="auto"/>
                <w:kern w:val="0"/>
              </w:rPr>
              <w:t>蓄电池制造商如下证书：</w:t>
            </w:r>
            <w:r>
              <w:rPr>
                <w:rFonts w:hint="eastAsia" w:ascii="宋体" w:hAnsi="宋体" w:cs="宋体"/>
                <w:b w:val="0"/>
                <w:bCs w:val="0"/>
                <w:color w:val="auto"/>
                <w:kern w:val="0"/>
                <w:lang w:eastAsia="zh-CN"/>
              </w:rPr>
              <w:t>（</w:t>
            </w:r>
            <w:r>
              <w:rPr>
                <w:rFonts w:hint="eastAsia" w:ascii="宋体" w:hAnsi="宋体" w:cs="宋体"/>
                <w:b w:val="0"/>
                <w:bCs w:val="0"/>
                <w:color w:val="auto"/>
                <w:kern w:val="0"/>
              </w:rPr>
              <w:t>提供复印件并加盖制造商公章</w:t>
            </w:r>
            <w:r>
              <w:rPr>
                <w:rFonts w:hint="eastAsia" w:ascii="宋体" w:hAnsi="宋体" w:cs="宋体"/>
                <w:b w:val="0"/>
                <w:bCs w:val="0"/>
                <w:color w:val="auto"/>
                <w:kern w:val="0"/>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lang w:val="en-US" w:eastAsia="zh-CN"/>
              </w:rPr>
            </w:pPr>
            <w:r>
              <w:rPr>
                <w:rFonts w:hint="eastAsia" w:ascii="宋体" w:hAnsi="宋体" w:cs="宋体"/>
                <w:b w:val="0"/>
                <w:bCs w:val="0"/>
                <w:color w:val="auto"/>
                <w:kern w:val="0"/>
              </w:rPr>
              <w:t>①泰尔认证证书</w:t>
            </w:r>
            <w:r>
              <w:rPr>
                <w:rFonts w:hint="eastAsia" w:ascii="宋体" w:hAnsi="宋体" w:cs="宋体"/>
                <w:b w:val="0"/>
                <w:bCs w:val="0"/>
                <w:color w:val="auto"/>
                <w:kern w:val="0"/>
                <w:lang w:val="en-US" w:eastAsia="zh-CN"/>
              </w:rPr>
              <w:t xml:space="preserve"> </w:t>
            </w:r>
            <w:r>
              <w:rPr>
                <w:rFonts w:hint="eastAsia" w:ascii="宋体" w:hAnsi="宋体" w:cs="宋体"/>
                <w:b w:val="0"/>
                <w:bCs w:val="0"/>
                <w:color w:val="auto"/>
                <w:kern w:val="0"/>
              </w:rPr>
              <w:t>②工业生产许可证</w:t>
            </w:r>
          </w:p>
        </w:tc>
      </w:tr>
      <w:tr>
        <w:tblPrEx>
          <w:tblCellMar>
            <w:top w:w="0" w:type="dxa"/>
            <w:left w:w="0" w:type="dxa"/>
            <w:bottom w:w="0" w:type="dxa"/>
            <w:right w:w="0" w:type="dxa"/>
          </w:tblCellMar>
        </w:tblPrEx>
        <w:trPr>
          <w:trHeight w:val="484" w:hRule="atLeast"/>
          <w:jc w:val="center"/>
        </w:trPr>
        <w:tc>
          <w:tcPr>
            <w:tcW w:w="5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eastAsia" w:ascii="宋体" w:hAnsi="宋体" w:cs="宋体"/>
                <w:color w:val="000000"/>
                <w:szCs w:val="21"/>
                <w:lang w:val="en-US" w:eastAsia="zh-CN"/>
              </w:rPr>
            </w:pPr>
            <w:r>
              <w:rPr>
                <w:rFonts w:hint="eastAsia" w:ascii="宋体" w:hAnsi="宋体" w:cs="宋体"/>
                <w:kern w:val="0"/>
                <w:szCs w:val="21"/>
                <w:lang w:val="en-US" w:eastAsia="zh-CN"/>
              </w:rPr>
              <w:t>3</w:t>
            </w:r>
          </w:p>
        </w:tc>
        <w:tc>
          <w:tcPr>
            <w:tcW w:w="9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电气安全监控系统</w:t>
            </w:r>
          </w:p>
        </w:tc>
        <w:tc>
          <w:tcPr>
            <w:tcW w:w="83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left"/>
              <w:textAlignment w:val="center"/>
              <w:rPr>
                <w:rFonts w:hint="eastAsia"/>
                <w:lang w:val="en-US" w:eastAsia="zh-CN"/>
              </w:rPr>
            </w:pPr>
            <w:r>
              <w:rPr>
                <w:rFonts w:hint="eastAsia" w:ascii="宋体" w:hAnsi="宋体" w:eastAsia="宋体" w:cs="宋体"/>
                <w:lang w:val="en-US" w:eastAsia="zh-CN"/>
              </w:rPr>
              <w:t>1、</w:t>
            </w:r>
            <w:r>
              <w:rPr>
                <w:rFonts w:hint="eastAsia"/>
                <w:lang w:val="en-US" w:eastAsia="zh-CN"/>
              </w:rPr>
              <w:t>一体化设计，多功能主机，应同时具备剩余电流（漏电）、电流、温度、短路、故障电弧、功率、电量等多种功能，并支持自动断电。</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both"/>
              <w:textAlignment w:val="center"/>
              <w:rPr>
                <w:rFonts w:hint="eastAsia"/>
                <w:lang w:val="en-US" w:eastAsia="zh-CN"/>
              </w:rPr>
            </w:pPr>
            <w:r>
              <w:rPr>
                <w:rFonts w:hint="eastAsia" w:ascii="宋体" w:hAnsi="宋体" w:eastAsia="宋体" w:cs="宋体"/>
                <w:lang w:val="en-US" w:eastAsia="zh-CN"/>
              </w:rPr>
              <w:t>2、</w:t>
            </w:r>
            <w:r>
              <w:rPr>
                <w:rFonts w:hint="eastAsia"/>
                <w:lang w:val="en-US" w:eastAsia="zh-CN"/>
              </w:rPr>
              <w:t>设备采用非入侵式智能识别技术，可实现线路内全部用电器的类型识别及运行状态监测。</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3、信息转发，支持APP、短信、电话、邮件等多种转发方式；APP和WEB可查看通知记录信息（通知人员，通知方式、监测点名称、报警类型、报警时间</w:t>
            </w:r>
            <w:r>
              <w:rPr>
                <w:rStyle w:val="89"/>
                <w:rFonts w:hint="eastAsia" w:ascii="宋体" w:hAnsi="宋体" w:eastAsia="宋体" w:cs="宋体"/>
                <w:sz w:val="21"/>
                <w:szCs w:val="21"/>
                <w:lang w:val="en-US" w:eastAsia="zh-CN" w:bidi="ar"/>
              </w:rPr>
              <w:t>），可筛选开始时间至结束时间、通知人、监测点名称、报警类型、报警时间。</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left"/>
              <w:textAlignment w:val="center"/>
              <w:rPr>
                <w:rFonts w:hint="default"/>
                <w:b/>
                <w:bCs/>
              </w:rPr>
            </w:pPr>
            <w:r>
              <w:rPr>
                <w:rFonts w:hint="eastAsia" w:ascii="宋体" w:hAnsi="宋体" w:eastAsia="宋体" w:cs="宋体"/>
                <w:i w:val="0"/>
                <w:color w:val="000000"/>
                <w:kern w:val="0"/>
                <w:sz w:val="21"/>
                <w:szCs w:val="21"/>
                <w:u w:val="none"/>
                <w:lang w:val="en-US" w:eastAsia="zh-CN" w:bidi="ar"/>
              </w:rPr>
              <w:t>4、</w:t>
            </w:r>
            <w:r>
              <w:rPr>
                <w:rStyle w:val="90"/>
                <w:rFonts w:hint="default"/>
                <w:bCs/>
              </w:rPr>
              <w:t>电气安全监控软件平台须与</w:t>
            </w:r>
            <w:r>
              <w:rPr>
                <w:rStyle w:val="90"/>
                <w:rFonts w:hint="eastAsia" w:eastAsia="宋体"/>
                <w:bCs/>
                <w:lang w:val="en-US" w:eastAsia="zh-CN"/>
              </w:rPr>
              <w:t>医院</w:t>
            </w:r>
            <w:r>
              <w:rPr>
                <w:rStyle w:val="90"/>
                <w:rFonts w:hint="default"/>
                <w:bCs/>
              </w:rPr>
              <w:t>现有的电力安全系统平台统一到一个平台上，实现统一管理，方面监管维护</w:t>
            </w:r>
            <w:r>
              <w:rPr>
                <w:rFonts w:hint="default"/>
                <w:b/>
                <w:bCs/>
              </w:rPr>
              <w:t>。</w:t>
            </w:r>
          </w:p>
          <w:p>
            <w:pPr>
              <w:pStyle w:val="4"/>
              <w:tabs>
                <w:tab w:val="left" w:pos="945"/>
                <w:tab w:val="left" w:pos="1155"/>
              </w:tabs>
              <w:spacing w:line="240" w:lineRule="auto"/>
              <w:ind w:left="0" w:leftChars="0" w:firstLine="240" w:firstLineChars="100"/>
              <w:rPr>
                <w:rFonts w:hint="eastAsia" w:ascii="宋体" w:hAnsi="宋体" w:eastAsia="宋体" w:cs="宋体"/>
                <w:b w:val="0"/>
                <w:bCs w:val="0"/>
                <w:color w:val="auto"/>
                <w:kern w:val="0"/>
                <w:sz w:val="21"/>
                <w:szCs w:val="24"/>
                <w:lang w:val="en-US" w:eastAsia="zh-CN" w:bidi="ar-SA"/>
              </w:rPr>
            </w:pPr>
            <w:r>
              <w:rPr>
                <w:rFonts w:hint="eastAsia" w:ascii="宋体" w:hAnsi="宋体" w:cs="宋体"/>
                <w:b w:val="0"/>
                <w:bCs w:val="0"/>
                <w:color w:val="auto"/>
                <w:kern w:val="0"/>
              </w:rPr>
              <w:t>投标人</w:t>
            </w:r>
            <w:r>
              <w:rPr>
                <w:rFonts w:hint="eastAsia" w:ascii="宋体" w:hAnsi="宋体" w:eastAsia="宋体" w:cs="宋体"/>
                <w:b w:val="0"/>
                <w:bCs w:val="0"/>
                <w:color w:val="auto"/>
                <w:kern w:val="0"/>
                <w:sz w:val="21"/>
                <w:szCs w:val="24"/>
                <w:lang w:val="en-US" w:eastAsia="zh-CN" w:bidi="ar-SA"/>
              </w:rPr>
              <w:t>须提供电气安全监控设备</w:t>
            </w:r>
            <w:r>
              <w:rPr>
                <w:rFonts w:hint="eastAsia" w:ascii="宋体" w:hAnsi="宋体" w:cs="宋体"/>
                <w:b w:val="0"/>
                <w:bCs w:val="0"/>
                <w:color w:val="auto"/>
                <w:kern w:val="0"/>
                <w:sz w:val="21"/>
                <w:szCs w:val="24"/>
                <w:lang w:val="en-US" w:eastAsia="zh-CN" w:bidi="ar-SA"/>
              </w:rPr>
              <w:t>制造商</w:t>
            </w:r>
            <w:r>
              <w:rPr>
                <w:rFonts w:hint="eastAsia" w:ascii="宋体" w:hAnsi="宋体" w:eastAsia="宋体" w:cs="宋体"/>
                <w:b w:val="0"/>
                <w:bCs w:val="0"/>
                <w:color w:val="auto"/>
                <w:kern w:val="0"/>
                <w:sz w:val="21"/>
                <w:szCs w:val="24"/>
                <w:lang w:val="en-US" w:eastAsia="zh-CN" w:bidi="ar-SA"/>
              </w:rPr>
              <w:t>如下证书：（提供复印件并加盖</w:t>
            </w:r>
            <w:r>
              <w:rPr>
                <w:rFonts w:hint="eastAsia" w:ascii="宋体" w:hAnsi="宋体" w:cs="宋体"/>
                <w:b w:val="0"/>
                <w:bCs w:val="0"/>
                <w:color w:val="auto"/>
                <w:kern w:val="0"/>
              </w:rPr>
              <w:t>制造商</w:t>
            </w:r>
            <w:r>
              <w:rPr>
                <w:rFonts w:hint="eastAsia" w:ascii="宋体" w:hAnsi="宋体" w:eastAsia="宋体" w:cs="宋体"/>
                <w:b w:val="0"/>
                <w:bCs w:val="0"/>
                <w:color w:val="auto"/>
                <w:kern w:val="0"/>
                <w:sz w:val="21"/>
                <w:szCs w:val="24"/>
                <w:lang w:val="en-US" w:eastAsia="zh-CN" w:bidi="ar-SA"/>
              </w:rPr>
              <w:t>公章）</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left"/>
              <w:textAlignment w:val="center"/>
              <w:rPr>
                <w:rFonts w:hint="eastAsia" w:ascii="宋体" w:hAnsi="宋体" w:cs="宋体"/>
                <w:b w:val="0"/>
                <w:bCs w:val="0"/>
                <w:color w:val="auto"/>
                <w:kern w:val="0"/>
              </w:rPr>
            </w:pPr>
            <w:r>
              <w:rPr>
                <w:rFonts w:hint="eastAsia" w:ascii="宋体" w:hAnsi="宋体" w:eastAsia="宋体" w:cs="宋体"/>
                <w:b w:val="0"/>
                <w:bCs w:val="0"/>
                <w:color w:val="auto"/>
                <w:kern w:val="0"/>
                <w:sz w:val="21"/>
                <w:szCs w:val="24"/>
                <w:lang w:val="en-US" w:eastAsia="zh-CN" w:bidi="ar-SA"/>
              </w:rPr>
              <w:t>①消防部门检测报告</w:t>
            </w:r>
            <w:r>
              <w:rPr>
                <w:rFonts w:hint="eastAsia" w:ascii="宋体" w:hAnsi="宋体" w:cs="宋体"/>
                <w:b w:val="0"/>
                <w:bCs w:val="0"/>
                <w:color w:val="auto"/>
                <w:kern w:val="0"/>
                <w:sz w:val="21"/>
                <w:szCs w:val="24"/>
                <w:lang w:val="en-US" w:eastAsia="zh-CN" w:bidi="ar-SA"/>
              </w:rPr>
              <w:t xml:space="preserve"> </w:t>
            </w:r>
            <w:r>
              <w:rPr>
                <w:rFonts w:hint="eastAsia" w:ascii="宋体" w:hAnsi="宋体" w:eastAsia="宋体" w:cs="宋体"/>
                <w:b w:val="0"/>
                <w:bCs w:val="0"/>
                <w:color w:val="auto"/>
                <w:kern w:val="0"/>
                <w:sz w:val="21"/>
                <w:szCs w:val="24"/>
                <w:lang w:val="en-US" w:eastAsia="zh-CN" w:bidi="ar-SA"/>
              </w:rPr>
              <w:t>②3C认证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3" w:hRule="atLeast"/>
          <w:jc w:val="center"/>
        </w:trPr>
        <w:tc>
          <w:tcPr>
            <w:tcW w:w="551" w:type="dxa"/>
            <w:tcBorders>
              <w:top w:val="single" w:color="auto" w:sz="4"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938"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电池架</w:t>
            </w:r>
          </w:p>
        </w:tc>
        <w:tc>
          <w:tcPr>
            <w:tcW w:w="8357" w:type="dxa"/>
            <w:tcBorders>
              <w:top w:val="single" w:color="auto" w:sz="4" w:space="0"/>
              <w:left w:val="nil"/>
              <w:bottom w:val="single" w:color="auto" w:sz="4" w:space="0"/>
            </w:tcBorders>
            <w:noWrap w:val="0"/>
            <w:tcMar>
              <w:top w:w="15" w:type="dxa"/>
              <w:left w:w="15" w:type="dxa"/>
              <w:right w:w="15" w:type="dxa"/>
            </w:tcMar>
            <w:vAlign w:val="center"/>
          </w:tcPr>
          <w:p>
            <w:pPr>
              <w:pStyle w:val="4"/>
              <w:keepNext w:val="0"/>
              <w:keepLines w:val="0"/>
              <w:pageBreakBefore w:val="0"/>
              <w:widowControl/>
              <w:tabs>
                <w:tab w:val="left" w:pos="945"/>
                <w:tab w:val="left" w:pos="1155"/>
              </w:tabs>
              <w:kinsoku/>
              <w:wordWrap/>
              <w:overflowPunct/>
              <w:topLinePunct w:val="0"/>
              <w:autoSpaceDE/>
              <w:autoSpaceDN/>
              <w:bidi w:val="0"/>
              <w:adjustRightInd/>
              <w:snapToGrid/>
              <w:spacing w:line="288" w:lineRule="auto"/>
              <w:ind w:left="0" w:leftChars="0" w:firstLine="0" w:firstLineChars="0"/>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国标</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3" w:hRule="atLeast"/>
          <w:jc w:val="center"/>
        </w:trPr>
        <w:tc>
          <w:tcPr>
            <w:tcW w:w="551" w:type="dxa"/>
            <w:tcBorders>
              <w:top w:val="single" w:color="auto" w:sz="4"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938"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电池</w:t>
            </w:r>
          </w:p>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连接线</w:t>
            </w:r>
          </w:p>
        </w:tc>
        <w:tc>
          <w:tcPr>
            <w:tcW w:w="8357" w:type="dxa"/>
            <w:tcBorders>
              <w:top w:val="single" w:color="auto" w:sz="4" w:space="0"/>
              <w:left w:val="nil"/>
              <w:bottom w:val="single" w:color="auto" w:sz="4" w:space="0"/>
            </w:tcBorders>
            <w:noWrap w:val="0"/>
            <w:tcMar>
              <w:top w:w="15" w:type="dxa"/>
              <w:left w:w="15" w:type="dxa"/>
              <w:right w:w="15" w:type="dxa"/>
            </w:tcMar>
            <w:vAlign w:val="center"/>
          </w:tcPr>
          <w:p>
            <w:pPr>
              <w:pStyle w:val="4"/>
              <w:keepNext w:val="0"/>
              <w:keepLines w:val="0"/>
              <w:pageBreakBefore w:val="0"/>
              <w:widowControl/>
              <w:tabs>
                <w:tab w:val="left" w:pos="945"/>
                <w:tab w:val="left" w:pos="1155"/>
              </w:tabs>
              <w:kinsoku/>
              <w:wordWrap/>
              <w:overflowPunct/>
              <w:topLinePunct w:val="0"/>
              <w:autoSpaceDE/>
              <w:autoSpaceDN/>
              <w:bidi w:val="0"/>
              <w:adjustRightInd/>
              <w:snapToGrid/>
              <w:spacing w:line="288" w:lineRule="auto"/>
              <w:ind w:left="0" w:leftChars="0" w:firstLine="0" w:firstLineChars="0"/>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25</w:t>
            </w:r>
            <w:r>
              <w:rPr>
                <w:rStyle w:val="89"/>
                <w:rFonts w:hint="eastAsia" w:ascii="宋体" w:hAnsi="宋体" w:eastAsia="宋体" w:cs="宋体"/>
                <w:color w:val="auto"/>
                <w:sz w:val="21"/>
                <w:szCs w:val="21"/>
                <w:lang w:val="en-US" w:eastAsia="zh-CN" w:bidi="ar"/>
              </w:rPr>
              <w:t>mm²</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3" w:hRule="atLeast"/>
          <w:jc w:val="center"/>
        </w:trPr>
        <w:tc>
          <w:tcPr>
            <w:tcW w:w="551" w:type="dxa"/>
            <w:tcBorders>
              <w:top w:val="single" w:color="auto" w:sz="4"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6</w:t>
            </w:r>
          </w:p>
        </w:tc>
        <w:tc>
          <w:tcPr>
            <w:tcW w:w="938"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输入</w:t>
            </w:r>
          </w:p>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输出线缆</w:t>
            </w:r>
          </w:p>
        </w:tc>
        <w:tc>
          <w:tcPr>
            <w:tcW w:w="8357" w:type="dxa"/>
            <w:tcBorders>
              <w:top w:val="single" w:color="auto" w:sz="4" w:space="0"/>
              <w:left w:val="nil"/>
              <w:bottom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b/>
                <w:bCs/>
                <w:lang w:val="en-US" w:eastAsia="zh-CN"/>
              </w:rPr>
            </w:pPr>
            <w:r>
              <w:rPr>
                <w:rFonts w:hint="eastAsia" w:ascii="宋体" w:hAnsi="宋体" w:cs="宋体"/>
                <w:color w:val="000000"/>
                <w:kern w:val="0"/>
                <w:szCs w:val="21"/>
                <w:lang w:val="en-US" w:eastAsia="zh-CN"/>
              </w:rPr>
              <w:t>25</w:t>
            </w:r>
            <w:r>
              <w:rPr>
                <w:rStyle w:val="89"/>
                <w:rFonts w:hint="eastAsia" w:ascii="宋体" w:hAnsi="宋体" w:eastAsia="宋体" w:cs="宋体"/>
                <w:color w:val="auto"/>
                <w:sz w:val="21"/>
                <w:szCs w:val="21"/>
                <w:lang w:val="en-US" w:eastAsia="zh-CN" w:bidi="ar"/>
              </w:rPr>
              <w:t>mm²</w:t>
            </w:r>
          </w:p>
        </w:tc>
      </w:tr>
      <w:tr>
        <w:tblPrEx>
          <w:tblCellMar>
            <w:top w:w="0" w:type="dxa"/>
            <w:left w:w="0" w:type="dxa"/>
            <w:bottom w:w="0" w:type="dxa"/>
            <w:right w:w="0" w:type="dxa"/>
          </w:tblCellMar>
        </w:tblPrEx>
        <w:trPr>
          <w:trHeight w:val="439" w:hRule="atLeast"/>
          <w:jc w:val="center"/>
        </w:trPr>
        <w:tc>
          <w:tcPr>
            <w:tcW w:w="551"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widowControl/>
              <w:spacing w:line="240" w:lineRule="auto"/>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7</w:t>
            </w:r>
          </w:p>
        </w:tc>
        <w:tc>
          <w:tcPr>
            <w:tcW w:w="938"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line="240" w:lineRule="auto"/>
              <w:jc w:val="both"/>
              <w:textAlignment w:val="center"/>
              <w:rPr>
                <w:rFonts w:ascii="宋体" w:hAnsi="宋体" w:cs="宋体"/>
                <w:szCs w:val="21"/>
              </w:rPr>
            </w:pPr>
            <w:r>
              <w:rPr>
                <w:rFonts w:hint="eastAsia" w:ascii="宋体" w:hAnsi="宋体" w:eastAsia="宋体" w:cs="宋体"/>
                <w:i w:val="0"/>
                <w:iCs w:val="0"/>
                <w:color w:val="000000"/>
                <w:kern w:val="0"/>
                <w:sz w:val="22"/>
                <w:szCs w:val="22"/>
                <w:u w:val="none"/>
                <w:lang w:val="en-US" w:eastAsia="zh-CN" w:bidi="ar"/>
              </w:rPr>
              <w:t>安装调试</w:t>
            </w:r>
          </w:p>
        </w:tc>
        <w:tc>
          <w:tcPr>
            <w:tcW w:w="8357"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cs="宋体"/>
                <w:szCs w:val="21"/>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按国家电力标准</w:t>
            </w:r>
            <w:r>
              <w:rPr>
                <w:rFonts w:hint="eastAsia" w:ascii="宋体" w:hAnsi="宋体" w:eastAsia="宋体" w:cs="宋体"/>
                <w:i w:val="0"/>
                <w:iCs w:val="0"/>
                <w:color w:val="000000"/>
                <w:kern w:val="0"/>
                <w:sz w:val="22"/>
                <w:szCs w:val="22"/>
                <w:highlight w:val="none"/>
                <w:u w:val="none"/>
                <w:lang w:val="en-US" w:eastAsia="zh-CN" w:bidi="ar"/>
              </w:rPr>
              <w:t>进行安装调试。</w:t>
            </w:r>
          </w:p>
        </w:tc>
      </w:tr>
      <w:tr>
        <w:tblPrEx>
          <w:tblCellMar>
            <w:top w:w="0" w:type="dxa"/>
            <w:left w:w="0" w:type="dxa"/>
            <w:bottom w:w="0" w:type="dxa"/>
            <w:right w:w="0" w:type="dxa"/>
          </w:tblCellMar>
        </w:tblPrEx>
        <w:trPr>
          <w:trHeight w:val="256" w:hRule="atLeast"/>
          <w:jc w:val="center"/>
        </w:trPr>
        <w:tc>
          <w:tcPr>
            <w:tcW w:w="1489" w:type="dxa"/>
            <w:gridSpan w:val="2"/>
            <w:tcBorders>
              <w:top w:val="single" w:color="auto" w:sz="4" w:space="0"/>
              <w:left w:val="single" w:color="000000" w:sz="8" w:space="0"/>
              <w:bottom w:val="single" w:color="auto" w:sz="4" w:space="0"/>
              <w:right w:val="single" w:color="000000" w:sz="8"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质量标准</w:t>
            </w:r>
          </w:p>
        </w:tc>
        <w:tc>
          <w:tcPr>
            <w:tcW w:w="8357"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rPr>
                <w:rFonts w:ascii="宋体" w:hAnsi="宋体" w:cs="宋体"/>
                <w:color w:val="000000"/>
                <w:sz w:val="24"/>
              </w:rPr>
            </w:pPr>
            <w:r>
              <w:rPr>
                <w:rFonts w:hint="eastAsia" w:ascii="宋体" w:hAnsi="宋体" w:cs="宋体"/>
                <w:color w:val="000000"/>
                <w:kern w:val="0"/>
                <w:sz w:val="22"/>
                <w:szCs w:val="22"/>
              </w:rPr>
              <w:t>符合现行国家质量要求和行业有关标准。</w:t>
            </w:r>
          </w:p>
        </w:tc>
      </w:tr>
    </w:tbl>
    <w:p>
      <w:pPr>
        <w:pStyle w:val="87"/>
        <w:spacing w:line="360" w:lineRule="auto"/>
        <w:ind w:left="630" w:leftChars="300" w:firstLine="210" w:firstLineChars="100"/>
        <w:jc w:val="left"/>
        <w:rPr>
          <w:rFonts w:hint="eastAsia" w:asciiTheme="minorEastAsia" w:hAnsiTheme="minorEastAsia" w:eastAsiaTheme="minorEastAsia" w:cstheme="minorEastAsia"/>
          <w:color w:val="auto"/>
          <w:sz w:val="21"/>
          <w:szCs w:val="21"/>
          <w:lang w:val="en-US" w:eastAsia="zh-CN"/>
        </w:rPr>
      </w:pPr>
    </w:p>
    <w:p>
      <w:pPr>
        <w:pStyle w:val="5"/>
        <w:numPr>
          <w:ilvl w:val="0"/>
          <w:numId w:val="0"/>
        </w:numPr>
        <w:spacing w:after="0"/>
        <w:ind w:left="36" w:leftChars="0"/>
        <w:jc w:val="left"/>
        <w:rPr>
          <w:rFonts w:hint="eastAsia" w:ascii="宋体" w:hAnsi="宋体" w:eastAsia="宋体" w:cs="宋体"/>
          <w:color w:val="auto"/>
          <w:kern w:val="2"/>
          <w:sz w:val="21"/>
          <w:szCs w:val="24"/>
          <w:lang w:val="en-US" w:eastAsia="zh-CN" w:bidi="ar-SA"/>
        </w:rPr>
      </w:pPr>
    </w:p>
    <w:bookmarkEnd w:id="35"/>
    <w:bookmarkEnd w:id="36"/>
    <w:p>
      <w:pPr>
        <w:snapToGrid w:val="0"/>
        <w:spacing w:line="360" w:lineRule="auto"/>
        <w:jc w:val="center"/>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000000"/>
                <w:kern w:val="0"/>
                <w:sz w:val="22"/>
                <w:szCs w:val="22"/>
              </w:rPr>
              <w:t>符合现行国家质量要求和行业有关标准</w:t>
            </w: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Ansi="宋体" w:cs="宋体"/>
                <w:color w:val="auto"/>
                <w:kern w:val="0"/>
                <w:szCs w:val="21"/>
                <w:highlight w:val="none"/>
              </w:rPr>
            </w:pPr>
            <w:r>
              <w:rPr>
                <w:rFonts w:hint="eastAsia" w:ascii="宋体" w:hAnsi="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中标人须提供后期服务保障和技术支持。</w:t>
            </w:r>
          </w:p>
        </w:tc>
      </w:tr>
    </w:tbl>
    <w:p>
      <w:pPr>
        <w:pStyle w:val="2"/>
        <w:ind w:firstLine="0" w:firstLineChars="0"/>
        <w:rPr>
          <w:color w:val="auto"/>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rPr>
          <w:color w:val="auto"/>
          <w:highlight w:val="none"/>
        </w:rPr>
      </w:pPr>
    </w:p>
    <w:p>
      <w:pPr>
        <w:rPr>
          <w:color w:val="auto"/>
          <w:sz w:val="32"/>
          <w:szCs w:val="32"/>
          <w:highlight w:val="none"/>
        </w:rPr>
      </w:pPr>
      <w:r>
        <w:rPr>
          <w:color w:val="auto"/>
          <w:sz w:val="32"/>
          <w:szCs w:val="32"/>
          <w:highlight w:val="none"/>
        </w:rPr>
        <w:br w:type="page"/>
      </w:r>
    </w:p>
    <w:p>
      <w:pPr>
        <w:rPr>
          <w:color w:val="auto"/>
          <w:highlight w:val="none"/>
        </w:rPr>
      </w:pPr>
    </w:p>
    <w:p>
      <w:pPr>
        <w:pStyle w:val="7"/>
        <w:spacing w:before="0" w:after="0" w:line="240" w:lineRule="atLeast"/>
        <w:jc w:val="center"/>
        <w:rPr>
          <w:color w:val="auto"/>
          <w:sz w:val="32"/>
          <w:szCs w:val="32"/>
          <w:highlight w:val="none"/>
        </w:rPr>
      </w:pPr>
      <w:bookmarkStart w:id="40" w:name="_Toc14504"/>
      <w:r>
        <w:rPr>
          <w:rFonts w:hint="eastAsia"/>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rPr>
            </w:pPr>
            <w:r>
              <w:rPr>
                <w:rFonts w:hint="eastAsia"/>
                <w:color w:val="auto"/>
                <w:highlight w:val="none"/>
              </w:rPr>
              <w:t>1.1 项目名称：</w:t>
            </w:r>
            <w:r>
              <w:rPr>
                <w:rFonts w:hint="eastAsia" w:ascii="宋体" w:hAnsi="宋体" w:cs="宋体"/>
                <w:color w:val="auto"/>
                <w:lang w:eastAsia="zh-CN"/>
              </w:rPr>
              <w:t>驻马店市中心医院</w:t>
            </w:r>
            <w:r>
              <w:rPr>
                <w:rFonts w:hint="eastAsia" w:ascii="宋体" w:hAnsi="宋体" w:cs="宋体"/>
                <w:color w:val="auto"/>
                <w:lang w:val="en-US" w:eastAsia="zh-CN"/>
              </w:rPr>
              <w:t>输血科和GCP药房配备UPS电源采购项目</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8.3万</w:t>
            </w:r>
            <w:r>
              <w:rPr>
                <w:rFonts w:hint="eastAsia" w:ascii="宋体" w:hAnsi="宋体" w:eastAsia="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rPr>
            </w:pPr>
            <w:r>
              <w:rPr>
                <w:rFonts w:hint="eastAsia"/>
                <w:color w:val="auto"/>
              </w:rPr>
              <w:t>投标文件组成：纸质投标文件正本1份</w:t>
            </w:r>
            <w:r>
              <w:rPr>
                <w:rFonts w:hint="eastAsia"/>
                <w:color w:val="auto"/>
                <w:lang w:eastAsia="zh-CN"/>
              </w:rPr>
              <w:t>、</w:t>
            </w:r>
            <w:r>
              <w:rPr>
                <w:rFonts w:hint="eastAsia"/>
                <w:color w:val="auto"/>
                <w:lang w:val="en-US" w:eastAsia="zh-CN"/>
              </w:rPr>
              <w:t>副本2份</w:t>
            </w:r>
            <w:r>
              <w:rPr>
                <w:rFonts w:hint="eastAsia"/>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8.3万</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供应商应提供202</w:t>
      </w:r>
      <w:r>
        <w:rPr>
          <w:rFonts w:hint="eastAsia" w:ascii="宋体" w:hAnsi="宋体" w:cs="宋体"/>
          <w:color w:val="auto"/>
          <w:kern w:val="2"/>
          <w:sz w:val="21"/>
          <w:szCs w:val="24"/>
          <w:lang w:val="en-US" w:eastAsia="zh-CN" w:bidi="ar-SA"/>
        </w:rPr>
        <w:t>1</w:t>
      </w:r>
      <w:r>
        <w:rPr>
          <w:rFonts w:hint="eastAsia" w:ascii="宋体" w:hAnsi="宋体" w:eastAsia="宋体" w:cs="宋体"/>
          <w:color w:val="auto"/>
          <w:kern w:val="2"/>
          <w:sz w:val="21"/>
          <w:szCs w:val="24"/>
          <w:lang w:val="en-US" w:eastAsia="zh-CN" w:bidi="ar-SA"/>
        </w:rPr>
        <w:t>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yellow"/>
        </w:rPr>
      </w:pPr>
      <w:r>
        <w:rPr>
          <w:rFonts w:hint="eastAsia" w:ascii="宋体" w:hAnsi="宋体" w:cs="宋体"/>
          <w:color w:val="auto"/>
          <w:szCs w:val="21"/>
          <w:highlight w:val="none"/>
        </w:rPr>
        <w:t xml:space="preserve">4.5 </w:t>
      </w:r>
      <w:r>
        <w:rPr>
          <w:rFonts w:hint="eastAsia" w:ascii="宋体" w:hAnsi="宋体" w:cs="宋体"/>
          <w:color w:val="auto"/>
          <w:szCs w:val="21"/>
          <w:highlight w:val="none"/>
          <w:lang w:val="en-US" w:eastAsia="zh-CN"/>
        </w:rPr>
        <w:t>投标人须具有良好的商业信誉和完善的售后服务体系，并具有承担本项目的供货及服务能力（出具承诺书，格式自拟）；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 xml:space="preserve">4.6 </w:t>
      </w:r>
      <w:r>
        <w:rPr>
          <w:rFonts w:hint="eastAsia"/>
          <w:color w:val="auto"/>
          <w:lang w:val="en-US" w:eastAsia="zh-CN"/>
        </w:rPr>
        <w:t>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投标报价明细表（格式）</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4"/>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lang w:eastAsia="zh-CN"/>
        </w:rPr>
      </w:pPr>
      <w:r>
        <w:rPr>
          <w:rFonts w:hint="eastAsia"/>
          <w:color w:val="auto"/>
          <w:lang w:eastAsia="zh-CN"/>
        </w:rPr>
        <w:t>2</w:t>
      </w:r>
      <w:r>
        <w:rPr>
          <w:rFonts w:hint="eastAsia"/>
          <w:color w:val="auto"/>
          <w:lang w:val="en-US" w:eastAsia="zh-CN"/>
        </w:rPr>
        <w:t>1</w:t>
      </w:r>
      <w:r>
        <w:rPr>
          <w:rFonts w:hint="eastAsia"/>
          <w:color w:val="auto"/>
          <w:lang w:eastAsia="zh-CN"/>
        </w:rPr>
        <w:t>.3 未按本章第2</w:t>
      </w:r>
      <w:r>
        <w:rPr>
          <w:rFonts w:hint="eastAsia"/>
          <w:color w:val="auto"/>
          <w:lang w:val="en-US" w:eastAsia="zh-CN"/>
        </w:rPr>
        <w:t>1</w:t>
      </w:r>
      <w:r>
        <w:rPr>
          <w:rFonts w:hint="eastAsia"/>
          <w:color w:val="auto"/>
          <w:lang w:eastAsia="zh-CN"/>
        </w:rPr>
        <w:t>.1项或第2</w:t>
      </w:r>
      <w:r>
        <w:rPr>
          <w:rFonts w:hint="eastAsia"/>
          <w:color w:val="auto"/>
          <w:lang w:val="en-US" w:eastAsia="zh-CN"/>
        </w:rPr>
        <w:t>1</w:t>
      </w:r>
      <w:r>
        <w:rPr>
          <w:rFonts w:hint="eastAsia"/>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50"/>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0"/>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0"/>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、技术参数、性能及产品功能等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.产品需有注册证</w:t>
            </w:r>
            <w:r>
              <w:rPr>
                <w:rFonts w:hint="eastAsia" w:ascii="宋体" w:hAnsi="宋体" w:eastAsia="宋体" w:cs="宋体"/>
                <w:b w:val="0"/>
                <w:bCs w:val="0"/>
                <w:color w:val="auto"/>
                <w:sz w:val="21"/>
                <w:szCs w:val="21"/>
                <w:highlight w:val="none"/>
                <w:lang w:val="en-US" w:eastAsia="zh-CN"/>
              </w:rPr>
              <w:t>或备案凭</w:t>
            </w:r>
            <w:r>
              <w:rPr>
                <w:rFonts w:hint="eastAsia" w:ascii="宋体" w:hAnsi="宋体" w:eastAsia="宋体" w:cs="宋体"/>
                <w:b w:val="0"/>
                <w:bCs w:val="0"/>
                <w:color w:val="auto"/>
                <w:sz w:val="21"/>
                <w:szCs w:val="21"/>
                <w:highlight w:val="none"/>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50"/>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256519703"/>
      <w:bookmarkStart w:id="49" w:name="_Toc326786897"/>
    </w:p>
    <w:p>
      <w:pPr>
        <w:pStyle w:val="7"/>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lang w:eastAsia="zh-CN"/>
        </w:rPr>
      </w:pPr>
      <w:r>
        <w:rPr>
          <w:rFonts w:hint="eastAsia" w:ascii="宋体" w:hAnsi="宋体"/>
          <w:color w:val="auto"/>
          <w:sz w:val="21"/>
          <w:szCs w:val="21"/>
          <w:lang w:eastAsia="zh-CN"/>
        </w:rPr>
        <w:t>（</w:t>
      </w:r>
      <w:r>
        <w:rPr>
          <w:rFonts w:hint="eastAsia" w:ascii="宋体" w:hAnsi="宋体"/>
          <w:color w:val="auto"/>
          <w:sz w:val="21"/>
          <w:szCs w:val="21"/>
          <w:lang w:val="en-US" w:eastAsia="zh-CN"/>
        </w:rPr>
        <w:t>以实际合同为准</w:t>
      </w:r>
      <w:r>
        <w:rPr>
          <w:rFonts w:hint="eastAsia" w:ascii="宋体" w:hAnsi="宋体"/>
          <w:color w:val="auto"/>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
        <w:rPr>
          <w:color w:val="auto"/>
        </w:rPr>
      </w:pPr>
    </w:p>
    <w:p>
      <w:pPr>
        <w:pStyle w:val="7"/>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50"/>
        <w:rPr>
          <w:rFonts w:hAnsi="宋体"/>
          <w:b/>
          <w:bCs/>
          <w:color w:val="auto"/>
          <w:highlight w:val="none"/>
        </w:rPr>
      </w:pPr>
    </w:p>
    <w:p>
      <w:pPr>
        <w:pStyle w:val="50"/>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8"/>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0"/>
        <w:spacing w:line="360" w:lineRule="auto"/>
        <w:rPr>
          <w:rFonts w:hint="eastAsia" w:ascii="宋体" w:hAnsi="宋体" w:eastAsia="宋体" w:cs="宋体"/>
          <w:color w:val="auto"/>
          <w:highlight w:val="none"/>
        </w:rPr>
      </w:pPr>
    </w:p>
    <w:p>
      <w:pPr>
        <w:pStyle w:val="50"/>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8"/>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8"/>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8"/>
        <w:spacing w:before="20" w:after="20"/>
        <w:rPr>
          <w:color w:val="auto"/>
          <w:highlight w:val="none"/>
        </w:rPr>
      </w:pPr>
      <w:bookmarkStart w:id="74" w:name="_Toc24984"/>
      <w:bookmarkStart w:id="75" w:name="_Toc2200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2"/>
        <w:tblW w:w="8301"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8"/>
        <w:rPr>
          <w:color w:val="auto"/>
          <w:highlight w:val="none"/>
        </w:rPr>
      </w:pPr>
      <w:r>
        <w:rPr>
          <w:rFonts w:hint="eastAsia"/>
          <w:color w:val="auto"/>
          <w:highlight w:val="none"/>
        </w:rPr>
        <w:br w:type="page"/>
      </w:r>
      <w:bookmarkStart w:id="76" w:name="_Toc15804"/>
      <w:bookmarkStart w:id="77" w:name="_Toc226"/>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2"/>
        <w:rPr>
          <w:bCs/>
          <w:color w:val="auto"/>
          <w:kern w:val="0"/>
          <w:highlight w:val="none"/>
        </w:rPr>
      </w:pPr>
    </w:p>
    <w:p>
      <w:pPr>
        <w:pStyle w:val="52"/>
        <w:rPr>
          <w:bCs/>
          <w:color w:val="auto"/>
          <w:kern w:val="0"/>
          <w:highlight w:val="none"/>
        </w:rPr>
      </w:pPr>
    </w:p>
    <w:p>
      <w:pPr>
        <w:pStyle w:val="52"/>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napToGrid w:val="0"/>
        <w:spacing w:before="50" w:afterLines="50"/>
        <w:jc w:val="left"/>
        <w:rPr>
          <w:rFonts w:cs="宋体"/>
          <w:color w:val="auto"/>
          <w:kern w:val="0"/>
          <w:sz w:val="24"/>
          <w:highlight w:val="none"/>
        </w:rPr>
      </w:pPr>
    </w:p>
    <w:p>
      <w:pPr>
        <w:widowControl/>
        <w:wordWrap w:val="0"/>
        <w:spacing w:line="460" w:lineRule="exact"/>
        <w:ind w:firstLine="480" w:firstLineChars="200"/>
        <w:jc w:val="left"/>
        <w:rPr>
          <w:rFonts w:hint="default" w:ascii="宋体" w:hAnsi="宋体" w:eastAsia="宋体" w:cs="宋体"/>
          <w:b/>
          <w:color w:val="auto"/>
          <w:kern w:val="0"/>
          <w:sz w:val="32"/>
          <w:szCs w:val="32"/>
          <w:highlight w:val="none"/>
          <w:lang w:val="en-US" w:eastAsia="zh-CN"/>
        </w:rPr>
      </w:pPr>
      <w:r>
        <w:rPr>
          <w:rFonts w:hint="eastAsia" w:cs="宋体"/>
          <w:color w:val="auto"/>
          <w:kern w:val="0"/>
          <w:sz w:val="24"/>
          <w:highlight w:val="none"/>
          <w:lang w:eastAsia="zh-CN"/>
        </w:rPr>
        <w:t xml:space="preserve"> </w:t>
      </w:r>
      <w:r>
        <w:rPr>
          <w:rFonts w:hint="eastAsia" w:ascii="宋体" w:hAnsi="宋体" w:cs="宋体"/>
          <w:b/>
          <w:color w:val="auto"/>
          <w:kern w:val="0"/>
          <w:sz w:val="32"/>
          <w:szCs w:val="32"/>
          <w:highlight w:val="none"/>
          <w:lang w:val="en-US" w:eastAsia="zh-CN"/>
        </w:rPr>
        <w:t>商务部分相关证明文件</w:t>
      </w:r>
    </w:p>
    <w:p>
      <w:pPr>
        <w:widowControl/>
        <w:wordWrap w:val="0"/>
        <w:snapToGrid w:val="0"/>
        <w:spacing w:before="156" w:after="156"/>
        <w:ind w:firstLine="420"/>
        <w:jc w:val="center"/>
        <w:rPr>
          <w:rFonts w:ascii="宋体" w:hAnsi="宋体" w:cs="宋体"/>
          <w:b/>
          <w:color w:val="auto"/>
          <w:kern w:val="0"/>
          <w:sz w:val="32"/>
          <w:szCs w:val="32"/>
          <w:highlight w:val="none"/>
        </w:rPr>
      </w:pPr>
    </w:p>
    <w:p>
      <w:pPr>
        <w:widowControl/>
        <w:wordWrap w:val="0"/>
        <w:spacing w:line="460" w:lineRule="exact"/>
        <w:jc w:val="left"/>
        <w:rPr>
          <w:rFonts w:cs="宋体"/>
          <w:b/>
          <w:color w:val="auto"/>
          <w:kern w:val="0"/>
          <w:sz w:val="24"/>
          <w:highlight w:val="none"/>
        </w:rPr>
      </w:pPr>
    </w:p>
    <w:p>
      <w:pPr>
        <w:widowControl/>
        <w:wordWrap w:val="0"/>
        <w:spacing w:line="460" w:lineRule="exact"/>
        <w:jc w:val="left"/>
        <w:rPr>
          <w:rFonts w:cs="宋体"/>
          <w:b/>
          <w:color w:val="auto"/>
          <w:kern w:val="0"/>
          <w:sz w:val="24"/>
          <w:highlight w:val="none"/>
        </w:rPr>
      </w:pPr>
    </w:p>
    <w:p>
      <w:pPr>
        <w:pStyle w:val="8"/>
        <w:rPr>
          <w:rFonts w:cs="宋体"/>
          <w:b/>
          <w:color w:val="auto"/>
          <w:kern w:val="0"/>
          <w:sz w:val="24"/>
          <w:highlight w:val="none"/>
        </w:rPr>
      </w:pPr>
    </w:p>
    <w:p>
      <w:pPr>
        <w:rPr>
          <w:rFonts w:cs="宋体"/>
          <w:b/>
          <w:color w:val="auto"/>
          <w:kern w:val="0"/>
          <w:sz w:val="24"/>
          <w:highlight w:val="none"/>
        </w:rPr>
      </w:pPr>
    </w:p>
    <w:p>
      <w:pPr>
        <w:pStyle w:val="8"/>
        <w:rPr>
          <w:rFonts w:cs="宋体"/>
          <w:b/>
          <w:color w:val="auto"/>
          <w:kern w:val="0"/>
          <w:sz w:val="24"/>
          <w:highlight w:val="none"/>
        </w:rPr>
      </w:pPr>
    </w:p>
    <w:p>
      <w:pPr>
        <w:rPr>
          <w:rFonts w:cs="宋体"/>
          <w:b/>
          <w:color w:val="auto"/>
          <w:kern w:val="0"/>
          <w:sz w:val="24"/>
          <w:highlight w:val="none"/>
        </w:rPr>
      </w:pPr>
    </w:p>
    <w:p>
      <w:pPr>
        <w:pStyle w:val="8"/>
        <w:rPr>
          <w:rFonts w:cs="宋体"/>
          <w:b/>
          <w:color w:val="auto"/>
          <w:kern w:val="0"/>
          <w:sz w:val="24"/>
          <w:highlight w:val="none"/>
        </w:rPr>
      </w:pPr>
    </w:p>
    <w:p>
      <w:pPr>
        <w:rPr>
          <w:rFonts w:cs="宋体"/>
          <w:b/>
          <w:color w:val="auto"/>
          <w:kern w:val="0"/>
          <w:sz w:val="24"/>
          <w:highlight w:val="none"/>
        </w:rPr>
      </w:pPr>
    </w:p>
    <w:p>
      <w:pPr>
        <w:pStyle w:val="8"/>
        <w:rPr>
          <w:rFonts w:cs="宋体"/>
          <w:b/>
          <w:color w:val="auto"/>
          <w:kern w:val="0"/>
          <w:sz w:val="24"/>
          <w:highlight w:val="none"/>
        </w:rPr>
      </w:pPr>
    </w:p>
    <w:p>
      <w:pPr>
        <w:rPr>
          <w:rFonts w:cs="宋体"/>
          <w:b/>
          <w:color w:val="auto"/>
          <w:kern w:val="0"/>
          <w:sz w:val="24"/>
          <w:highlight w:val="none"/>
        </w:rPr>
      </w:pPr>
    </w:p>
    <w:p>
      <w:pPr>
        <w:pStyle w:val="8"/>
        <w:rPr>
          <w:rFonts w:cs="宋体"/>
          <w:b/>
          <w:color w:val="auto"/>
          <w:kern w:val="0"/>
          <w:sz w:val="24"/>
          <w:highlight w:val="none"/>
        </w:rPr>
      </w:pPr>
    </w:p>
    <w:p>
      <w:pPr>
        <w:rPr>
          <w:rFonts w:cs="宋体"/>
          <w:b/>
          <w:color w:val="auto"/>
          <w:kern w:val="0"/>
          <w:sz w:val="24"/>
          <w:highlight w:val="none"/>
        </w:rPr>
      </w:pPr>
    </w:p>
    <w:p>
      <w:pPr>
        <w:pStyle w:val="8"/>
        <w:rPr>
          <w:rFonts w:cs="宋体"/>
          <w:b/>
          <w:color w:val="auto"/>
          <w:kern w:val="0"/>
          <w:sz w:val="24"/>
          <w:highlight w:val="none"/>
        </w:rPr>
      </w:pPr>
    </w:p>
    <w:p>
      <w:pPr>
        <w:rPr>
          <w:rFonts w:cs="宋体"/>
          <w:b/>
          <w:color w:val="auto"/>
          <w:kern w:val="0"/>
          <w:sz w:val="24"/>
          <w:highlight w:val="none"/>
        </w:rPr>
      </w:pPr>
    </w:p>
    <w:p>
      <w:pPr>
        <w:pStyle w:val="8"/>
        <w:rPr>
          <w:color w:val="auto"/>
        </w:rPr>
      </w:pPr>
    </w:p>
    <w:p>
      <w:pPr>
        <w:rPr>
          <w:rFonts w:cs="宋体"/>
          <w:b/>
          <w:color w:val="auto"/>
          <w:kern w:val="0"/>
          <w:sz w:val="24"/>
          <w:highlight w:val="none"/>
        </w:rPr>
      </w:pPr>
      <w:r>
        <w:rPr>
          <w:rFonts w:cs="宋体"/>
          <w:b/>
          <w:color w:val="auto"/>
          <w:kern w:val="0"/>
          <w:sz w:val="24"/>
          <w:highlight w:val="none"/>
        </w:rPr>
        <w:br w:type="page"/>
      </w:r>
    </w:p>
    <w:p>
      <w:pPr>
        <w:pStyle w:val="2"/>
        <w:rPr>
          <w:color w:val="auto"/>
        </w:rPr>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12"/>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2"/>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2"/>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12"/>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2"/>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2"/>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pStyle w:val="48"/>
        <w:rPr>
          <w:color w:val="auto"/>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r>
      <w:rPr>
        <w:rFonts w:hint="eastAsia" w:ascii="宋体" w:hAnsi="宋体" w:cs="宋体"/>
        <w:color w:val="auto"/>
        <w:lang w:eastAsia="zh-CN"/>
      </w:rPr>
      <w:t>驻马店市中心医院</w:t>
    </w:r>
    <w:r>
      <w:rPr>
        <w:rFonts w:hint="eastAsia" w:ascii="宋体" w:hAnsi="宋体" w:cs="宋体"/>
        <w:color w:val="auto"/>
        <w:lang w:val="en-US" w:eastAsia="zh-CN"/>
      </w:rPr>
      <w:t>输血科和GCP药房配备UPS电源采购</w:t>
    </w:r>
    <w:r>
      <w:rPr>
        <w:rFonts w:hint="eastAsia" w:ascii="宋体" w:hAnsi="宋体" w:cs="宋体"/>
        <w:color w:val="auto"/>
        <w:lang w:eastAsia="zh-CN"/>
      </w:rPr>
      <w:t>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rFonts w:hint="eastAsia" w:eastAsia="宋体"/>
        <w:lang w:val="en-US" w:eastAsia="zh-CN"/>
      </w:rPr>
    </w:pPr>
    <w:r>
      <w:rPr>
        <w:rFonts w:hint="eastAsia"/>
      </w:rPr>
      <w:t xml:space="preserve">                            </w:t>
    </w:r>
    <w:r>
      <w:rPr>
        <w:rFonts w:hint="eastAsia" w:ascii="宋体" w:hAnsi="宋体" w:cs="宋体"/>
        <w:color w:val="auto"/>
        <w:lang w:eastAsia="zh-CN"/>
      </w:rPr>
      <w:t>驻马店市中心医院</w:t>
    </w:r>
    <w:r>
      <w:rPr>
        <w:rFonts w:hint="eastAsia" w:ascii="宋体" w:hAnsi="宋体" w:cs="宋体"/>
        <w:color w:val="auto"/>
        <w:lang w:val="en-US" w:eastAsia="zh-CN"/>
      </w:rPr>
      <w:t>输血科和GCP药房配备UPS电源采购</w:t>
    </w:r>
    <w:r>
      <w:rPr>
        <w:rFonts w:hint="eastAsia" w:ascii="宋体" w:hAnsi="宋体" w:cs="宋体"/>
        <w:color w:val="auto"/>
        <w:lang w:eastAsia="zh-CN"/>
      </w:rPr>
      <w:t>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B349AE"/>
    <w:rsid w:val="02D92EF7"/>
    <w:rsid w:val="02DA4665"/>
    <w:rsid w:val="02F40325"/>
    <w:rsid w:val="031126C4"/>
    <w:rsid w:val="036A009A"/>
    <w:rsid w:val="03844805"/>
    <w:rsid w:val="03845791"/>
    <w:rsid w:val="03A011E9"/>
    <w:rsid w:val="03AE7F27"/>
    <w:rsid w:val="03BD2BCD"/>
    <w:rsid w:val="04070D64"/>
    <w:rsid w:val="04310280"/>
    <w:rsid w:val="0438160E"/>
    <w:rsid w:val="04416C20"/>
    <w:rsid w:val="047968B1"/>
    <w:rsid w:val="04870542"/>
    <w:rsid w:val="04CE3D21"/>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7C4541"/>
    <w:rsid w:val="087E5595"/>
    <w:rsid w:val="08C52D6F"/>
    <w:rsid w:val="08D01612"/>
    <w:rsid w:val="08EF0201"/>
    <w:rsid w:val="08F41DE8"/>
    <w:rsid w:val="09737462"/>
    <w:rsid w:val="099156C3"/>
    <w:rsid w:val="09A53F39"/>
    <w:rsid w:val="09A60E13"/>
    <w:rsid w:val="09D206F0"/>
    <w:rsid w:val="0A321AC2"/>
    <w:rsid w:val="0A343D4E"/>
    <w:rsid w:val="0A3E6D2E"/>
    <w:rsid w:val="0A6C3DC0"/>
    <w:rsid w:val="0AD13A85"/>
    <w:rsid w:val="0B091954"/>
    <w:rsid w:val="0B29141D"/>
    <w:rsid w:val="0B637D77"/>
    <w:rsid w:val="0BAC324F"/>
    <w:rsid w:val="0BF72F1E"/>
    <w:rsid w:val="0C3957A5"/>
    <w:rsid w:val="0C626DA7"/>
    <w:rsid w:val="0C6876AE"/>
    <w:rsid w:val="0C720EC8"/>
    <w:rsid w:val="0C942042"/>
    <w:rsid w:val="0C9D50DC"/>
    <w:rsid w:val="0CA5271D"/>
    <w:rsid w:val="0CAC4D10"/>
    <w:rsid w:val="0CC72121"/>
    <w:rsid w:val="0CEE5A21"/>
    <w:rsid w:val="0D0646E7"/>
    <w:rsid w:val="0D0C38CA"/>
    <w:rsid w:val="0DC577E0"/>
    <w:rsid w:val="0DDC6319"/>
    <w:rsid w:val="0E0C0D4C"/>
    <w:rsid w:val="0E115DA1"/>
    <w:rsid w:val="0E162D6D"/>
    <w:rsid w:val="0E541CA2"/>
    <w:rsid w:val="0E594756"/>
    <w:rsid w:val="0E884F40"/>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D34654"/>
    <w:rsid w:val="11DE0FD1"/>
    <w:rsid w:val="12010480"/>
    <w:rsid w:val="120E707F"/>
    <w:rsid w:val="127A7D1C"/>
    <w:rsid w:val="12836D8B"/>
    <w:rsid w:val="12AB0349"/>
    <w:rsid w:val="12CD57F1"/>
    <w:rsid w:val="12CE7AFA"/>
    <w:rsid w:val="12D67466"/>
    <w:rsid w:val="13272A5D"/>
    <w:rsid w:val="13493108"/>
    <w:rsid w:val="1373392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D06E0"/>
    <w:rsid w:val="17332185"/>
    <w:rsid w:val="17475951"/>
    <w:rsid w:val="179F2E61"/>
    <w:rsid w:val="17C227C0"/>
    <w:rsid w:val="18097740"/>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F4342"/>
    <w:rsid w:val="1A8C5D82"/>
    <w:rsid w:val="1A8E4C85"/>
    <w:rsid w:val="1A994988"/>
    <w:rsid w:val="1A9B546C"/>
    <w:rsid w:val="1AA3511F"/>
    <w:rsid w:val="1AAE3B54"/>
    <w:rsid w:val="1AC10987"/>
    <w:rsid w:val="1B0C5B32"/>
    <w:rsid w:val="1B0D3E82"/>
    <w:rsid w:val="1B1652AB"/>
    <w:rsid w:val="1B181CD5"/>
    <w:rsid w:val="1B265306"/>
    <w:rsid w:val="1B4F2450"/>
    <w:rsid w:val="1B8C18B7"/>
    <w:rsid w:val="1BB73AE1"/>
    <w:rsid w:val="1BDA6D68"/>
    <w:rsid w:val="1C555978"/>
    <w:rsid w:val="1C6554A1"/>
    <w:rsid w:val="1C7971B7"/>
    <w:rsid w:val="1CD402EC"/>
    <w:rsid w:val="1CD6156D"/>
    <w:rsid w:val="1CF02333"/>
    <w:rsid w:val="1D0C33A2"/>
    <w:rsid w:val="1D113E6E"/>
    <w:rsid w:val="1D114E5E"/>
    <w:rsid w:val="1D1F0050"/>
    <w:rsid w:val="1D2222DC"/>
    <w:rsid w:val="1D5B3CDE"/>
    <w:rsid w:val="1D6E2950"/>
    <w:rsid w:val="1D98209B"/>
    <w:rsid w:val="1DA23746"/>
    <w:rsid w:val="1DAA14B9"/>
    <w:rsid w:val="1DD04513"/>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B9460A"/>
    <w:rsid w:val="210F579E"/>
    <w:rsid w:val="212550B5"/>
    <w:rsid w:val="21484F14"/>
    <w:rsid w:val="21592B62"/>
    <w:rsid w:val="21747CD2"/>
    <w:rsid w:val="219E5782"/>
    <w:rsid w:val="21E72B0B"/>
    <w:rsid w:val="221F2D96"/>
    <w:rsid w:val="22246DB1"/>
    <w:rsid w:val="22440067"/>
    <w:rsid w:val="225A6017"/>
    <w:rsid w:val="227A5532"/>
    <w:rsid w:val="22843A03"/>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8A785E"/>
    <w:rsid w:val="24B46637"/>
    <w:rsid w:val="24C04FDC"/>
    <w:rsid w:val="24CC106B"/>
    <w:rsid w:val="24D00598"/>
    <w:rsid w:val="24D725E9"/>
    <w:rsid w:val="25045F70"/>
    <w:rsid w:val="25056E93"/>
    <w:rsid w:val="25092EBA"/>
    <w:rsid w:val="25241020"/>
    <w:rsid w:val="256016AA"/>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0B7C95"/>
    <w:rsid w:val="2B100BA9"/>
    <w:rsid w:val="2B1E3AFC"/>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D90B7B"/>
    <w:rsid w:val="2DDD3FC1"/>
    <w:rsid w:val="2DF701D8"/>
    <w:rsid w:val="2DF970A1"/>
    <w:rsid w:val="2E085834"/>
    <w:rsid w:val="2E1034F8"/>
    <w:rsid w:val="2E1D690B"/>
    <w:rsid w:val="2E505773"/>
    <w:rsid w:val="2E742F70"/>
    <w:rsid w:val="2EDC2A13"/>
    <w:rsid w:val="2EFD7DB9"/>
    <w:rsid w:val="2F1A081D"/>
    <w:rsid w:val="2F1E3DC0"/>
    <w:rsid w:val="2F3112DE"/>
    <w:rsid w:val="2F3B6922"/>
    <w:rsid w:val="2F3C7955"/>
    <w:rsid w:val="2F506C6D"/>
    <w:rsid w:val="2F51291F"/>
    <w:rsid w:val="2F55758A"/>
    <w:rsid w:val="2F7F15AE"/>
    <w:rsid w:val="2FA54796"/>
    <w:rsid w:val="2FA674E2"/>
    <w:rsid w:val="2FFE7D49"/>
    <w:rsid w:val="302A5C42"/>
    <w:rsid w:val="30BF439A"/>
    <w:rsid w:val="30CB1B61"/>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5E56C6"/>
    <w:rsid w:val="3275698A"/>
    <w:rsid w:val="32B943EC"/>
    <w:rsid w:val="32DC63A0"/>
    <w:rsid w:val="32E429C1"/>
    <w:rsid w:val="334A3B2A"/>
    <w:rsid w:val="3365592E"/>
    <w:rsid w:val="336F6533"/>
    <w:rsid w:val="337E5E2F"/>
    <w:rsid w:val="3384610D"/>
    <w:rsid w:val="33AA5979"/>
    <w:rsid w:val="33C03E90"/>
    <w:rsid w:val="33C96649"/>
    <w:rsid w:val="33CC3D88"/>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69B4CF0"/>
    <w:rsid w:val="36C24BE4"/>
    <w:rsid w:val="36D62629"/>
    <w:rsid w:val="36D76172"/>
    <w:rsid w:val="36E833BB"/>
    <w:rsid w:val="36EB1E1B"/>
    <w:rsid w:val="36F17F0D"/>
    <w:rsid w:val="3735197D"/>
    <w:rsid w:val="373756A2"/>
    <w:rsid w:val="375E0DA6"/>
    <w:rsid w:val="378B61A6"/>
    <w:rsid w:val="37CD3F98"/>
    <w:rsid w:val="37DF75BA"/>
    <w:rsid w:val="37E148E2"/>
    <w:rsid w:val="38304889"/>
    <w:rsid w:val="38382675"/>
    <w:rsid w:val="3851700B"/>
    <w:rsid w:val="385246B6"/>
    <w:rsid w:val="38A53DB7"/>
    <w:rsid w:val="38BF3388"/>
    <w:rsid w:val="38CC268D"/>
    <w:rsid w:val="38EC2960"/>
    <w:rsid w:val="392536E2"/>
    <w:rsid w:val="39465F15"/>
    <w:rsid w:val="396453C5"/>
    <w:rsid w:val="39922CCF"/>
    <w:rsid w:val="39A65327"/>
    <w:rsid w:val="39A65C9B"/>
    <w:rsid w:val="39BC5ED6"/>
    <w:rsid w:val="39EB39E0"/>
    <w:rsid w:val="39EF02D4"/>
    <w:rsid w:val="3A11342A"/>
    <w:rsid w:val="3A153110"/>
    <w:rsid w:val="3A2507C0"/>
    <w:rsid w:val="3A297E52"/>
    <w:rsid w:val="3A393FA7"/>
    <w:rsid w:val="3A64203E"/>
    <w:rsid w:val="3A663D00"/>
    <w:rsid w:val="3A7428D0"/>
    <w:rsid w:val="3A923AE4"/>
    <w:rsid w:val="3AA50E25"/>
    <w:rsid w:val="3AC566E3"/>
    <w:rsid w:val="3AD6747A"/>
    <w:rsid w:val="3B3D0FF2"/>
    <w:rsid w:val="3B521A18"/>
    <w:rsid w:val="3B923660"/>
    <w:rsid w:val="3BCA44BE"/>
    <w:rsid w:val="3C061F3A"/>
    <w:rsid w:val="3C244FFA"/>
    <w:rsid w:val="3C495480"/>
    <w:rsid w:val="3C6F0167"/>
    <w:rsid w:val="3C71667B"/>
    <w:rsid w:val="3C914F3B"/>
    <w:rsid w:val="3CA72347"/>
    <w:rsid w:val="3CC17F13"/>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1A106E"/>
    <w:rsid w:val="3E36303B"/>
    <w:rsid w:val="3E526044"/>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F2DE9"/>
    <w:rsid w:val="408C5A03"/>
    <w:rsid w:val="40991379"/>
    <w:rsid w:val="409B3C3D"/>
    <w:rsid w:val="40F701DF"/>
    <w:rsid w:val="40FD480A"/>
    <w:rsid w:val="412A32F8"/>
    <w:rsid w:val="417F433E"/>
    <w:rsid w:val="41B7239D"/>
    <w:rsid w:val="41E47AD6"/>
    <w:rsid w:val="41FF3845"/>
    <w:rsid w:val="42075BA1"/>
    <w:rsid w:val="421104A9"/>
    <w:rsid w:val="42143B88"/>
    <w:rsid w:val="42164586"/>
    <w:rsid w:val="425B5DD1"/>
    <w:rsid w:val="4260300C"/>
    <w:rsid w:val="42800B9B"/>
    <w:rsid w:val="42A06B6C"/>
    <w:rsid w:val="42EA5650"/>
    <w:rsid w:val="431408DA"/>
    <w:rsid w:val="4331401E"/>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4F1836"/>
    <w:rsid w:val="45887B45"/>
    <w:rsid w:val="458B66DF"/>
    <w:rsid w:val="45940F0E"/>
    <w:rsid w:val="459B4F7E"/>
    <w:rsid w:val="45AC5DBA"/>
    <w:rsid w:val="45C647AF"/>
    <w:rsid w:val="45DD529D"/>
    <w:rsid w:val="45E57886"/>
    <w:rsid w:val="46003076"/>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32531E"/>
    <w:rsid w:val="48450F81"/>
    <w:rsid w:val="484E729D"/>
    <w:rsid w:val="485A23C2"/>
    <w:rsid w:val="48A16B62"/>
    <w:rsid w:val="48BC6222"/>
    <w:rsid w:val="48C245E9"/>
    <w:rsid w:val="48DB312A"/>
    <w:rsid w:val="48DF49D9"/>
    <w:rsid w:val="492108CC"/>
    <w:rsid w:val="49E669E4"/>
    <w:rsid w:val="4A05334F"/>
    <w:rsid w:val="4A082FF4"/>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CF632F0"/>
    <w:rsid w:val="4D297BF3"/>
    <w:rsid w:val="4D2D0EAF"/>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F0773B4"/>
    <w:rsid w:val="4F307BB1"/>
    <w:rsid w:val="4F351F9F"/>
    <w:rsid w:val="4F3D562D"/>
    <w:rsid w:val="4F5C4EE0"/>
    <w:rsid w:val="4F6E1972"/>
    <w:rsid w:val="4F943166"/>
    <w:rsid w:val="4FBA02A1"/>
    <w:rsid w:val="4FE7106E"/>
    <w:rsid w:val="50053943"/>
    <w:rsid w:val="50550E55"/>
    <w:rsid w:val="509F43E4"/>
    <w:rsid w:val="50A54D3E"/>
    <w:rsid w:val="50F1402B"/>
    <w:rsid w:val="50FD2AD9"/>
    <w:rsid w:val="51097D9A"/>
    <w:rsid w:val="51237D2E"/>
    <w:rsid w:val="51996737"/>
    <w:rsid w:val="51B408B8"/>
    <w:rsid w:val="51CC0868"/>
    <w:rsid w:val="51D5340F"/>
    <w:rsid w:val="52382F2A"/>
    <w:rsid w:val="52386E3D"/>
    <w:rsid w:val="523A7DD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47390"/>
    <w:rsid w:val="545E1D01"/>
    <w:rsid w:val="54935B8F"/>
    <w:rsid w:val="54CC6227"/>
    <w:rsid w:val="54D10F9B"/>
    <w:rsid w:val="551D586C"/>
    <w:rsid w:val="55200298"/>
    <w:rsid w:val="55335E1B"/>
    <w:rsid w:val="554B7EF0"/>
    <w:rsid w:val="556F3D99"/>
    <w:rsid w:val="55860894"/>
    <w:rsid w:val="55B02DF1"/>
    <w:rsid w:val="55DC290C"/>
    <w:rsid w:val="55F01FA1"/>
    <w:rsid w:val="56990B7C"/>
    <w:rsid w:val="569E1126"/>
    <w:rsid w:val="56B80DEB"/>
    <w:rsid w:val="56E06E61"/>
    <w:rsid w:val="56F653FE"/>
    <w:rsid w:val="575B7AFD"/>
    <w:rsid w:val="57660D3F"/>
    <w:rsid w:val="57706F91"/>
    <w:rsid w:val="57D1153D"/>
    <w:rsid w:val="57FA3774"/>
    <w:rsid w:val="58084A3C"/>
    <w:rsid w:val="585D2975"/>
    <w:rsid w:val="587E3341"/>
    <w:rsid w:val="58CF56D8"/>
    <w:rsid w:val="58D31010"/>
    <w:rsid w:val="58D6741E"/>
    <w:rsid w:val="58EA3D0E"/>
    <w:rsid w:val="58F71269"/>
    <w:rsid w:val="58FE045E"/>
    <w:rsid w:val="59561946"/>
    <w:rsid w:val="59670F51"/>
    <w:rsid w:val="596A44F9"/>
    <w:rsid w:val="596C19BB"/>
    <w:rsid w:val="59790BDB"/>
    <w:rsid w:val="598653AC"/>
    <w:rsid w:val="59AC3C86"/>
    <w:rsid w:val="59C3464B"/>
    <w:rsid w:val="59D42FDA"/>
    <w:rsid w:val="59DA4E01"/>
    <w:rsid w:val="59F64E82"/>
    <w:rsid w:val="5A10435C"/>
    <w:rsid w:val="5A2654CC"/>
    <w:rsid w:val="5A323A44"/>
    <w:rsid w:val="5A395E66"/>
    <w:rsid w:val="5A484352"/>
    <w:rsid w:val="5A5321A5"/>
    <w:rsid w:val="5A745221"/>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F03D58"/>
    <w:rsid w:val="5C1A6BB2"/>
    <w:rsid w:val="5C5355FE"/>
    <w:rsid w:val="5C6F4105"/>
    <w:rsid w:val="5C7A4EE2"/>
    <w:rsid w:val="5CBB7F6F"/>
    <w:rsid w:val="5D7C3F11"/>
    <w:rsid w:val="5D9D49E0"/>
    <w:rsid w:val="5DC80482"/>
    <w:rsid w:val="5DDF1821"/>
    <w:rsid w:val="5DEA2F91"/>
    <w:rsid w:val="5E3146A3"/>
    <w:rsid w:val="5E442F62"/>
    <w:rsid w:val="5E6C2C5B"/>
    <w:rsid w:val="5E7128C8"/>
    <w:rsid w:val="5E7251A2"/>
    <w:rsid w:val="5E7C3591"/>
    <w:rsid w:val="5E9D0E18"/>
    <w:rsid w:val="5EA2144B"/>
    <w:rsid w:val="5EA341D7"/>
    <w:rsid w:val="5EA755DE"/>
    <w:rsid w:val="5ED35F0E"/>
    <w:rsid w:val="5EFC1390"/>
    <w:rsid w:val="5EFC3EB6"/>
    <w:rsid w:val="5F03335D"/>
    <w:rsid w:val="5F0368C7"/>
    <w:rsid w:val="5F1544E7"/>
    <w:rsid w:val="5F3C4923"/>
    <w:rsid w:val="5F661D01"/>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253FD"/>
    <w:rsid w:val="61421F29"/>
    <w:rsid w:val="61712185"/>
    <w:rsid w:val="61970898"/>
    <w:rsid w:val="61A90D68"/>
    <w:rsid w:val="61AD1E69"/>
    <w:rsid w:val="61C80F53"/>
    <w:rsid w:val="621775E2"/>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82686"/>
    <w:rsid w:val="64673C87"/>
    <w:rsid w:val="64A251DD"/>
    <w:rsid w:val="64DB63AB"/>
    <w:rsid w:val="650242F0"/>
    <w:rsid w:val="65542778"/>
    <w:rsid w:val="655829AF"/>
    <w:rsid w:val="656B70C3"/>
    <w:rsid w:val="658F4798"/>
    <w:rsid w:val="659B1EBA"/>
    <w:rsid w:val="65B461E9"/>
    <w:rsid w:val="65BE39A8"/>
    <w:rsid w:val="65FB3FBE"/>
    <w:rsid w:val="66103F56"/>
    <w:rsid w:val="66247D11"/>
    <w:rsid w:val="66736112"/>
    <w:rsid w:val="667F5B5B"/>
    <w:rsid w:val="66897C79"/>
    <w:rsid w:val="6694262A"/>
    <w:rsid w:val="66990381"/>
    <w:rsid w:val="66B31B01"/>
    <w:rsid w:val="66CE1E80"/>
    <w:rsid w:val="66E362F9"/>
    <w:rsid w:val="66E47FD9"/>
    <w:rsid w:val="67071922"/>
    <w:rsid w:val="672A7AB8"/>
    <w:rsid w:val="673B73C0"/>
    <w:rsid w:val="675608B6"/>
    <w:rsid w:val="67754402"/>
    <w:rsid w:val="677D54ED"/>
    <w:rsid w:val="67B25E27"/>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4C5F97"/>
    <w:rsid w:val="6A4D41E9"/>
    <w:rsid w:val="6A7903E5"/>
    <w:rsid w:val="6AA03032"/>
    <w:rsid w:val="6AA86FEC"/>
    <w:rsid w:val="6ADA6AC4"/>
    <w:rsid w:val="6ADB11D6"/>
    <w:rsid w:val="6B1A2C3C"/>
    <w:rsid w:val="6B31644D"/>
    <w:rsid w:val="6B486C86"/>
    <w:rsid w:val="6B554C72"/>
    <w:rsid w:val="6B80239C"/>
    <w:rsid w:val="6B847AD7"/>
    <w:rsid w:val="6B9A2DF9"/>
    <w:rsid w:val="6BAC4619"/>
    <w:rsid w:val="6BCD2823"/>
    <w:rsid w:val="6BDD15DD"/>
    <w:rsid w:val="6BDF2966"/>
    <w:rsid w:val="6BE86A5F"/>
    <w:rsid w:val="6C234DED"/>
    <w:rsid w:val="6C29198B"/>
    <w:rsid w:val="6C3A67D1"/>
    <w:rsid w:val="6C3D2D5C"/>
    <w:rsid w:val="6C4800AA"/>
    <w:rsid w:val="6C4D28F8"/>
    <w:rsid w:val="6C5101CA"/>
    <w:rsid w:val="6C573E9C"/>
    <w:rsid w:val="6C6D1126"/>
    <w:rsid w:val="6CA35B3A"/>
    <w:rsid w:val="6CA41A5D"/>
    <w:rsid w:val="6CAF588C"/>
    <w:rsid w:val="6CB4638E"/>
    <w:rsid w:val="6CBF3C6A"/>
    <w:rsid w:val="6CBF5306"/>
    <w:rsid w:val="6CE70FA1"/>
    <w:rsid w:val="6CFA6351"/>
    <w:rsid w:val="6CFC3C40"/>
    <w:rsid w:val="6D480984"/>
    <w:rsid w:val="6D596B3F"/>
    <w:rsid w:val="6DB13E57"/>
    <w:rsid w:val="6DC71662"/>
    <w:rsid w:val="6DCD5126"/>
    <w:rsid w:val="6DDB6CB0"/>
    <w:rsid w:val="6DE52ACD"/>
    <w:rsid w:val="6DFC0B44"/>
    <w:rsid w:val="6E0458E7"/>
    <w:rsid w:val="6E212037"/>
    <w:rsid w:val="6E3B221B"/>
    <w:rsid w:val="6E475779"/>
    <w:rsid w:val="6E7764EF"/>
    <w:rsid w:val="6EAD447C"/>
    <w:rsid w:val="6ECD7F59"/>
    <w:rsid w:val="6EED7C80"/>
    <w:rsid w:val="6EF773A4"/>
    <w:rsid w:val="6F2F2D9E"/>
    <w:rsid w:val="6F4147D9"/>
    <w:rsid w:val="6F947E4B"/>
    <w:rsid w:val="6FA30BDA"/>
    <w:rsid w:val="6FB80698"/>
    <w:rsid w:val="6FEF189F"/>
    <w:rsid w:val="7024611F"/>
    <w:rsid w:val="70637B96"/>
    <w:rsid w:val="70797317"/>
    <w:rsid w:val="7099044B"/>
    <w:rsid w:val="709D518F"/>
    <w:rsid w:val="70C759D3"/>
    <w:rsid w:val="70CF2B23"/>
    <w:rsid w:val="710952C1"/>
    <w:rsid w:val="71452CD8"/>
    <w:rsid w:val="7158683A"/>
    <w:rsid w:val="715B2F52"/>
    <w:rsid w:val="71764F23"/>
    <w:rsid w:val="71946576"/>
    <w:rsid w:val="71967E84"/>
    <w:rsid w:val="71A61873"/>
    <w:rsid w:val="71AF4936"/>
    <w:rsid w:val="71D75D0F"/>
    <w:rsid w:val="721919B3"/>
    <w:rsid w:val="721A6098"/>
    <w:rsid w:val="72310D1A"/>
    <w:rsid w:val="725D6B54"/>
    <w:rsid w:val="72A17C99"/>
    <w:rsid w:val="72AF6F7E"/>
    <w:rsid w:val="73047904"/>
    <w:rsid w:val="733E6DC5"/>
    <w:rsid w:val="734C1A6A"/>
    <w:rsid w:val="735C5949"/>
    <w:rsid w:val="73737DA5"/>
    <w:rsid w:val="73887B3E"/>
    <w:rsid w:val="73892412"/>
    <w:rsid w:val="73E96BCA"/>
    <w:rsid w:val="73EE4A6E"/>
    <w:rsid w:val="741048BC"/>
    <w:rsid w:val="742E78D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835654"/>
    <w:rsid w:val="7797109C"/>
    <w:rsid w:val="779A2A38"/>
    <w:rsid w:val="77B4450A"/>
    <w:rsid w:val="77B46E73"/>
    <w:rsid w:val="77E37A12"/>
    <w:rsid w:val="77FE3468"/>
    <w:rsid w:val="78546F0C"/>
    <w:rsid w:val="78EE1C79"/>
    <w:rsid w:val="797239CC"/>
    <w:rsid w:val="79831473"/>
    <w:rsid w:val="7999527A"/>
    <w:rsid w:val="79AF76C5"/>
    <w:rsid w:val="79C25EE1"/>
    <w:rsid w:val="79CE2967"/>
    <w:rsid w:val="79EA664C"/>
    <w:rsid w:val="7A2D36EF"/>
    <w:rsid w:val="7A2F459A"/>
    <w:rsid w:val="7A517022"/>
    <w:rsid w:val="7A6F5001"/>
    <w:rsid w:val="7AA2343E"/>
    <w:rsid w:val="7ADA73A4"/>
    <w:rsid w:val="7AE66B99"/>
    <w:rsid w:val="7B0A3BCA"/>
    <w:rsid w:val="7B4048C1"/>
    <w:rsid w:val="7B73082F"/>
    <w:rsid w:val="7BC62E00"/>
    <w:rsid w:val="7BE35E2A"/>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keepLines/>
      <w:spacing w:before="340" w:after="330" w:line="576" w:lineRule="auto"/>
      <w:outlineLvl w:val="0"/>
    </w:pPr>
    <w:rPr>
      <w:b/>
      <w:bCs/>
      <w:kern w:val="44"/>
      <w:sz w:val="44"/>
      <w:szCs w:val="44"/>
    </w:rPr>
  </w:style>
  <w:style w:type="paragraph" w:styleId="8">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qFormat/>
    <w:uiPriority w:val="0"/>
    <w:pPr>
      <w:keepNext/>
      <w:keepLines/>
      <w:spacing w:before="260" w:after="260" w:line="416" w:lineRule="auto"/>
      <w:outlineLvl w:val="2"/>
    </w:pPr>
    <w:rPr>
      <w:b/>
      <w:bCs/>
      <w:sz w:val="32"/>
      <w:szCs w:val="32"/>
    </w:rPr>
  </w:style>
  <w:style w:type="paragraph" w:styleId="10">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420" w:firstLineChars="100"/>
    </w:pPr>
    <w:rPr>
      <w:szCs w:val="21"/>
    </w:rPr>
  </w:style>
  <w:style w:type="paragraph" w:styleId="3">
    <w:name w:val="Body Text"/>
    <w:basedOn w:val="1"/>
    <w:next w:val="1"/>
    <w:link w:val="73"/>
    <w:qFormat/>
    <w:uiPriority w:val="0"/>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spacing w:beforeAutospacing="1"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1">
    <w:name w:val="List Number"/>
    <w:basedOn w:val="1"/>
    <w:qFormat/>
    <w:uiPriority w:val="0"/>
    <w:pPr>
      <w:widowControl/>
      <w:spacing w:beforeAutospacing="1" w:afterAutospacing="1"/>
      <w:jc w:val="left"/>
    </w:pPr>
    <w:rPr>
      <w:rFonts w:ascii="宋体" w:hAnsi="宋体" w:cs="宋体"/>
      <w:kern w:val="0"/>
      <w:sz w:val="24"/>
    </w:rPr>
  </w:style>
  <w:style w:type="paragraph" w:styleId="12">
    <w:name w:val="Normal Indent"/>
    <w:basedOn w:val="1"/>
    <w:qFormat/>
    <w:uiPriority w:val="0"/>
    <w:pPr>
      <w:widowControl/>
      <w:spacing w:beforeAutospacing="1" w:afterAutospacing="1"/>
      <w:jc w:val="left"/>
    </w:pPr>
    <w:rPr>
      <w:rFonts w:ascii="宋体" w:hAnsi="宋体" w:cs="宋体"/>
      <w:kern w:val="0"/>
      <w:sz w:val="24"/>
    </w:rPr>
  </w:style>
  <w:style w:type="paragraph" w:styleId="13">
    <w:name w:val="Document Map"/>
    <w:basedOn w:val="1"/>
    <w:link w:val="75"/>
    <w:qFormat/>
    <w:uiPriority w:val="0"/>
    <w:rPr>
      <w:rFonts w:ascii="宋体" w:hAnsi="Calibri"/>
      <w:sz w:val="18"/>
      <w:szCs w:val="18"/>
    </w:rPr>
  </w:style>
  <w:style w:type="paragraph" w:styleId="14">
    <w:name w:val="annotation text"/>
    <w:basedOn w:val="1"/>
    <w:qFormat/>
    <w:uiPriority w:val="0"/>
    <w:pPr>
      <w:jc w:val="left"/>
    </w:pPr>
  </w:style>
  <w:style w:type="paragraph" w:styleId="15">
    <w:name w:val="Body Text 3"/>
    <w:basedOn w:val="1"/>
    <w:qFormat/>
    <w:uiPriority w:val="0"/>
    <w:rPr>
      <w:sz w:val="16"/>
      <w:szCs w:val="16"/>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envelope return"/>
    <w:basedOn w:val="1"/>
    <w:unhideWhenUsed/>
    <w:qFormat/>
    <w:uiPriority w:val="99"/>
    <w:pPr>
      <w:snapToGrid w:val="0"/>
    </w:pPr>
    <w:rPr>
      <w:rFonts w:ascii="Arial" w:hAnsi="Arial"/>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List"/>
    <w:basedOn w:val="1"/>
    <w:qFormat/>
    <w:uiPriority w:val="0"/>
    <w:pPr>
      <w:ind w:left="200" w:hanging="200" w:hangingChars="200"/>
    </w:pPr>
  </w:style>
  <w:style w:type="paragraph" w:styleId="27">
    <w:name w:val="Body Text 2"/>
    <w:basedOn w:val="1"/>
    <w:next w:val="3"/>
    <w:qFormat/>
    <w:uiPriority w:val="0"/>
    <w:pPr>
      <w:spacing w:line="480" w:lineRule="auto"/>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49">
    <w:name w:val="No Spacing1"/>
    <w:basedOn w:val="1"/>
    <w:qFormat/>
    <w:uiPriority w:val="0"/>
    <w:pPr>
      <w:spacing w:line="400" w:lineRule="exact"/>
    </w:pPr>
    <w:rPr>
      <w:sz w:val="24"/>
    </w:rPr>
  </w:style>
  <w:style w:type="paragraph" w:customStyle="1" w:styleId="50">
    <w:name w:val="Default"/>
    <w:next w:val="5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1">
    <w:name w:val="大标题"/>
    <w:basedOn w:val="1"/>
    <w:next w:val="4"/>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3"/>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character" w:customStyle="1" w:styleId="89">
    <w:name w:val="font41"/>
    <w:basedOn w:val="34"/>
    <w:qFormat/>
    <w:uiPriority w:val="0"/>
    <w:rPr>
      <w:rFonts w:hint="eastAsia" w:ascii="宋体" w:hAnsi="宋体" w:eastAsia="宋体" w:cs="宋体"/>
      <w:color w:val="000000"/>
      <w:sz w:val="21"/>
      <w:szCs w:val="21"/>
      <w:u w:val="none"/>
    </w:rPr>
  </w:style>
  <w:style w:type="character" w:customStyle="1" w:styleId="90">
    <w:name w:val="font51"/>
    <w:basedOn w:val="34"/>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17359</Words>
  <Characters>18588</Characters>
  <Lines>50</Lines>
  <Paragraphs>68</Paragraphs>
  <TotalTime>0</TotalTime>
  <ScaleCrop>false</ScaleCrop>
  <LinksUpToDate>false</LinksUpToDate>
  <CharactersWithSpaces>19506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cp:lastModifiedBy>
  <cp:lastPrinted>2021-09-30T00:46:00Z</cp:lastPrinted>
  <dcterms:modified xsi:type="dcterms:W3CDTF">2022-07-12T01:01:51Z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562A285641654D2EA086C4325B3B203C</vt:lpwstr>
  </property>
</Properties>
</file>