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黑体" w:hAnsi="黑体" w:eastAsia="黑体" w:cs="宋体"/>
          <w:bCs/>
          <w:color w:val="auto"/>
          <w:kern w:val="0"/>
          <w:sz w:val="48"/>
          <w:szCs w:val="48"/>
          <w:u w:val="none"/>
          <w:lang w:val="en-US" w:eastAsia="zh-CN"/>
        </w:rPr>
        <w:t>驻马店市中心医院行政办公区车库改造工程</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驻马店市中心医院行政办公区车库改造工程</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i w:val="0"/>
          <w:iCs w:val="0"/>
          <w:color w:val="auto"/>
          <w:u w:val="single"/>
          <w:lang w:val="en-US" w:eastAsia="zh-CN"/>
        </w:rPr>
        <w:t xml:space="preserve"> </w:t>
      </w:r>
      <w:r>
        <w:rPr>
          <w:rFonts w:hint="eastAsia" w:ascii="宋体" w:hAnsi="宋体" w:cs="宋体"/>
          <w:color w:val="auto"/>
          <w:u w:val="single"/>
          <w:lang w:val="en-US" w:eastAsia="zh-CN"/>
        </w:rPr>
        <w:t>行政办公区车库改造工程</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95100.00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u w:val="none"/>
          <w:shd w:val="clear" w:color="auto" w:fill="FFFFFF"/>
          <w:lang w:val="en-US" w:eastAsia="zh-CN"/>
        </w:rPr>
        <w:t>20</w:t>
      </w:r>
      <w:r>
        <w:rPr>
          <w:rFonts w:hint="eastAsia" w:ascii="宋体" w:hAnsi="宋体" w:eastAsia="宋体" w:cs="宋体"/>
          <w:bCs/>
          <w:color w:val="auto"/>
          <w:szCs w:val="21"/>
          <w:highlight w:val="none"/>
          <w:shd w:val="clear" w:color="auto" w:fill="FFFFFF"/>
          <w:lang w:val="en-US" w:eastAsia="zh-CN"/>
        </w:rPr>
        <w:t>天</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6、</w:t>
      </w:r>
      <w:r>
        <w:rPr>
          <w:rFonts w:hint="eastAsia" w:ascii="宋体" w:hAnsi="宋体" w:eastAsia="宋体" w:cs="宋体"/>
          <w:color w:val="auto"/>
          <w:kern w:val="2"/>
          <w:sz w:val="21"/>
          <w:szCs w:val="24"/>
          <w:lang w:val="en-US" w:eastAsia="zh-CN" w:bidi="ar-SA"/>
        </w:rPr>
        <w:t>供应商</w:t>
      </w:r>
      <w:r>
        <w:rPr>
          <w:rFonts w:hint="eastAsia"/>
          <w:color w:val="auto"/>
          <w:lang w:val="en-US" w:eastAsia="zh-CN"/>
        </w:rPr>
        <w:t>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7、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8" w:name="_Toc7823"/>
      <w:bookmarkStart w:id="9" w:name="_Toc30971"/>
      <w:bookmarkStart w:id="10" w:name="_Toc30643"/>
      <w:bookmarkStart w:id="11" w:name="_Toc9562"/>
      <w:bookmarkStart w:id="12" w:name="_Toc23395"/>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06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日，上午8：30-11:30，下午14:30-17:30（北京时间，法定节假日除外）</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报名费用</w:t>
      </w:r>
      <w:r>
        <w:rPr>
          <w:rFonts w:hint="eastAsia" w:ascii="宋体" w:hAnsi="宋体" w:eastAsia="宋体" w:cs="宋体"/>
          <w:color w:val="auto"/>
          <w:szCs w:val="21"/>
          <w:highlight w:val="none"/>
          <w:shd w:val="clear" w:color="auto" w:fill="FFFFFF"/>
          <w:lang w:val="en-US" w:eastAsia="zh-CN"/>
        </w:rPr>
        <w:t>：100元。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 xml:space="preserve">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w:t>
      </w:r>
      <w:r>
        <w:rPr>
          <w:rFonts w:hint="eastAsia" w:ascii="宋体" w:hAnsi="宋体" w:eastAsia="宋体" w:cs="宋体"/>
          <w:color w:val="auto"/>
          <w:kern w:val="0"/>
          <w:sz w:val="21"/>
          <w:szCs w:val="21"/>
          <w:highlight w:val="none"/>
          <w:shd w:val="clear" w:color="auto" w:fill="FFFFFF"/>
          <w:lang w:val="en-US" w:eastAsia="zh-CN" w:bidi="ar-SA"/>
        </w:rPr>
        <w:t>@qq.com并标明</w:t>
      </w:r>
      <w:r>
        <w:rPr>
          <w:rFonts w:hint="eastAsia" w:ascii="宋体" w:hAnsi="宋体" w:eastAsia="宋体" w:cs="宋体"/>
          <w:highlight w:val="none"/>
        </w:rPr>
        <w:t>XX公司</w:t>
      </w:r>
      <w:r>
        <w:rPr>
          <w:rFonts w:hint="eastAsia" w:ascii="宋体" w:hAnsi="宋体" w:eastAsia="宋体" w:cs="宋体"/>
          <w:color w:val="auto"/>
          <w:kern w:val="0"/>
          <w:sz w:val="21"/>
          <w:szCs w:val="21"/>
          <w:highlight w:val="none"/>
          <w:shd w:val="clear" w:color="auto" w:fill="FFFFFF"/>
          <w:lang w:val="en-US" w:eastAsia="zh-CN" w:bidi="ar-SA"/>
        </w:rPr>
        <w:t>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项目报名资料；审核通过后按要求交纳</w:t>
      </w:r>
      <w:r>
        <w:rPr>
          <w:rFonts w:hint="eastAsia" w:ascii="宋体" w:hAnsi="宋体" w:cs="宋体"/>
          <w:color w:val="auto"/>
          <w:kern w:val="0"/>
          <w:sz w:val="21"/>
          <w:szCs w:val="21"/>
          <w:highlight w:val="none"/>
          <w:shd w:val="clear" w:color="auto" w:fill="FFFFFF"/>
          <w:lang w:val="en-US" w:eastAsia="zh-CN" w:bidi="ar-SA"/>
        </w:rPr>
        <w:t>报名费</w:t>
      </w:r>
      <w:r>
        <w:rPr>
          <w:rFonts w:hint="eastAsia" w:ascii="宋体" w:hAnsi="宋体" w:eastAsia="宋体" w:cs="宋体"/>
          <w:color w:val="auto"/>
          <w:kern w:val="0"/>
          <w:sz w:val="21"/>
          <w:szCs w:val="21"/>
          <w:highlight w:val="none"/>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15111"/>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详见采购文件</w:t>
      </w:r>
      <w:r>
        <w:rPr>
          <w:rFonts w:hint="eastAsia" w:ascii="宋体" w:hAnsi="宋体" w:eastAsia="宋体" w:cs="宋体"/>
          <w:color w:val="auto"/>
          <w:kern w:val="0"/>
          <w:sz w:val="21"/>
          <w:szCs w:val="21"/>
          <w:highlight w:val="none"/>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31928"/>
      <w:bookmarkStart w:id="27" w:name="_Toc24274"/>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zxyyjzcgbgs@163.com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监督电话：0396-2725435</w:t>
      </w:r>
    </w:p>
    <w:p>
      <w:pPr>
        <w:pStyle w:val="29"/>
        <w:rPr>
          <w:rFonts w:hint="eastAsia"/>
          <w:highlight w:val="none"/>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highlight w:val="none"/>
          <w:shd w:val="clear" w:color="auto" w:fill="FFFFFF"/>
          <w:lang w:val="en-US" w:eastAsia="zh-CN" w:bidi="ar-SA"/>
        </w:rPr>
        <w:t>2022年0</w:t>
      </w:r>
      <w:r>
        <w:rPr>
          <w:rFonts w:hint="eastAsia" w:ascii="宋体" w:hAnsi="宋体" w:cs="宋体"/>
          <w:kern w:val="0"/>
          <w:sz w:val="21"/>
          <w:szCs w:val="21"/>
          <w:highlight w:val="none"/>
          <w:shd w:val="clear" w:color="auto" w:fill="FFFFFF"/>
          <w:lang w:val="en-US" w:eastAsia="zh-CN" w:bidi="ar-SA"/>
        </w:rPr>
        <w:t>6</w:t>
      </w:r>
      <w:r>
        <w:rPr>
          <w:rFonts w:hint="eastAsia" w:ascii="宋体" w:hAnsi="宋体" w:eastAsia="宋体" w:cs="宋体"/>
          <w:kern w:val="0"/>
          <w:sz w:val="21"/>
          <w:szCs w:val="21"/>
          <w:highlight w:val="none"/>
          <w:shd w:val="clear" w:color="auto" w:fill="FFFFFF"/>
          <w:lang w:val="en-US" w:eastAsia="zh-CN" w:bidi="ar-SA"/>
        </w:rPr>
        <w:t>月</w:t>
      </w:r>
      <w:r>
        <w:rPr>
          <w:rFonts w:hint="eastAsia" w:ascii="宋体" w:hAnsi="宋体" w:cs="宋体"/>
          <w:kern w:val="0"/>
          <w:sz w:val="21"/>
          <w:szCs w:val="21"/>
          <w:highlight w:val="none"/>
          <w:shd w:val="clear" w:color="auto" w:fill="FFFFFF"/>
          <w:lang w:val="en-US" w:eastAsia="zh-CN" w:bidi="ar-SA"/>
        </w:rPr>
        <w:t>20</w:t>
      </w:r>
      <w:r>
        <w:rPr>
          <w:rFonts w:hint="eastAsia" w:ascii="宋体" w:hAnsi="宋体" w:eastAsia="宋体" w:cs="宋体"/>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b/>
          <w:bCs/>
          <w:color w:val="auto"/>
          <w:sz w:val="24"/>
          <w:highlight w:val="none"/>
        </w:rPr>
      </w:pPr>
      <w:bookmarkStart w:id="78" w:name="_GoBack"/>
      <w:bookmarkEnd w:id="78"/>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2"/>
    <w:bookmarkEnd w:id="33"/>
    <w:bookmarkEnd w:id="34"/>
    <w:p>
      <w:pPr>
        <w:widowControl/>
        <w:shd w:val="clear" w:color="auto" w:fill="FFFFFF"/>
        <w:spacing w:line="460" w:lineRule="atLeast"/>
        <w:jc w:val="left"/>
        <w:rPr>
          <w:rFonts w:hint="eastAsia" w:ascii="宋体" w:hAnsi="宋体" w:cs="宋体"/>
          <w:b w:val="0"/>
          <w:bCs w:val="0"/>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一、</w:t>
      </w:r>
      <w:r>
        <w:rPr>
          <w:rFonts w:hint="eastAsia" w:ascii="宋体" w:hAnsi="宋体" w:eastAsia="宋体" w:cs="宋体"/>
          <w:b/>
          <w:bCs/>
          <w:color w:val="000000"/>
          <w:kern w:val="0"/>
          <w:sz w:val="21"/>
          <w:szCs w:val="21"/>
          <w:highlight w:val="none"/>
          <w:lang w:val="en-US" w:eastAsia="zh-CN"/>
        </w:rPr>
        <w:t>项目名称、数量</w:t>
      </w:r>
      <w:r>
        <w:rPr>
          <w:rFonts w:ascii="宋体" w:hAnsi="宋体" w:cs="宋体"/>
          <w:b/>
          <w:bCs/>
          <w:color w:val="000000"/>
          <w:kern w:val="0"/>
          <w:sz w:val="21"/>
          <w:szCs w:val="21"/>
          <w:highlight w:val="none"/>
        </w:rPr>
        <w:t>：</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cs="宋体"/>
          <w:b w:val="0"/>
          <w:bCs w:val="0"/>
          <w:color w:val="000000"/>
          <w:kern w:val="0"/>
          <w:sz w:val="21"/>
          <w:szCs w:val="21"/>
          <w:highlight w:val="none"/>
          <w:lang w:val="en-US" w:eastAsia="zh-CN"/>
        </w:rPr>
        <w:t>；</w:t>
      </w:r>
    </w:p>
    <w:p>
      <w:pPr>
        <w:widowControl/>
        <w:shd w:val="clear" w:color="auto" w:fill="FFFFFF"/>
        <w:spacing w:line="460" w:lineRule="atLeast"/>
        <w:ind w:firstLine="422" w:firstLineChars="200"/>
        <w:jc w:val="left"/>
        <w:rPr>
          <w:rFonts w:hint="eastAsia" w:ascii="宋体" w:hAnsi="宋体" w:cs="宋体"/>
          <w:b w:val="0"/>
          <w:bCs w:val="0"/>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lang w:val="en-US" w:eastAsia="zh-CN"/>
        </w:rPr>
        <w:t>二</w:t>
      </w:r>
      <w:r>
        <w:rPr>
          <w:rFonts w:hint="eastAsia" w:ascii="Times New Roman" w:hAnsi="Times New Roman" w:eastAsia="宋体" w:cs="Times New Roman"/>
          <w:b/>
          <w:bCs/>
          <w:sz w:val="21"/>
          <w:szCs w:val="21"/>
        </w:rPr>
        <w:t>、</w:t>
      </w:r>
      <w:r>
        <w:rPr>
          <w:rFonts w:hint="eastAsia" w:cs="Times New Roman"/>
          <w:b/>
          <w:bCs/>
          <w:sz w:val="21"/>
          <w:szCs w:val="21"/>
          <w:lang w:val="en-US" w:eastAsia="zh-CN"/>
        </w:rPr>
        <w:t>采购项目清单</w:t>
      </w:r>
      <w:r>
        <w:rPr>
          <w:rFonts w:hint="eastAsia" w:ascii="Times New Roman" w:hAnsi="Times New Roman" w:eastAsia="宋体" w:cs="Times New Roman"/>
          <w:b/>
          <w:bCs/>
          <w:sz w:val="21"/>
          <w:szCs w:val="21"/>
        </w:rPr>
        <w:t>：</w:t>
      </w:r>
    </w:p>
    <w:tbl>
      <w:tblPr>
        <w:tblStyle w:val="3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28"/>
        <w:gridCol w:w="1772"/>
        <w:gridCol w:w="1892"/>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25"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序号</w:t>
            </w:r>
          </w:p>
        </w:tc>
        <w:tc>
          <w:tcPr>
            <w:tcW w:w="262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项目名称</w:t>
            </w:r>
          </w:p>
        </w:tc>
        <w:tc>
          <w:tcPr>
            <w:tcW w:w="177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数量或规模</w:t>
            </w:r>
          </w:p>
        </w:tc>
        <w:tc>
          <w:tcPr>
            <w:tcW w:w="189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资金预算</w:t>
            </w:r>
          </w:p>
        </w:tc>
        <w:tc>
          <w:tcPr>
            <w:tcW w:w="180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tcBorders>
              <w:top w:val="single" w:color="auto" w:sz="4" w:space="0"/>
              <w:left w:val="single" w:color="auto" w:sz="4" w:space="0"/>
              <w:bottom w:val="single" w:color="auto" w:sz="4" w:space="0"/>
              <w:right w:val="single" w:color="auto" w:sz="4" w:space="0"/>
            </w:tcBorders>
            <w:vAlign w:val="top"/>
          </w:tcPr>
          <w:p>
            <w:pPr>
              <w:pStyle w:val="13"/>
              <w:jc w:val="left"/>
              <w:rPr>
                <w:rFonts w:hint="eastAsia"/>
                <w:bCs/>
                <w:sz w:val="21"/>
                <w:szCs w:val="21"/>
              </w:rPr>
            </w:pPr>
            <w:r>
              <w:rPr>
                <w:rFonts w:hint="eastAsia" w:ascii="宋体" w:hAnsi="宋体"/>
                <w:sz w:val="21"/>
                <w:szCs w:val="21"/>
                <w:lang w:val="en-US" w:eastAsia="zh-CN"/>
              </w:rPr>
              <w:t>1</w:t>
            </w:r>
          </w:p>
        </w:tc>
        <w:tc>
          <w:tcPr>
            <w:tcW w:w="2628"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both"/>
              <w:rPr>
                <w:rFonts w:hint="eastAsia" w:eastAsia="宋体"/>
                <w:sz w:val="21"/>
                <w:szCs w:val="21"/>
                <w:lang w:val="en-US" w:eastAsia="zh-CN"/>
              </w:rPr>
            </w:pPr>
            <w:r>
              <w:rPr>
                <w:rFonts w:hint="eastAsia" w:ascii="宋体" w:hAnsi="宋体"/>
                <w:sz w:val="21"/>
                <w:szCs w:val="21"/>
              </w:rPr>
              <w:t>行政办公区车库改造工程</w:t>
            </w:r>
          </w:p>
        </w:tc>
        <w:tc>
          <w:tcPr>
            <w:tcW w:w="1772" w:type="dxa"/>
            <w:tcBorders>
              <w:top w:val="single" w:color="auto" w:sz="4" w:space="0"/>
              <w:left w:val="nil"/>
              <w:bottom w:val="single" w:color="auto" w:sz="4" w:space="0"/>
              <w:right w:val="single" w:color="auto" w:sz="4" w:space="0"/>
            </w:tcBorders>
            <w:vAlign w:val="top"/>
          </w:tcPr>
          <w:p>
            <w:pPr>
              <w:pStyle w:val="13"/>
              <w:jc w:val="center"/>
              <w:rPr>
                <w:rFonts w:hint="default"/>
                <w:sz w:val="21"/>
                <w:szCs w:val="21"/>
                <w:lang w:val="en-US" w:eastAsia="zh-CN"/>
              </w:rPr>
            </w:pPr>
          </w:p>
        </w:tc>
        <w:tc>
          <w:tcPr>
            <w:tcW w:w="1892"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center"/>
              <w:rPr>
                <w:rFonts w:hint="eastAsia"/>
                <w:bCs/>
                <w:sz w:val="21"/>
                <w:szCs w:val="21"/>
                <w:lang w:val="en-US" w:eastAsia="zh-CN"/>
              </w:rPr>
            </w:pPr>
            <w:r>
              <w:rPr>
                <w:rFonts w:hint="eastAsia" w:ascii="宋体" w:hAnsi="宋体"/>
                <w:sz w:val="21"/>
                <w:szCs w:val="21"/>
                <w:lang w:val="en-US" w:eastAsia="zh-CN"/>
              </w:rPr>
              <w:t>9.51万元</w:t>
            </w:r>
          </w:p>
        </w:tc>
        <w:tc>
          <w:tcPr>
            <w:tcW w:w="1802" w:type="dxa"/>
            <w:tcBorders>
              <w:top w:val="single" w:color="auto" w:sz="4" w:space="0"/>
              <w:left w:val="nil"/>
              <w:bottom w:val="single" w:color="auto" w:sz="4" w:space="0"/>
              <w:right w:val="single" w:color="auto" w:sz="4" w:space="0"/>
            </w:tcBorders>
            <w:vAlign w:val="top"/>
          </w:tcPr>
          <w:p>
            <w:pPr>
              <w:pStyle w:val="13"/>
              <w:rPr>
                <w:rFonts w:hint="eastAsia"/>
                <w:bCs/>
                <w:sz w:val="21"/>
                <w:szCs w:val="21"/>
              </w:rPr>
            </w:pPr>
            <w:r>
              <w:rPr>
                <w:rFonts w:hint="eastAsia" w:ascii="宋体" w:hAnsi="宋体"/>
                <w:sz w:val="21"/>
                <w:szCs w:val="21"/>
                <w:lang w:val="en-US" w:eastAsia="zh-CN"/>
              </w:rPr>
              <w:t>自筹</w:t>
            </w:r>
          </w:p>
        </w:tc>
      </w:tr>
    </w:tbl>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三、</w:t>
      </w:r>
      <w:r>
        <w:rPr>
          <w:rFonts w:hint="eastAsia" w:ascii="宋体" w:hAnsi="宋体" w:eastAsia="宋体" w:cs="宋体"/>
          <w:b/>
          <w:bCs/>
          <w:color w:val="000000"/>
          <w:kern w:val="0"/>
          <w:sz w:val="21"/>
          <w:szCs w:val="21"/>
          <w:highlight w:val="none"/>
          <w:lang w:val="en-US" w:eastAsia="zh-CN" w:bidi="ar-SA"/>
        </w:rPr>
        <w:t>配置规格、附件及零配件（包括专用工具）：</w:t>
      </w:r>
      <w:r>
        <w:rPr>
          <w:rFonts w:hint="eastAsia" w:ascii="宋体" w:hAnsi="宋体" w:eastAsia="宋体" w:cs="宋体"/>
          <w:b w:val="0"/>
          <w:bCs w:val="0"/>
          <w:color w:val="000000"/>
          <w:kern w:val="0"/>
          <w:sz w:val="21"/>
          <w:szCs w:val="21"/>
          <w:highlight w:val="none"/>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①、详情见后附工程量清单。②、工期为</w:t>
      </w:r>
      <w:r>
        <w:rPr>
          <w:rFonts w:hint="eastAsia" w:cs="宋体"/>
          <w:b w:val="0"/>
          <w:bCs w:val="0"/>
          <w:color w:val="000000"/>
          <w:kern w:val="0"/>
          <w:sz w:val="21"/>
          <w:szCs w:val="21"/>
          <w:highlight w:val="none"/>
          <w:lang w:val="en-US" w:eastAsia="zh-CN" w:bidi="ar-SA"/>
        </w:rPr>
        <w:t>20天</w:t>
      </w:r>
      <w:r>
        <w:rPr>
          <w:rFonts w:hint="eastAsia" w:ascii="宋体" w:hAnsi="宋体" w:eastAsia="宋体" w:cs="宋体"/>
          <w:b w:val="0"/>
          <w:bCs w:val="0"/>
          <w:color w:val="000000"/>
          <w:kern w:val="0"/>
          <w:sz w:val="21"/>
          <w:szCs w:val="21"/>
          <w:highlight w:val="none"/>
          <w:lang w:val="en-US" w:eastAsia="zh-CN" w:bidi="ar-SA"/>
        </w:rPr>
        <w:t xml:space="preserve">。                                                                        </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四、</w:t>
      </w:r>
      <w:r>
        <w:rPr>
          <w:rFonts w:hint="eastAsia" w:ascii="宋体" w:hAnsi="宋体" w:eastAsia="宋体" w:cs="宋体"/>
          <w:b/>
          <w:bCs/>
          <w:color w:val="000000"/>
          <w:kern w:val="0"/>
          <w:sz w:val="21"/>
          <w:szCs w:val="21"/>
          <w:highlight w:val="none"/>
          <w:lang w:val="en-US" w:eastAsia="zh-CN" w:bidi="ar-SA"/>
        </w:rPr>
        <w:t>售后服务条件及交货日期（或工期）：</w:t>
      </w:r>
    </w:p>
    <w:p>
      <w:pPr>
        <w:keepNext w:val="0"/>
        <w:keepLines w:val="0"/>
        <w:pageBreakBefore w:val="0"/>
        <w:kinsoku/>
        <w:wordWrap/>
        <w:overflowPunct/>
        <w:topLinePunct w:val="0"/>
        <w:autoSpaceDE/>
        <w:autoSpaceDN/>
        <w:bidi w:val="0"/>
        <w:adjustRightInd/>
        <w:snapToGrid w:val="0"/>
        <w:spacing w:line="360" w:lineRule="auto"/>
        <w:textAlignment w:val="auto"/>
        <w:rPr>
          <w:color w:val="auto"/>
          <w:sz w:val="32"/>
          <w:szCs w:val="32"/>
          <w:highlight w:val="none"/>
        </w:rPr>
      </w:pPr>
      <w:r>
        <w:rPr>
          <w:rFonts w:hint="eastAsia" w:ascii="宋体" w:hAnsi="宋体" w:eastAsia="宋体" w:cs="宋体"/>
          <w:b w:val="0"/>
          <w:bCs w:val="0"/>
          <w:color w:val="000000"/>
          <w:kern w:val="0"/>
          <w:sz w:val="21"/>
          <w:szCs w:val="21"/>
          <w:highlight w:val="none"/>
          <w:lang w:val="en-US" w:eastAsia="zh-CN" w:bidi="ar-SA"/>
        </w:rPr>
        <w:t>①、质量承诺（包括质保期）；②、响应院方工期要求，若承诺的工期不能按时完成，按合同约定进行处罚；③、施工中做好施工组织，保证安全生产，防止人为的对场区管网的损坏。如有安全事故或对场区管网损坏，其造成的伤害事故及一切经济损失，由施工方承担全责；④、合同外增项按原招标优惠比率结算；⑤、招标控制价及工程量清单的编制费用由中标方支付。</w:t>
      </w:r>
      <w:bookmarkEnd w:id="30"/>
      <w:bookmarkEnd w:id="31"/>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35" w:name="_Toc14504"/>
      <w:r>
        <w:rPr>
          <w:rFonts w:hint="eastAsia"/>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1.1 项目名称：</w:t>
            </w:r>
            <w:r>
              <w:rPr>
                <w:rFonts w:hint="eastAsia"/>
                <w:color w:val="auto"/>
                <w:highlight w:val="none"/>
                <w:lang w:val="en-US" w:eastAsia="zh-CN"/>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95100.00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95100.00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供应商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 xml:space="preserve">4.6 </w:t>
      </w:r>
      <w:r>
        <w:rPr>
          <w:rFonts w:hint="eastAsia"/>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1"/>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2"/>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3"/>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6" w:name="_Toc31798"/>
      <w:bookmarkStart w:id="57" w:name="_Toc24743"/>
      <w:r>
        <w:rPr>
          <w:rFonts w:hint="eastAsia"/>
          <w:color w:val="auto"/>
          <w:highlight w:val="none"/>
        </w:rPr>
        <w:t>附件1               投标文件封面（格式）</w:t>
      </w:r>
      <w:bookmarkEnd w:id="56"/>
      <w:bookmarkEnd w:id="57"/>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cs="宋体"/>
          <w:b/>
          <w:snapToGrid w:val="0"/>
          <w:color w:val="auto"/>
          <w:spacing w:val="0"/>
          <w:kern w:val="0"/>
          <w:sz w:val="44"/>
          <w:szCs w:val="44"/>
          <w:highlight w:val="none"/>
          <w:u w:val="none"/>
          <w:lang w:val="en-US" w:eastAsia="zh-CN"/>
        </w:rPr>
        <w:t>行政办公区车库改造工程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8" w:name="_Toc14560"/>
      <w:bookmarkStart w:id="59" w:name="_Toc8818"/>
      <w:r>
        <w:rPr>
          <w:rFonts w:hint="eastAsia"/>
          <w:color w:val="auto"/>
          <w:highlight w:val="none"/>
        </w:rPr>
        <w:t>附件2               投  标  书（格式）</w:t>
      </w:r>
      <w:bookmarkEnd w:id="58"/>
      <w:bookmarkEnd w:id="59"/>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0" w:name="_Toc7838"/>
      <w:r>
        <w:rPr>
          <w:rFonts w:hint="eastAsia"/>
          <w:color w:val="auto"/>
          <w:highlight w:val="none"/>
        </w:rPr>
        <w:t>附件3               开标一览表</w:t>
      </w:r>
      <w:bookmarkEnd w:id="60"/>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1" w:name="_Toc20877"/>
      <w:bookmarkStart w:id="62" w:name="_Toc11620"/>
      <w:r>
        <w:rPr>
          <w:rFonts w:hint="eastAsia" w:ascii="宋体" w:hAnsi="宋体"/>
          <w:color w:val="auto"/>
          <w:szCs w:val="21"/>
          <w:highlight w:val="none"/>
        </w:rPr>
        <w:t>投标人（全称并加盖公章）：</w:t>
      </w:r>
      <w:bookmarkEnd w:id="61"/>
      <w:bookmarkEnd w:id="6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3" w:name="_Toc12222"/>
      <w:bookmarkStart w:id="64" w:name="_Toc625"/>
      <w:r>
        <w:rPr>
          <w:rFonts w:hint="eastAsia" w:ascii="宋体" w:hAnsi="宋体"/>
          <w:color w:val="auto"/>
          <w:szCs w:val="21"/>
          <w:highlight w:val="none"/>
        </w:rPr>
        <w:t>法定代表人或其委托代理人（签字）：</w:t>
      </w:r>
      <w:bookmarkEnd w:id="63"/>
      <w:bookmarkEnd w:id="6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5" w:name="_Toc9950"/>
      <w:bookmarkStart w:id="66" w:name="_Toc1330"/>
      <w:r>
        <w:rPr>
          <w:rFonts w:hint="eastAsia" w:ascii="宋体" w:hAnsi="宋体"/>
          <w:color w:val="auto"/>
          <w:szCs w:val="21"/>
          <w:highlight w:val="none"/>
        </w:rPr>
        <w:t>年  月  日</w:t>
      </w:r>
      <w:bookmarkEnd w:id="65"/>
      <w:bookmarkEnd w:id="66"/>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7" w:name="_Toc31526"/>
      <w:bookmarkStart w:id="68"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7"/>
      <w:bookmarkEnd w:id="68"/>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69" w:name="_Toc13976"/>
      <w:bookmarkStart w:id="70"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69"/>
      <w:bookmarkEnd w:id="70"/>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1" w:name="_Toc24693"/>
      <w:bookmarkStart w:id="72"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1"/>
      <w:bookmarkEnd w:id="72"/>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1</w:t>
      </w:r>
      <w:r>
        <w:rPr>
          <w:rFonts w:hint="eastAsia"/>
          <w:bCs/>
          <w:color w:val="auto"/>
          <w:sz w:val="21"/>
          <w:szCs w:val="21"/>
          <w:highlight w:val="none"/>
          <w:lang w:val="en-US" w:eastAsia="zh-CN"/>
        </w:rPr>
        <w:t>、</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2</w:t>
      </w:r>
      <w:r>
        <w:rPr>
          <w:rFonts w:hint="eastAsia"/>
          <w:bCs/>
          <w:color w:val="auto"/>
          <w:sz w:val="21"/>
          <w:szCs w:val="21"/>
          <w:highlight w:val="none"/>
          <w:lang w:val="en-US" w:eastAsia="zh-CN"/>
        </w:rPr>
        <w:t>、</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3</w:t>
      </w:r>
      <w:r>
        <w:rPr>
          <w:rFonts w:hint="eastAsia"/>
          <w:bCs/>
          <w:color w:val="auto"/>
          <w:sz w:val="21"/>
          <w:szCs w:val="21"/>
          <w:highlight w:val="none"/>
          <w:lang w:val="en-US" w:eastAsia="zh-CN"/>
        </w:rPr>
        <w:t>、</w:t>
      </w:r>
      <w:r>
        <w:rPr>
          <w:rFonts w:hint="eastAsia"/>
          <w:bCs/>
          <w:color w:val="auto"/>
          <w:sz w:val="21"/>
          <w:szCs w:val="21"/>
          <w:highlight w:val="none"/>
        </w:rPr>
        <w:t>其他需要提供的证明材料</w:t>
      </w:r>
      <w:bookmarkStart w:id="73"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4" w:name="_Toc12888"/>
      <w:bookmarkStart w:id="75" w:name="_Toc13726"/>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3"/>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4"/>
      <w:bookmarkEnd w:id="75"/>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6" w:name="_Toc23394"/>
      <w:bookmarkStart w:id="77" w:name="_Toc25094"/>
      <w:r>
        <w:rPr>
          <w:rFonts w:hint="eastAsia" w:ascii="宋体" w:hAnsi="宋体" w:cs="Lucida Sans Unicode"/>
          <w:b/>
          <w:color w:val="auto"/>
          <w:kern w:val="0"/>
          <w:sz w:val="24"/>
          <w:highlight w:val="none"/>
        </w:rPr>
        <w:t>投标人认为有必要的其他资料</w:t>
      </w:r>
      <w:bookmarkEnd w:id="76"/>
      <w:bookmarkEnd w:id="7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416C20"/>
    <w:rsid w:val="046F7BA2"/>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214F8E"/>
    <w:rsid w:val="09737462"/>
    <w:rsid w:val="099156C3"/>
    <w:rsid w:val="09A53F39"/>
    <w:rsid w:val="09A60E13"/>
    <w:rsid w:val="09D206F0"/>
    <w:rsid w:val="0A321AC2"/>
    <w:rsid w:val="0A343D4E"/>
    <w:rsid w:val="0A3E6D2E"/>
    <w:rsid w:val="0AD13A85"/>
    <w:rsid w:val="0B091954"/>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66770C"/>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0FA0E64"/>
    <w:rsid w:val="113329E7"/>
    <w:rsid w:val="113F294C"/>
    <w:rsid w:val="11437C85"/>
    <w:rsid w:val="1166372C"/>
    <w:rsid w:val="11700D10"/>
    <w:rsid w:val="1178125A"/>
    <w:rsid w:val="1196056D"/>
    <w:rsid w:val="11D34654"/>
    <w:rsid w:val="12010480"/>
    <w:rsid w:val="120E707F"/>
    <w:rsid w:val="127A7D1C"/>
    <w:rsid w:val="12836D8B"/>
    <w:rsid w:val="12984039"/>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B81616"/>
    <w:rsid w:val="1AC10987"/>
    <w:rsid w:val="1AEE5218"/>
    <w:rsid w:val="1B0C5B32"/>
    <w:rsid w:val="1B0D3E82"/>
    <w:rsid w:val="1B1652AB"/>
    <w:rsid w:val="1B181CD5"/>
    <w:rsid w:val="1B265306"/>
    <w:rsid w:val="1B4F2450"/>
    <w:rsid w:val="1B8C18B7"/>
    <w:rsid w:val="1B8D3293"/>
    <w:rsid w:val="1BA126B9"/>
    <w:rsid w:val="1BB73AE1"/>
    <w:rsid w:val="1BDA6D68"/>
    <w:rsid w:val="1C555978"/>
    <w:rsid w:val="1C6554A1"/>
    <w:rsid w:val="1C7971B7"/>
    <w:rsid w:val="1CD402EC"/>
    <w:rsid w:val="1CF02333"/>
    <w:rsid w:val="1D0C33A2"/>
    <w:rsid w:val="1D113E6E"/>
    <w:rsid w:val="1D114E5E"/>
    <w:rsid w:val="1D1A7DC4"/>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673B6E"/>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117CB"/>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893DAB"/>
    <w:rsid w:val="279A1B15"/>
    <w:rsid w:val="27A34941"/>
    <w:rsid w:val="283C23DF"/>
    <w:rsid w:val="284C16F5"/>
    <w:rsid w:val="28570AB5"/>
    <w:rsid w:val="28C2534B"/>
    <w:rsid w:val="28C5525A"/>
    <w:rsid w:val="28D14B96"/>
    <w:rsid w:val="29020C46"/>
    <w:rsid w:val="290240C7"/>
    <w:rsid w:val="29274EE0"/>
    <w:rsid w:val="2969197F"/>
    <w:rsid w:val="29736AD1"/>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4212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E1094C"/>
    <w:rsid w:val="2EFD7DB9"/>
    <w:rsid w:val="2F1A081D"/>
    <w:rsid w:val="2F1E3DC0"/>
    <w:rsid w:val="2F3112DE"/>
    <w:rsid w:val="2F3B6922"/>
    <w:rsid w:val="2F506C6D"/>
    <w:rsid w:val="2F51291F"/>
    <w:rsid w:val="2F55758A"/>
    <w:rsid w:val="2F7F15AE"/>
    <w:rsid w:val="2FA54796"/>
    <w:rsid w:val="2FA674E2"/>
    <w:rsid w:val="2FDB4C72"/>
    <w:rsid w:val="2FFE7D49"/>
    <w:rsid w:val="302A5C42"/>
    <w:rsid w:val="30333096"/>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20A89"/>
    <w:rsid w:val="32176602"/>
    <w:rsid w:val="322A7699"/>
    <w:rsid w:val="322B25C6"/>
    <w:rsid w:val="32422E70"/>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72FDF"/>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495480"/>
    <w:rsid w:val="3C6F0167"/>
    <w:rsid w:val="3C71667B"/>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7E4AAC"/>
    <w:rsid w:val="3E8C5311"/>
    <w:rsid w:val="3E8E7E55"/>
    <w:rsid w:val="3EB61473"/>
    <w:rsid w:val="3F270A5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800B9B"/>
    <w:rsid w:val="42A06B6C"/>
    <w:rsid w:val="42EA5650"/>
    <w:rsid w:val="431408DA"/>
    <w:rsid w:val="4331401E"/>
    <w:rsid w:val="435A0DF2"/>
    <w:rsid w:val="43652C57"/>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3014BE"/>
    <w:rsid w:val="498D1239"/>
    <w:rsid w:val="49E862B8"/>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C84335"/>
    <w:rsid w:val="4CE9350A"/>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00A6A"/>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D1153D"/>
    <w:rsid w:val="57FA3774"/>
    <w:rsid w:val="58084A3C"/>
    <w:rsid w:val="585D2975"/>
    <w:rsid w:val="587E3341"/>
    <w:rsid w:val="58B5077F"/>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484352"/>
    <w:rsid w:val="5A5321A5"/>
    <w:rsid w:val="5A8734AF"/>
    <w:rsid w:val="5A9C1C5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BB7F6F"/>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A90D68"/>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37437"/>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20A65"/>
    <w:rsid w:val="6E0458E7"/>
    <w:rsid w:val="6E212037"/>
    <w:rsid w:val="6E3B221B"/>
    <w:rsid w:val="6E475779"/>
    <w:rsid w:val="6E7764EF"/>
    <w:rsid w:val="6EAD447C"/>
    <w:rsid w:val="6EBC0C12"/>
    <w:rsid w:val="6ECD7F59"/>
    <w:rsid w:val="6EED7C80"/>
    <w:rsid w:val="6EF773A4"/>
    <w:rsid w:val="6EFC3450"/>
    <w:rsid w:val="6F2F2D9E"/>
    <w:rsid w:val="6F3C3F50"/>
    <w:rsid w:val="6F4147D9"/>
    <w:rsid w:val="6F947E4B"/>
    <w:rsid w:val="6FA30BDA"/>
    <w:rsid w:val="6FB80698"/>
    <w:rsid w:val="6FCA6443"/>
    <w:rsid w:val="7024611F"/>
    <w:rsid w:val="70637B96"/>
    <w:rsid w:val="70797317"/>
    <w:rsid w:val="708327EA"/>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23511"/>
    <w:rsid w:val="72AC074C"/>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BB7F74"/>
    <w:rsid w:val="77D23088"/>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417CE1"/>
    <w:rsid w:val="7C691974"/>
    <w:rsid w:val="7C8A6570"/>
    <w:rsid w:val="7C8B7390"/>
    <w:rsid w:val="7C9B0D0E"/>
    <w:rsid w:val="7C9B4A25"/>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13337</Words>
  <Characters>13991</Characters>
  <Lines>50</Lines>
  <Paragraphs>68</Paragraphs>
  <TotalTime>0</TotalTime>
  <ScaleCrop>false</ScaleCrop>
  <LinksUpToDate>false</LinksUpToDate>
  <CharactersWithSpaces>14792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2022-06-20T08:40:03Z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562A285641654D2EA086C4325B3B203C</vt:lpwstr>
  </property>
</Properties>
</file>