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rPr>
      </w:pPr>
      <w:r>
        <w:rPr>
          <w:rFonts w:hint="eastAsia" w:cs="宋体"/>
          <w:b/>
          <w:bCs/>
          <w:sz w:val="48"/>
          <w:szCs w:val="48"/>
          <w:lang w:val="en-US" w:eastAsia="zh-CN"/>
        </w:rPr>
        <w:t>驻马店市中心医院网络安全加固服务项目</w:t>
      </w: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Cs w:val="44"/>
        </w:rPr>
      </w:pPr>
      <w:r>
        <w:rPr>
          <w:rStyle w:val="44"/>
          <w:rFonts w:hint="eastAsia" w:cs="宋体"/>
          <w:b/>
          <w:bCs/>
          <w:color w:val="auto"/>
          <w:sz w:val="72"/>
          <w:szCs w:val="72"/>
          <w:lang w:val="en-US" w:eastAsia="zh-CN"/>
        </w:rPr>
        <w:t>采购</w:t>
      </w:r>
      <w:r>
        <w:rPr>
          <w:rStyle w:val="44"/>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7"/>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2022</w:t>
      </w:r>
      <w:r>
        <w:rPr>
          <w:rFonts w:hint="eastAsia" w:ascii="宋体" w:hAnsi="宋体" w:eastAsia="宋体" w:cs="宋体"/>
          <w:b/>
          <w:bCs/>
          <w:spacing w:val="40"/>
          <w:sz w:val="34"/>
          <w:szCs w:val="34"/>
        </w:rPr>
        <w:t>年</w:t>
      </w:r>
      <w:r>
        <w:rPr>
          <w:rFonts w:hint="eastAsia" w:ascii="宋体" w:hAnsi="宋体" w:cs="宋体"/>
          <w:b/>
          <w:bCs/>
          <w:color w:val="FF0000"/>
          <w:spacing w:val="40"/>
          <w:sz w:val="34"/>
          <w:szCs w:val="34"/>
          <w:lang w:val="en-US" w:eastAsia="zh-CN"/>
        </w:rPr>
        <w:t>06</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1"/>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1"/>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驻马店市中心医院网络安全加固服务项目</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eastAsia="宋体" w:cs="宋体"/>
        </w:rPr>
      </w:pPr>
      <w:bookmarkStart w:id="91" w:name="_GoBack"/>
      <w:r>
        <w:rPr>
          <w:rFonts w:hint="eastAsia" w:ascii="宋体" w:hAnsi="宋体" w:eastAsia="宋体" w:cs="宋体"/>
        </w:rPr>
        <w:t>驻马店市中心医院现对</w:t>
      </w:r>
      <w:r>
        <w:rPr>
          <w:rFonts w:hint="eastAsia" w:ascii="宋体" w:hAnsi="宋体" w:cs="宋体"/>
          <w:u w:val="single"/>
          <w:lang w:eastAsia="zh-CN"/>
        </w:rPr>
        <w:t>网络安全加固服务项目</w:t>
      </w:r>
      <w:r>
        <w:rPr>
          <w:rFonts w:hint="eastAsia" w:ascii="宋体" w:hAnsi="宋体" w:eastAsia="宋体" w:cs="宋体"/>
        </w:rPr>
        <w:t>进行院内</w:t>
      </w:r>
      <w:r>
        <w:rPr>
          <w:rFonts w:hint="eastAsia" w:ascii="宋体" w:hAnsi="宋体" w:eastAsia="宋体" w:cs="宋体"/>
          <w:lang w:val="en-US" w:eastAsia="zh-CN"/>
        </w:rPr>
        <w:t>竞争性磋商采购</w:t>
      </w:r>
      <w:r>
        <w:rPr>
          <w:rFonts w:hint="eastAsia" w:ascii="宋体" w:hAnsi="宋体" w:eastAsia="宋体" w:cs="宋体"/>
        </w:rPr>
        <w:t>，欢迎符合资格条件的供应商前来</w:t>
      </w:r>
      <w:r>
        <w:rPr>
          <w:rFonts w:hint="eastAsia" w:ascii="宋体" w:hAnsi="宋体" w:eastAsia="宋体" w:cs="宋体"/>
          <w:lang w:val="en-US" w:eastAsia="zh-CN"/>
        </w:rPr>
        <w:t>前来报名并获取采购文件</w:t>
      </w:r>
      <w:r>
        <w:rPr>
          <w:rFonts w:hint="eastAsia" w:ascii="宋体" w:hAnsi="宋体" w:eastAsia="宋体" w:cs="宋体"/>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rPr>
      </w:pPr>
      <w:r>
        <w:rPr>
          <w:rFonts w:hint="eastAsia" w:ascii="宋体" w:hAnsi="宋体" w:eastAsia="宋体" w:cs="宋体"/>
          <w:b/>
          <w:bCs/>
          <w:lang w:val="en-US" w:eastAsia="zh-CN"/>
        </w:rPr>
        <w:t xml:space="preserve">一、项目基本情况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1、采购项目名称：</w:t>
      </w:r>
      <w:r>
        <w:rPr>
          <w:rFonts w:hint="eastAsia" w:ascii="宋体" w:hAnsi="宋体" w:cs="宋体"/>
          <w:lang w:val="en-US" w:eastAsia="zh-CN"/>
        </w:rPr>
        <w:t>驻马店市中心医院网络安全加固服务项目</w:t>
      </w:r>
      <w:r>
        <w:rPr>
          <w:rFonts w:hint="eastAsia" w:ascii="宋体" w:hAnsi="宋体" w:eastAsia="宋体" w:cs="宋体"/>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2、采购需求：具体要求详见附件；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3</w:t>
      </w:r>
      <w:bookmarkStart w:id="3" w:name="_Toc26725"/>
      <w:bookmarkEnd w:id="3"/>
      <w:r>
        <w:rPr>
          <w:rFonts w:hint="eastAsia" w:ascii="宋体" w:hAnsi="宋体" w:eastAsia="宋体" w:cs="宋体"/>
          <w:lang w:val="en-US" w:eastAsia="zh-CN"/>
        </w:rPr>
        <w:t>、预算金额：</w:t>
      </w:r>
      <w:r>
        <w:rPr>
          <w:rFonts w:hint="eastAsia" w:ascii="宋体" w:hAnsi="宋体" w:cs="宋体"/>
          <w:lang w:val="en-US" w:eastAsia="zh-CN"/>
        </w:rPr>
        <w:t>270000.00</w:t>
      </w:r>
      <w:r>
        <w:rPr>
          <w:rFonts w:hint="eastAsia" w:ascii="宋体" w:hAnsi="宋体" w:eastAsia="宋体" w:cs="宋体"/>
          <w:lang w:val="en-US" w:eastAsia="zh-CN"/>
        </w:rPr>
        <w:t xml:space="preserve">元，自筹资金；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4、服务地点：采购人指定地点；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bookmarkStart w:id="4" w:name="_Toc26079"/>
      <w:bookmarkEnd w:id="4"/>
      <w:bookmarkStart w:id="5" w:name="_Toc27913"/>
      <w:bookmarkEnd w:id="5"/>
      <w:bookmarkStart w:id="6" w:name="_Toc19521"/>
      <w:bookmarkEnd w:id="6"/>
      <w:bookmarkStart w:id="7" w:name="_Toc24040"/>
      <w:bookmarkEnd w:id="7"/>
      <w:bookmarkStart w:id="8" w:name="_Toc21071"/>
      <w:bookmarkEnd w:id="8"/>
      <w:r>
        <w:rPr>
          <w:rFonts w:hint="eastAsia" w:ascii="宋体" w:hAnsi="宋体" w:eastAsia="宋体" w:cs="宋体"/>
          <w:lang w:val="en-US" w:eastAsia="zh-CN"/>
        </w:rPr>
        <w:t>5、合同履行期限：</w:t>
      </w:r>
      <w:r>
        <w:rPr>
          <w:rFonts w:hint="eastAsia" w:ascii="宋体" w:hAnsi="宋体" w:cs="宋体"/>
          <w:lang w:val="en-US" w:eastAsia="zh-CN"/>
        </w:rPr>
        <w:t>1年</w:t>
      </w:r>
      <w:r>
        <w:rPr>
          <w:rFonts w:hint="eastAsia" w:ascii="宋体" w:hAnsi="宋体" w:eastAsia="宋体" w:cs="宋体"/>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6、服务要求：合格。（以采购人要求为准）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rPr>
      </w:pPr>
      <w:bookmarkStart w:id="9" w:name="_Toc27704"/>
      <w:bookmarkEnd w:id="9"/>
      <w:bookmarkStart w:id="10" w:name="_Toc23626"/>
      <w:bookmarkEnd w:id="10"/>
      <w:bookmarkStart w:id="11" w:name="_Toc18607"/>
      <w:bookmarkEnd w:id="11"/>
      <w:bookmarkStart w:id="12" w:name="_Toc16639"/>
      <w:bookmarkEnd w:id="12"/>
      <w:r>
        <w:rPr>
          <w:rFonts w:hint="eastAsia" w:ascii="宋体" w:hAnsi="宋体" w:eastAsia="宋体" w:cs="宋体"/>
          <w:b/>
          <w:bCs/>
          <w:lang w:val="en-US" w:eastAsia="zh-CN"/>
        </w:rPr>
        <w:t>二、供应商资格要求：</w:t>
      </w:r>
      <w:r>
        <w:rPr>
          <w:rFonts w:hint="eastAsia" w:ascii="宋体" w:hAnsi="宋体" w:eastAsia="宋体" w:cs="宋体"/>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bookmarkStart w:id="13" w:name="_Toc9562"/>
      <w:bookmarkEnd w:id="13"/>
      <w:bookmarkStart w:id="14" w:name="_Toc30643"/>
      <w:bookmarkEnd w:id="14"/>
      <w:bookmarkStart w:id="15" w:name="_Toc23395"/>
      <w:bookmarkEnd w:id="15"/>
      <w:bookmarkStart w:id="16" w:name="_Toc7823"/>
      <w:bookmarkEnd w:id="16"/>
      <w:bookmarkStart w:id="17" w:name="_Toc30971"/>
      <w:bookmarkEnd w:id="17"/>
      <w:r>
        <w:rPr>
          <w:rFonts w:hint="eastAsia" w:ascii="宋体" w:hAnsi="宋体" w:eastAsia="宋体" w:cs="宋体"/>
          <w:lang w:val="en-US" w:eastAsia="zh-CN"/>
        </w:rPr>
        <w:t xml:space="preserve">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2、供应商应提供2020年度或2021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3、具有履行合同所必需的设备和专业技术能力（提供书面声明函）；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4、参加本采购活动前三年内，在经营活动中没有重大违法记录（提供书面声明函）；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5、符合法律、行政法规规定的其他条件；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6、根据《关于在政府采购活动中查询及使用信用记录有关问题的通知》（财库【2016】125号）的规定，对列入失信被执行人、税收违法黑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7、不接受联合体投标。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rPr>
      </w:pPr>
      <w:r>
        <w:rPr>
          <w:rFonts w:hint="eastAsia" w:ascii="宋体" w:hAnsi="宋体" w:eastAsia="宋体" w:cs="宋体"/>
          <w:b/>
          <w:bCs/>
          <w:lang w:val="en-US" w:eastAsia="zh-CN"/>
        </w:rPr>
        <w:t xml:space="preserve">三、获取采购文件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1报名时间：</w:t>
      </w:r>
      <w:r>
        <w:rPr>
          <w:rFonts w:hint="eastAsia" w:ascii="宋体" w:hAnsi="宋体" w:eastAsia="宋体" w:cs="宋体"/>
          <w:color w:val="FF0000"/>
          <w:lang w:val="en-US" w:eastAsia="zh-CN"/>
        </w:rPr>
        <w:t>2022年06月</w:t>
      </w:r>
      <w:r>
        <w:rPr>
          <w:rFonts w:hint="eastAsia" w:ascii="宋体" w:hAnsi="宋体" w:cs="宋体"/>
          <w:color w:val="FF0000"/>
          <w:lang w:val="en-US" w:eastAsia="zh-CN"/>
        </w:rPr>
        <w:t>17</w:t>
      </w:r>
      <w:r>
        <w:rPr>
          <w:rFonts w:hint="eastAsia" w:ascii="宋体" w:hAnsi="宋体" w:eastAsia="宋体" w:cs="宋体"/>
          <w:color w:val="FF0000"/>
          <w:lang w:val="en-US" w:eastAsia="zh-CN"/>
        </w:rPr>
        <w:t>日-2022年06月</w:t>
      </w:r>
      <w:r>
        <w:rPr>
          <w:rFonts w:hint="eastAsia" w:ascii="宋体" w:hAnsi="宋体" w:cs="宋体"/>
          <w:color w:val="FF0000"/>
          <w:lang w:val="en-US" w:eastAsia="zh-CN"/>
        </w:rPr>
        <w:t>21</w:t>
      </w:r>
      <w:r>
        <w:rPr>
          <w:rFonts w:hint="eastAsia" w:ascii="宋体" w:hAnsi="宋体" w:eastAsia="宋体" w:cs="宋体"/>
          <w:color w:val="FF0000"/>
          <w:lang w:val="en-US" w:eastAsia="zh-CN"/>
        </w:rPr>
        <w:t>日</w:t>
      </w:r>
      <w:r>
        <w:rPr>
          <w:rFonts w:hint="eastAsia" w:ascii="宋体" w:hAnsi="宋体" w:eastAsia="宋体" w:cs="宋体"/>
          <w:lang w:val="en-US" w:eastAsia="zh-CN"/>
        </w:rPr>
        <w:t xml:space="preserve">，上午8：30-11:30，下午14:30-17:30（北京时间，法定节假日除外），报名费用：200元。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2.每报名任何一个项目的供应商，需交纳2000元投标保证金。凡报名成功的供应商无故不来参与投标的，拒不退还投标保证金，并列入我院黑名单，一年内不得参与我院任何采购活动。凡未中标者，评审结束后三个工作日内凭收据无息退还。中标供应商缴纳相应服务费。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3.采购文件获取方式：供应商须把填写完整的报名登记表及报名登记表要求提供的相关资料扫描件按序排版为PDF格式文件，发送至以下邮箱：</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"mailto:hnwxzb2@163.com%E5%B9%B6%E6%A0%87%E6%98%8EXX" </w:instrText>
      </w:r>
      <w:r>
        <w:rPr>
          <w:rFonts w:hint="eastAsia" w:ascii="宋体" w:hAnsi="宋体" w:eastAsia="宋体" w:cs="宋体"/>
          <w:lang w:val="en-US" w:eastAsia="zh-CN"/>
        </w:rPr>
        <w:fldChar w:fldCharType="separate"/>
      </w:r>
      <w:r>
        <w:rPr>
          <w:rFonts w:hint="eastAsia" w:ascii="宋体" w:hAnsi="宋体" w:eastAsia="宋体" w:cs="宋体"/>
          <w:highlight w:val="none"/>
          <w:lang w:val="en-US" w:eastAsia="zh-CN"/>
        </w:rPr>
        <w:t>934027204@qq.com</w:t>
      </w:r>
      <w:r>
        <w:rPr>
          <w:rFonts w:hint="eastAsia" w:ascii="宋体" w:hAnsi="宋体" w:eastAsia="宋体" w:cs="宋体"/>
        </w:rPr>
        <w:t>并标明XX公司XX</w:t>
      </w:r>
      <w:r>
        <w:rPr>
          <w:rFonts w:hint="eastAsia" w:ascii="宋体" w:hAnsi="宋体" w:eastAsia="宋体" w:cs="宋体"/>
          <w:lang w:val="en-US" w:eastAsia="zh-CN"/>
        </w:rPr>
        <w:fldChar w:fldCharType="end"/>
      </w:r>
      <w:r>
        <w:rPr>
          <w:rFonts w:hint="eastAsia" w:ascii="宋体" w:hAnsi="宋体" w:eastAsia="宋体" w:cs="宋体"/>
          <w:lang w:val="en-US" w:eastAsia="zh-CN"/>
        </w:rPr>
        <w:t xml:space="preserve">项目报名资料；审核通过后按要求交纳报名费及投标保证金。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4.报名登记表：请从附件中下载。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rPr>
      </w:pPr>
      <w:bookmarkStart w:id="18" w:name="_Toc15135"/>
      <w:bookmarkEnd w:id="18"/>
      <w:bookmarkStart w:id="19" w:name="_Toc25869"/>
      <w:bookmarkEnd w:id="19"/>
      <w:bookmarkStart w:id="20" w:name="_Toc27480"/>
      <w:bookmarkEnd w:id="20"/>
      <w:bookmarkStart w:id="21" w:name="_Toc10738"/>
      <w:bookmarkEnd w:id="21"/>
      <w:bookmarkStart w:id="22" w:name="_Toc15111"/>
      <w:bookmarkEnd w:id="22"/>
      <w:r>
        <w:rPr>
          <w:rFonts w:hint="eastAsia" w:ascii="宋体" w:hAnsi="宋体" w:eastAsia="宋体" w:cs="宋体"/>
          <w:b/>
          <w:bCs/>
          <w:lang w:val="en-US" w:eastAsia="zh-CN"/>
        </w:rPr>
        <w:t xml:space="preserve">四、投标截止时间及地点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1.时间：详见采购文件。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2.地点：详见采购文件。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rPr>
      </w:pPr>
      <w:r>
        <w:rPr>
          <w:rFonts w:hint="eastAsia" w:ascii="宋体" w:hAnsi="宋体" w:eastAsia="宋体" w:cs="宋体"/>
          <w:b/>
          <w:bCs/>
          <w:lang w:val="en-US" w:eastAsia="zh-CN"/>
        </w:rPr>
        <w:t xml:space="preserve">五、开标时间及地点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1.时间：详见采购文件。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2.地点：详见采购文件。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rPr>
      </w:pPr>
      <w:bookmarkStart w:id="23" w:name="_Toc6523"/>
      <w:bookmarkEnd w:id="23"/>
      <w:bookmarkStart w:id="24" w:name="_Toc30918"/>
      <w:bookmarkEnd w:id="24"/>
      <w:bookmarkStart w:id="25" w:name="_Toc29784"/>
      <w:bookmarkEnd w:id="25"/>
      <w:bookmarkStart w:id="26" w:name="_Toc20287"/>
      <w:bookmarkEnd w:id="26"/>
      <w:r>
        <w:rPr>
          <w:rFonts w:hint="eastAsia" w:ascii="宋体" w:hAnsi="宋体" w:eastAsia="宋体" w:cs="宋体"/>
          <w:b/>
          <w:bCs/>
          <w:lang w:val="en-US" w:eastAsia="zh-CN"/>
        </w:rPr>
        <w:t xml:space="preserve">六、发布公告的媒介及采购公告期限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本次采购公告在《驻马店市中心医院》院内网上发布，采购公告期限为三个工作日。</w:t>
      </w:r>
      <w:bookmarkStart w:id="27" w:name="_Toc35393795"/>
      <w:bookmarkEnd w:id="27"/>
      <w:bookmarkStart w:id="28" w:name="_Toc35393626"/>
      <w:bookmarkEnd w:id="28"/>
      <w:r>
        <w:rPr>
          <w:rFonts w:hint="eastAsia" w:ascii="宋体" w:hAnsi="宋体" w:eastAsia="宋体" w:cs="宋体"/>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rPr>
      </w:pPr>
      <w:bookmarkStart w:id="29" w:name="_Toc31928"/>
      <w:bookmarkEnd w:id="29"/>
      <w:bookmarkStart w:id="30" w:name="_Toc3604"/>
      <w:bookmarkEnd w:id="30"/>
      <w:bookmarkStart w:id="31" w:name="_Toc16291"/>
      <w:bookmarkEnd w:id="31"/>
      <w:bookmarkStart w:id="32" w:name="_Toc27370"/>
      <w:bookmarkEnd w:id="32"/>
      <w:bookmarkStart w:id="33" w:name="_Toc24274"/>
      <w:bookmarkEnd w:id="33"/>
      <w:r>
        <w:rPr>
          <w:rFonts w:hint="eastAsia" w:ascii="宋体" w:hAnsi="宋体" w:eastAsia="宋体" w:cs="宋体"/>
          <w:b/>
          <w:bCs/>
          <w:lang w:val="en-US" w:eastAsia="zh-CN"/>
        </w:rPr>
        <w:t xml:space="preserve">七、凡对本次招标提出询问，请按照以下方式联系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报名联系人：陈先生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联系电话：18838148020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联系人：陈先生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联系电话：0396-2726379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联系邮箱：</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"mailto:zxyyjzcgbgs@163.com" </w:instrText>
      </w:r>
      <w:r>
        <w:rPr>
          <w:rFonts w:hint="eastAsia" w:ascii="宋体" w:hAnsi="宋体" w:eastAsia="宋体" w:cs="宋体"/>
          <w:lang w:val="en-US" w:eastAsia="zh-CN"/>
        </w:rPr>
        <w:fldChar w:fldCharType="separate"/>
      </w:r>
      <w:r>
        <w:rPr>
          <w:rFonts w:hint="eastAsia" w:ascii="宋体" w:hAnsi="宋体" w:eastAsia="宋体" w:cs="宋体"/>
        </w:rPr>
        <w:t>zxyyjzcgbgs@163.com</w:t>
      </w:r>
      <w:r>
        <w:rPr>
          <w:rFonts w:hint="eastAsia" w:ascii="宋体" w:hAnsi="宋体" w:eastAsia="宋体" w:cs="宋体"/>
          <w:lang w:val="en-US" w:eastAsia="zh-CN"/>
        </w:rPr>
        <w:fldChar w:fldCharType="end"/>
      </w:r>
      <w:r>
        <w:rPr>
          <w:rFonts w:hint="eastAsia" w:ascii="宋体" w:hAnsi="宋体" w:eastAsia="宋体" w:cs="宋体"/>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监督部门：驻马店市中心医院纪检监察室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监督电话：0396-2725435 </w:t>
      </w:r>
    </w:p>
    <w:p>
      <w:pPr>
        <w:pStyle w:val="3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                                        </w:t>
      </w:r>
      <w:r>
        <w:rPr>
          <w:rFonts w:hint="eastAsia" w:ascii="宋体" w:hAnsi="宋体" w:eastAsia="宋体" w:cs="宋体"/>
        </w:rPr>
        <w:t>驻马店市中心医院采购</w:t>
      </w:r>
      <w:r>
        <w:rPr>
          <w:rFonts w:hint="eastAsia" w:ascii="宋体" w:hAnsi="宋体" w:eastAsia="宋体" w:cs="宋体"/>
          <w:lang w:val="en-US" w:eastAsia="zh-CN"/>
        </w:rPr>
        <w:t>科</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jc w:val="center"/>
        <w:textAlignment w:val="auto"/>
        <w:rPr>
          <w:rFonts w:hint="eastAsia" w:ascii="宋体" w:hAnsi="宋体" w:eastAsia="宋体" w:cs="宋体"/>
          <w:highlight w:val="yellow"/>
        </w:rPr>
      </w:pPr>
      <w:r>
        <w:rPr>
          <w:rFonts w:hint="eastAsia" w:ascii="宋体" w:hAnsi="宋体" w:eastAsia="宋体" w:cs="宋体"/>
          <w:lang w:val="en-US" w:eastAsia="zh-CN"/>
        </w:rPr>
        <w:t xml:space="preserve">                                   </w:t>
      </w:r>
      <w:r>
        <w:rPr>
          <w:rFonts w:hint="eastAsia" w:ascii="宋体" w:hAnsi="宋体" w:eastAsia="宋体" w:cs="宋体"/>
          <w:color w:val="FF0000"/>
          <w:lang w:val="en-US" w:eastAsia="zh-CN"/>
        </w:rPr>
        <w:t xml:space="preserve"> </w:t>
      </w:r>
      <w:r>
        <w:rPr>
          <w:rFonts w:hint="eastAsia" w:ascii="宋体" w:hAnsi="宋体" w:eastAsia="宋体" w:cs="宋体"/>
          <w:color w:val="auto"/>
          <w:lang w:val="en-US" w:eastAsia="zh-CN"/>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FF0000"/>
          <w:highlight w:val="none"/>
          <w:lang w:val="en-US" w:eastAsia="zh-CN"/>
        </w:rPr>
        <w:t>2022</w:t>
      </w:r>
      <w:r>
        <w:rPr>
          <w:rFonts w:hint="eastAsia" w:ascii="宋体" w:hAnsi="宋体" w:eastAsia="宋体" w:cs="宋体"/>
          <w:color w:val="FF0000"/>
          <w:highlight w:val="none"/>
        </w:rPr>
        <w:t>年</w:t>
      </w:r>
      <w:r>
        <w:rPr>
          <w:rFonts w:hint="eastAsia" w:ascii="宋体" w:hAnsi="宋体" w:eastAsia="宋体" w:cs="宋体"/>
          <w:color w:val="FF0000"/>
          <w:highlight w:val="none"/>
          <w:lang w:val="en-US" w:eastAsia="zh-CN"/>
        </w:rPr>
        <w:t>06</w:t>
      </w:r>
      <w:r>
        <w:rPr>
          <w:rFonts w:hint="eastAsia" w:ascii="宋体" w:hAnsi="宋体" w:eastAsia="宋体" w:cs="宋体"/>
          <w:color w:val="FF0000"/>
          <w:highlight w:val="none"/>
        </w:rPr>
        <w:t>月</w:t>
      </w:r>
      <w:r>
        <w:rPr>
          <w:rFonts w:hint="eastAsia" w:ascii="宋体" w:hAnsi="宋体" w:cs="宋体"/>
          <w:color w:val="FF0000"/>
          <w:highlight w:val="none"/>
          <w:lang w:val="en-US" w:eastAsia="zh-CN"/>
        </w:rPr>
        <w:t>16</w:t>
      </w:r>
      <w:r>
        <w:rPr>
          <w:rFonts w:hint="eastAsia" w:ascii="宋体" w:hAnsi="宋体" w:eastAsia="宋体" w:cs="宋体"/>
          <w:color w:val="FF0000"/>
          <w:highlight w:val="none"/>
        </w:rPr>
        <w:t>日</w:t>
      </w:r>
    </w:p>
    <w:bookmarkEnd w:id="91"/>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34" w:name="_Toc25063"/>
      <w:bookmarkStart w:id="35" w:name="_Toc29890"/>
      <w:bookmarkStart w:id="36" w:name="_Toc23793"/>
      <w:r>
        <w:rPr>
          <w:rFonts w:hint="eastAsia" w:ascii="宋体" w:hAnsi="宋体"/>
          <w:b/>
          <w:color w:val="auto"/>
          <w:sz w:val="32"/>
          <w:szCs w:val="32"/>
          <w:highlight w:val="none"/>
        </w:rPr>
        <w:br w:type="page"/>
      </w:r>
    </w:p>
    <w:p>
      <w:pPr>
        <w:widowControl/>
        <w:spacing w:line="360" w:lineRule="auto"/>
        <w:ind w:firstLine="643" w:firstLineChars="200"/>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9989"/>
      <w:bookmarkStart w:id="38" w:name="_Toc23610"/>
      <w:bookmarkStart w:id="39" w:name="_Toc31536"/>
    </w:p>
    <w:bookmarkEnd w:id="37"/>
    <w:bookmarkEnd w:id="38"/>
    <w:bookmarkEnd w:id="39"/>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cs="宋体"/>
          <w:kern w:val="2"/>
          <w:sz w:val="21"/>
          <w:szCs w:val="24"/>
          <w:lang w:val="en-US" w:eastAsia="zh-CN" w:bidi="ar-SA"/>
        </w:rPr>
        <w:t>一、</w:t>
      </w:r>
      <w:r>
        <w:rPr>
          <w:rFonts w:hint="eastAsia" w:ascii="宋体" w:hAnsi="宋体" w:eastAsia="宋体" w:cs="宋体"/>
          <w:kern w:val="2"/>
          <w:sz w:val="21"/>
          <w:szCs w:val="24"/>
          <w:lang w:val="en-US" w:eastAsia="zh-CN" w:bidi="ar-SA"/>
        </w:rPr>
        <w:t>项目名称、数量：驻马店市中心医院网络安全加固服务项目、1年</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二、项目用途说明：网络安全加固</w:t>
      </w:r>
      <w:r>
        <w:rPr>
          <w:rFonts w:hint="eastAsia" w:ascii="宋体" w:hAnsi="宋体" w:eastAsia="宋体" w:cs="宋体"/>
          <w:kern w:val="2"/>
          <w:sz w:val="21"/>
          <w:szCs w:val="24"/>
          <w:lang w:val="en-US" w:eastAsia="zh-CN" w:bidi="ar-SA"/>
        </w:rPr>
        <w:t xml:space="preserve"> </w:t>
      </w:r>
      <w:r>
        <w:rPr>
          <w:rFonts w:hint="eastAsia" w:cs="宋体"/>
          <w:kern w:val="2"/>
          <w:sz w:val="21"/>
          <w:szCs w:val="24"/>
          <w:lang w:val="en-US" w:eastAsia="zh-CN" w:bidi="ar-SA"/>
        </w:rPr>
        <w:t xml:space="preserve">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三、供应商资格要求：</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ind w:firstLine="420" w:firstLineChars="200"/>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投标人须自行到采购单位进行现场勘察，以确保投标人充分了解采购单位的网络现状及安全需求，制定合理可行的服务方案。投标人须提供采购单位开具的《现场勘察证明》（加盖采购经办科室公章），方可参与投标。</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四、详细技术参数及产品资料、配品配件等：</w:t>
      </w:r>
    </w:p>
    <w:tbl>
      <w:tblPr>
        <w:tblStyle w:val="33"/>
        <w:tblpPr w:leftFromText="180" w:rightFromText="180" w:vertAnchor="text" w:horzAnchor="page" w:tblpX="1807" w:tblpY="613"/>
        <w:tblOverlap w:val="never"/>
        <w:tblW w:w="5000" w:type="pct"/>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8" w:type="dxa"/>
          <w:bottom w:w="0" w:type="dxa"/>
          <w:right w:w="108" w:type="dxa"/>
        </w:tblCellMar>
      </w:tblPr>
      <w:tblGrid>
        <w:gridCol w:w="1442"/>
        <w:gridCol w:w="7732"/>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02" w:hRule="atLeast"/>
        </w:trPr>
        <w:tc>
          <w:tcPr>
            <w:tcW w:w="786"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服务内容</w:t>
            </w:r>
          </w:p>
        </w:tc>
        <w:tc>
          <w:tcPr>
            <w:tcW w:w="4213" w:type="pct"/>
            <w:tcBorders>
              <w:top w:val="single" w:color="auto" w:sz="4" w:space="0"/>
              <w:left w:val="nil"/>
              <w:bottom w:val="single" w:color="auto" w:sz="4" w:space="0"/>
              <w:right w:val="single" w:color="auto" w:sz="4" w:space="0"/>
            </w:tcBorders>
            <w:vAlign w:val="center"/>
          </w:tcPr>
          <w:p>
            <w:pPr>
              <w:pStyle w:val="57"/>
              <w:jc w:val="center"/>
              <w:rPr>
                <w:rFonts w:asciiTheme="minorEastAsia" w:hAnsiTheme="minorEastAsia" w:eastAsiaTheme="minorEastAsia"/>
                <w:szCs w:val="21"/>
              </w:rPr>
            </w:pPr>
            <w:r>
              <w:rPr>
                <w:rFonts w:hint="eastAsia" w:asciiTheme="minorEastAsia" w:hAnsiTheme="minorEastAsia" w:eastAsiaTheme="minorEastAsia"/>
                <w:szCs w:val="21"/>
              </w:rPr>
              <w:t>详细技术要求</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02" w:hRule="atLeast"/>
        </w:trPr>
        <w:tc>
          <w:tcPr>
            <w:tcW w:w="786" w:type="pct"/>
            <w:tcBorders>
              <w:bottom w:val="single" w:color="auto" w:sz="4" w:space="0"/>
              <w:right w:val="single" w:color="auto" w:sz="4" w:space="0"/>
            </w:tcBorders>
            <w:vAlign w:val="center"/>
          </w:tcPr>
          <w:p>
            <w:pPr>
              <w:jc w:val="center"/>
              <w:rPr>
                <w:rFonts w:cs="宋体" w:asciiTheme="minorEastAsia" w:hAnsiTheme="minorEastAsia"/>
                <w:b/>
                <w:bCs/>
                <w:kern w:val="0"/>
                <w:szCs w:val="21"/>
              </w:rPr>
            </w:pPr>
            <w:r>
              <w:rPr>
                <w:rFonts w:hint="eastAsia" w:asciiTheme="minorEastAsia" w:hAnsiTheme="minorEastAsia"/>
                <w:szCs w:val="21"/>
              </w:rPr>
              <w:t>功能要求</w:t>
            </w:r>
          </w:p>
        </w:tc>
        <w:tc>
          <w:tcPr>
            <w:tcW w:w="4213" w:type="pct"/>
            <w:tcBorders>
              <w:left w:val="nil"/>
              <w:bottom w:val="single" w:color="auto" w:sz="4" w:space="0"/>
            </w:tcBorders>
            <w:vAlign w:val="center"/>
          </w:tcPr>
          <w:p>
            <w:pPr>
              <w:pStyle w:val="57"/>
              <w:numPr>
                <w:ilvl w:val="0"/>
                <w:numId w:val="1"/>
              </w:numPr>
              <w:rPr>
                <w:rFonts w:ascii="仿宋" w:hAnsi="仿宋" w:eastAsia="仿宋"/>
                <w:szCs w:val="21"/>
              </w:rPr>
            </w:pPr>
            <w:r>
              <w:rPr>
                <w:rFonts w:hint="eastAsia" w:ascii="仿宋" w:hAnsi="仿宋" w:eastAsia="仿宋"/>
                <w:szCs w:val="21"/>
              </w:rPr>
              <w:t>资产梳理服务：</w:t>
            </w:r>
            <w:r>
              <w:rPr>
                <w:rFonts w:ascii="仿宋" w:hAnsi="仿宋" w:eastAsia="仿宋"/>
                <w:szCs w:val="21"/>
              </w:rPr>
              <w:t>通过工具扫描结合人工核查的方式，协助医院对资产情况进行全面梳理，梳理内容包括：服务器、</w:t>
            </w:r>
            <w:r>
              <w:rPr>
                <w:rFonts w:hint="eastAsia" w:ascii="仿宋" w:hAnsi="仿宋" w:eastAsia="仿宋"/>
                <w:szCs w:val="21"/>
              </w:rPr>
              <w:t>存储、</w:t>
            </w:r>
            <w:r>
              <w:rPr>
                <w:rFonts w:ascii="仿宋" w:hAnsi="仿宋" w:eastAsia="仿宋"/>
                <w:szCs w:val="21"/>
              </w:rPr>
              <w:t>网络、安全</w:t>
            </w:r>
            <w:r>
              <w:rPr>
                <w:rFonts w:hint="eastAsia" w:ascii="仿宋" w:hAnsi="仿宋" w:eastAsia="仿宋"/>
                <w:szCs w:val="21"/>
              </w:rPr>
              <w:t>设备</w:t>
            </w:r>
            <w:r>
              <w:rPr>
                <w:rFonts w:ascii="仿宋" w:hAnsi="仿宋" w:eastAsia="仿宋"/>
                <w:szCs w:val="21"/>
              </w:rPr>
              <w:t>等硬件资产；硬件设备所承载的操作系统、数据库、中间件、应用组件等软件信息；各设备或系统的账号、开放端口、软件版本、网站后台等配置信息等。梳理完成后形成信息系统资产清单。</w:t>
            </w:r>
          </w:p>
          <w:p>
            <w:pPr>
              <w:pStyle w:val="57"/>
              <w:numPr>
                <w:ilvl w:val="0"/>
                <w:numId w:val="1"/>
              </w:numPr>
              <w:rPr>
                <w:rFonts w:ascii="仿宋" w:hAnsi="仿宋" w:eastAsia="仿宋"/>
                <w:szCs w:val="21"/>
              </w:rPr>
            </w:pPr>
            <w:r>
              <w:rPr>
                <w:rFonts w:hint="eastAsia" w:ascii="仿宋" w:hAnsi="仿宋" w:eastAsia="仿宋"/>
                <w:szCs w:val="21"/>
              </w:rPr>
              <w:t>安全咨询服务：为医院提供7</w:t>
            </w:r>
            <w:r>
              <w:rPr>
                <w:rFonts w:ascii="仿宋" w:hAnsi="仿宋" w:eastAsia="仿宋"/>
                <w:szCs w:val="21"/>
              </w:rPr>
              <w:t>*24</w:t>
            </w:r>
            <w:r>
              <w:rPr>
                <w:rFonts w:hint="eastAsia" w:ascii="仿宋" w:hAnsi="仿宋" w:eastAsia="仿宋"/>
                <w:szCs w:val="21"/>
              </w:rPr>
              <w:t>小时网络安全技术解答；对医院整体网络安全体系建设提供咨询和协助；</w:t>
            </w:r>
            <w:r>
              <w:rPr>
                <w:rFonts w:hint="eastAsia" w:ascii="仿宋" w:hAnsi="仿宋" w:eastAsia="仿宋" w:cs="宋体"/>
                <w:szCs w:val="21"/>
              </w:rPr>
              <w:t>根据医院情况，协助医院建立完备的网络安全制度规范；</w:t>
            </w:r>
            <w:r>
              <w:rPr>
                <w:rFonts w:hint="eastAsia" w:ascii="仿宋" w:hAnsi="仿宋" w:eastAsia="仿宋"/>
                <w:szCs w:val="21"/>
              </w:rPr>
              <w:t>对医院信息化新建、在建项目进行网络安全方面的咨询、指导以及方案审核等服务。</w:t>
            </w:r>
          </w:p>
          <w:p>
            <w:pPr>
              <w:pStyle w:val="57"/>
              <w:numPr>
                <w:ilvl w:val="0"/>
                <w:numId w:val="1"/>
              </w:numPr>
              <w:rPr>
                <w:rFonts w:ascii="仿宋" w:hAnsi="仿宋" w:eastAsia="仿宋"/>
                <w:szCs w:val="21"/>
              </w:rPr>
            </w:pPr>
            <w:r>
              <w:rPr>
                <w:rFonts w:hint="eastAsia" w:ascii="仿宋" w:hAnsi="仿宋" w:eastAsia="仿宋"/>
                <w:szCs w:val="21"/>
              </w:rPr>
              <w:t>基础技术支持</w:t>
            </w:r>
            <w:r>
              <w:rPr>
                <w:rFonts w:ascii="仿宋" w:hAnsi="仿宋" w:eastAsia="仿宋"/>
                <w:szCs w:val="21"/>
              </w:rPr>
              <w:t>服务</w:t>
            </w:r>
            <w:r>
              <w:rPr>
                <w:rFonts w:hint="eastAsia" w:ascii="仿宋" w:hAnsi="仿宋" w:eastAsia="仿宋"/>
                <w:szCs w:val="21"/>
              </w:rPr>
              <w:t>：</w:t>
            </w:r>
            <w:r>
              <w:rPr>
                <w:rFonts w:ascii="仿宋" w:hAnsi="仿宋" w:eastAsia="仿宋"/>
                <w:szCs w:val="21"/>
              </w:rPr>
              <w:t>针对医院内网和外网核心交换机、汇聚交换机、接入交换机、防火墙、IPS、WAF、上网行为管理、</w:t>
            </w:r>
            <w:r>
              <w:rPr>
                <w:rFonts w:hint="eastAsia" w:ascii="仿宋" w:hAnsi="仿宋" w:eastAsia="仿宋"/>
                <w:szCs w:val="21"/>
              </w:rPr>
              <w:t>堡垒机、</w:t>
            </w:r>
            <w:r>
              <w:rPr>
                <w:rFonts w:ascii="仿宋" w:hAnsi="仿宋" w:eastAsia="仿宋"/>
                <w:szCs w:val="21"/>
              </w:rPr>
              <w:t>日志审计、数据库审计、网络终端准入</w:t>
            </w:r>
            <w:r>
              <w:rPr>
                <w:rFonts w:hint="eastAsia" w:ascii="仿宋" w:hAnsi="仿宋" w:eastAsia="仿宋"/>
                <w:szCs w:val="21"/>
              </w:rPr>
              <w:t>、主机操作系统</w:t>
            </w:r>
            <w:r>
              <w:rPr>
                <w:rFonts w:ascii="仿宋" w:hAnsi="仿宋" w:eastAsia="仿宋"/>
                <w:szCs w:val="21"/>
              </w:rPr>
              <w:t>等设备</w:t>
            </w:r>
            <w:r>
              <w:rPr>
                <w:rFonts w:hint="eastAsia" w:ascii="仿宋" w:hAnsi="仿宋" w:eastAsia="仿宋"/>
                <w:szCs w:val="21"/>
              </w:rPr>
              <w:t>或系统</w:t>
            </w:r>
            <w:r>
              <w:rPr>
                <w:rFonts w:ascii="仿宋" w:hAnsi="仿宋" w:eastAsia="仿宋"/>
                <w:szCs w:val="21"/>
              </w:rPr>
              <w:t>，提供日常运行维护、安全策略配置优化和故障排查解除等技术支持服务。</w:t>
            </w:r>
          </w:p>
          <w:p>
            <w:pPr>
              <w:pStyle w:val="57"/>
              <w:numPr>
                <w:ilvl w:val="0"/>
                <w:numId w:val="1"/>
              </w:numPr>
              <w:rPr>
                <w:rFonts w:ascii="仿宋" w:hAnsi="仿宋" w:eastAsia="仿宋"/>
                <w:szCs w:val="21"/>
              </w:rPr>
            </w:pPr>
            <w:r>
              <w:rPr>
                <w:rFonts w:hint="eastAsia" w:ascii="仿宋" w:hAnsi="仿宋" w:eastAsia="仿宋"/>
                <w:szCs w:val="21"/>
              </w:rPr>
              <w:t>安全巡检服务：针对医院机房所涉及的</w:t>
            </w:r>
            <w:r>
              <w:rPr>
                <w:rFonts w:ascii="仿宋" w:hAnsi="仿宋" w:eastAsia="仿宋"/>
                <w:szCs w:val="21"/>
              </w:rPr>
              <w:t>服务器、</w:t>
            </w:r>
            <w:r>
              <w:rPr>
                <w:rFonts w:hint="eastAsia" w:ascii="仿宋" w:hAnsi="仿宋" w:eastAsia="仿宋"/>
                <w:szCs w:val="21"/>
              </w:rPr>
              <w:t>存储、</w:t>
            </w:r>
            <w:r>
              <w:rPr>
                <w:rFonts w:ascii="仿宋" w:hAnsi="仿宋" w:eastAsia="仿宋"/>
                <w:szCs w:val="21"/>
              </w:rPr>
              <w:t>网络、安全</w:t>
            </w:r>
            <w:r>
              <w:rPr>
                <w:rFonts w:hint="eastAsia" w:ascii="仿宋" w:hAnsi="仿宋" w:eastAsia="仿宋"/>
                <w:szCs w:val="21"/>
              </w:rPr>
              <w:t>设备、操作系统、数据库等产品，提供每月</w:t>
            </w:r>
            <w:r>
              <w:rPr>
                <w:rFonts w:hint="eastAsia" w:asciiTheme="minorEastAsia" w:hAnsiTheme="minorEastAsia" w:eastAsiaTheme="minorEastAsia"/>
                <w:szCs w:val="21"/>
              </w:rPr>
              <w:t>≥</w:t>
            </w:r>
            <w:r>
              <w:rPr>
                <w:rFonts w:hint="eastAsia" w:ascii="仿宋" w:hAnsi="仿宋" w:eastAsia="仿宋"/>
                <w:szCs w:val="21"/>
              </w:rPr>
              <w:t>1次的巡检服务，服务的主要内容包括资产梳理、设备（系统）状态检查、日志分析、组网架构评估、合规性配置检查（基线核查）、漏洞扫描等，基于以上的巡检内容出具巡检报告，并给出合理的整改建议。</w:t>
            </w:r>
          </w:p>
          <w:p>
            <w:pPr>
              <w:pStyle w:val="57"/>
              <w:numPr>
                <w:ilvl w:val="0"/>
                <w:numId w:val="1"/>
              </w:numPr>
              <w:rPr>
                <w:rFonts w:ascii="仿宋" w:hAnsi="仿宋" w:eastAsia="仿宋"/>
                <w:szCs w:val="21"/>
              </w:rPr>
            </w:pPr>
            <w:r>
              <w:rPr>
                <w:rFonts w:hint="eastAsia" w:ascii="仿宋" w:hAnsi="仿宋" w:eastAsia="仿宋"/>
                <w:szCs w:val="21"/>
              </w:rPr>
              <w:t>风险评估服务：为医院提供每半年</w:t>
            </w:r>
            <w:r>
              <w:rPr>
                <w:rFonts w:hint="eastAsia" w:asciiTheme="minorEastAsia" w:hAnsiTheme="minorEastAsia" w:eastAsiaTheme="minorEastAsia"/>
                <w:szCs w:val="21"/>
              </w:rPr>
              <w:t>≥</w:t>
            </w:r>
            <w:r>
              <w:rPr>
                <w:rFonts w:hint="eastAsia" w:ascii="仿宋" w:hAnsi="仿宋" w:eastAsia="仿宋"/>
                <w:szCs w:val="21"/>
              </w:rPr>
              <w:t>1次的风险评估服务，主要内容包括：</w:t>
            </w:r>
            <w:r>
              <w:rPr>
                <w:rFonts w:ascii="仿宋" w:hAnsi="仿宋" w:eastAsia="仿宋"/>
                <w:szCs w:val="21"/>
              </w:rPr>
              <w:t>针对业务系统进行资产识别、威胁识别、脆弱性识别、已有安全措施分析、风险分析，最后出具《风险评估报告》和《风险处置计划》。</w:t>
            </w:r>
          </w:p>
          <w:p>
            <w:pPr>
              <w:pStyle w:val="57"/>
              <w:numPr>
                <w:ilvl w:val="0"/>
                <w:numId w:val="1"/>
              </w:numPr>
              <w:rPr>
                <w:rFonts w:ascii="仿宋" w:hAnsi="仿宋" w:eastAsia="仿宋"/>
                <w:szCs w:val="21"/>
              </w:rPr>
            </w:pPr>
            <w:r>
              <w:rPr>
                <w:rFonts w:hint="eastAsia" w:ascii="仿宋" w:hAnsi="仿宋" w:eastAsia="仿宋"/>
                <w:szCs w:val="21"/>
              </w:rPr>
              <w:t>渗透测试服务：为医院提供</w:t>
            </w:r>
            <w:r>
              <w:rPr>
                <w:rFonts w:ascii="仿宋" w:hAnsi="仿宋" w:eastAsia="仿宋"/>
                <w:szCs w:val="21"/>
              </w:rPr>
              <w:t>每</w:t>
            </w:r>
            <w:r>
              <w:rPr>
                <w:rFonts w:hint="eastAsia" w:ascii="仿宋" w:hAnsi="仿宋" w:eastAsia="仿宋"/>
                <w:szCs w:val="21"/>
              </w:rPr>
              <w:t>半</w:t>
            </w:r>
            <w:r>
              <w:rPr>
                <w:rFonts w:ascii="仿宋" w:hAnsi="仿宋" w:eastAsia="仿宋"/>
                <w:szCs w:val="21"/>
              </w:rPr>
              <w:t>年</w:t>
            </w:r>
            <w:r>
              <w:rPr>
                <w:rFonts w:hint="eastAsia" w:asciiTheme="minorEastAsia" w:hAnsiTheme="minorEastAsia" w:eastAsiaTheme="minorEastAsia"/>
                <w:szCs w:val="21"/>
              </w:rPr>
              <w:t>≥</w:t>
            </w:r>
            <w:r>
              <w:rPr>
                <w:rFonts w:hint="eastAsia" w:ascii="仿宋" w:hAnsi="仿宋" w:eastAsia="仿宋"/>
                <w:szCs w:val="21"/>
              </w:rPr>
              <w:t>1</w:t>
            </w:r>
            <w:r>
              <w:rPr>
                <w:rFonts w:ascii="仿宋" w:hAnsi="仿宋" w:eastAsia="仿宋"/>
                <w:szCs w:val="21"/>
              </w:rPr>
              <w:t>次的渗透测试服务</w:t>
            </w:r>
            <w:r>
              <w:rPr>
                <w:rFonts w:hint="eastAsia" w:ascii="仿宋" w:hAnsi="仿宋" w:eastAsia="仿宋"/>
                <w:szCs w:val="21"/>
              </w:rPr>
              <w:t>，组织</w:t>
            </w:r>
            <w:r>
              <w:rPr>
                <w:rFonts w:ascii="仿宋" w:hAnsi="仿宋" w:eastAsia="仿宋"/>
                <w:szCs w:val="21"/>
              </w:rPr>
              <w:t>渗透测试专家以模拟黑客攻击的方法，对信息系统的现状进行安全评估，渗透测试完成后会将测试的过程和发现的漏洞详情形成报告反馈给客户，并提出漏洞修复方案。</w:t>
            </w:r>
          </w:p>
          <w:p>
            <w:pPr>
              <w:pStyle w:val="57"/>
              <w:numPr>
                <w:ilvl w:val="0"/>
                <w:numId w:val="1"/>
              </w:numPr>
              <w:rPr>
                <w:rFonts w:ascii="仿宋" w:hAnsi="仿宋" w:eastAsia="仿宋"/>
                <w:szCs w:val="21"/>
              </w:rPr>
            </w:pPr>
            <w:r>
              <w:rPr>
                <w:rFonts w:hint="eastAsia" w:ascii="仿宋" w:hAnsi="仿宋" w:eastAsia="仿宋"/>
                <w:szCs w:val="21"/>
              </w:rPr>
              <w:t>安全加固服务：</w:t>
            </w:r>
            <w:r>
              <w:rPr>
                <w:rFonts w:ascii="仿宋" w:hAnsi="仿宋" w:eastAsia="仿宋"/>
                <w:szCs w:val="21"/>
              </w:rPr>
              <w:t>针对网络安全巡检、风险评估</w:t>
            </w:r>
            <w:r>
              <w:rPr>
                <w:rFonts w:hint="eastAsia" w:ascii="仿宋" w:hAnsi="仿宋" w:eastAsia="仿宋"/>
                <w:szCs w:val="21"/>
              </w:rPr>
              <w:t>以及</w:t>
            </w:r>
            <w:r>
              <w:rPr>
                <w:rFonts w:ascii="仿宋" w:hAnsi="仿宋" w:eastAsia="仿宋"/>
                <w:szCs w:val="21"/>
              </w:rPr>
              <w:t>渗透测试</w:t>
            </w:r>
            <w:r>
              <w:rPr>
                <w:rFonts w:hint="eastAsia" w:ascii="仿宋" w:hAnsi="仿宋" w:eastAsia="仿宋"/>
                <w:szCs w:val="21"/>
              </w:rPr>
              <w:t>中</w:t>
            </w:r>
            <w:r>
              <w:rPr>
                <w:rFonts w:ascii="仿宋" w:hAnsi="仿宋" w:eastAsia="仿宋"/>
                <w:szCs w:val="21"/>
              </w:rPr>
              <w:t>发现的安全漏洞进行专项的加固</w:t>
            </w:r>
            <w:r>
              <w:rPr>
                <w:rFonts w:hint="eastAsia" w:ascii="仿宋" w:hAnsi="仿宋" w:eastAsia="仿宋"/>
                <w:szCs w:val="21"/>
              </w:rPr>
              <w:t>处理</w:t>
            </w:r>
            <w:r>
              <w:rPr>
                <w:rFonts w:ascii="仿宋" w:hAnsi="仿宋" w:eastAsia="仿宋"/>
                <w:szCs w:val="21"/>
              </w:rPr>
              <w:t>。</w:t>
            </w:r>
          </w:p>
          <w:p>
            <w:pPr>
              <w:pStyle w:val="57"/>
              <w:numPr>
                <w:ilvl w:val="0"/>
                <w:numId w:val="1"/>
              </w:numPr>
              <w:rPr>
                <w:rFonts w:ascii="仿宋" w:hAnsi="仿宋" w:eastAsia="仿宋"/>
                <w:szCs w:val="21"/>
              </w:rPr>
            </w:pPr>
            <w:r>
              <w:rPr>
                <w:rFonts w:hint="eastAsia" w:ascii="仿宋" w:hAnsi="仿宋" w:eastAsia="仿宋"/>
                <w:szCs w:val="21"/>
              </w:rPr>
              <w:t>网站监控服务：</w:t>
            </w:r>
            <w:r>
              <w:rPr>
                <w:rFonts w:hint="eastAsia" w:ascii="仿宋" w:hAnsi="仿宋" w:eastAsia="仿宋" w:cs="宋体"/>
                <w:szCs w:val="21"/>
              </w:rPr>
              <w:t>对医院官网的安全状态进行</w:t>
            </w:r>
            <w:r>
              <w:rPr>
                <w:rFonts w:ascii="仿宋" w:hAnsi="仿宋" w:eastAsia="仿宋" w:cs="宋体"/>
                <w:szCs w:val="21"/>
              </w:rPr>
              <w:t>7*24小时的全方位监测，包括网站可用性、网站漏洞、网页挂马、暗链、敏感关键字、变更等，</w:t>
            </w:r>
            <w:r>
              <w:rPr>
                <w:rFonts w:hint="eastAsia" w:ascii="仿宋" w:hAnsi="仿宋" w:eastAsia="仿宋"/>
                <w:szCs w:val="21"/>
              </w:rPr>
              <w:t>提供</w:t>
            </w:r>
            <w:r>
              <w:rPr>
                <w:rFonts w:ascii="仿宋" w:hAnsi="仿宋" w:eastAsia="仿宋"/>
                <w:szCs w:val="21"/>
              </w:rPr>
              <w:t>每</w:t>
            </w:r>
            <w:r>
              <w:rPr>
                <w:rFonts w:hint="eastAsia" w:ascii="仿宋" w:hAnsi="仿宋" w:eastAsia="仿宋"/>
                <w:szCs w:val="21"/>
              </w:rPr>
              <w:t>半</w:t>
            </w:r>
            <w:r>
              <w:rPr>
                <w:rFonts w:ascii="仿宋" w:hAnsi="仿宋" w:eastAsia="仿宋"/>
                <w:szCs w:val="21"/>
              </w:rPr>
              <w:t>年</w:t>
            </w:r>
            <w:r>
              <w:rPr>
                <w:rFonts w:hint="eastAsia" w:asciiTheme="minorEastAsia" w:hAnsiTheme="minorEastAsia" w:eastAsiaTheme="minorEastAsia"/>
                <w:szCs w:val="21"/>
              </w:rPr>
              <w:t>≥</w:t>
            </w:r>
            <w:r>
              <w:rPr>
                <w:rFonts w:ascii="仿宋" w:hAnsi="仿宋" w:eastAsia="仿宋"/>
                <w:szCs w:val="21"/>
              </w:rPr>
              <w:t>1次</w:t>
            </w:r>
            <w:r>
              <w:rPr>
                <w:rFonts w:hint="eastAsia" w:ascii="仿宋" w:hAnsi="仿宋" w:eastAsia="仿宋"/>
                <w:szCs w:val="21"/>
              </w:rPr>
              <w:t>的</w:t>
            </w:r>
            <w:r>
              <w:rPr>
                <w:rFonts w:hint="eastAsia" w:ascii="仿宋" w:hAnsi="仿宋" w:eastAsia="仿宋" w:cs="宋体"/>
                <w:szCs w:val="21"/>
              </w:rPr>
              <w:t>网站监控报告。</w:t>
            </w:r>
          </w:p>
          <w:p>
            <w:pPr>
              <w:pStyle w:val="57"/>
              <w:numPr>
                <w:ilvl w:val="0"/>
                <w:numId w:val="1"/>
              </w:numPr>
              <w:rPr>
                <w:rFonts w:ascii="仿宋" w:hAnsi="仿宋" w:eastAsia="仿宋"/>
                <w:szCs w:val="21"/>
              </w:rPr>
            </w:pPr>
            <w:r>
              <w:rPr>
                <w:rFonts w:ascii="仿宋" w:hAnsi="仿宋" w:eastAsia="仿宋"/>
                <w:szCs w:val="21"/>
              </w:rPr>
              <w:t>新系统上线前评估服务</w:t>
            </w:r>
            <w:r>
              <w:rPr>
                <w:rFonts w:hint="eastAsia" w:ascii="仿宋" w:hAnsi="仿宋" w:eastAsia="仿宋"/>
                <w:szCs w:val="21"/>
              </w:rPr>
              <w:t>：</w:t>
            </w:r>
            <w:r>
              <w:rPr>
                <w:rFonts w:ascii="仿宋" w:hAnsi="仿宋" w:eastAsia="仿宋"/>
                <w:szCs w:val="21"/>
              </w:rPr>
              <w:t>针对新建业务系统，在新系统入网前进行检测评估，评估内容包括漏洞扫描、安全基线检查、渗透测试等，从主机层、系统层、数据库层、中间件层以及应用层全面评估新系统的安全状况，查找不符合安全要求的配置项以及安全风险点，并提出相应的修复方案。</w:t>
            </w:r>
          </w:p>
          <w:p>
            <w:pPr>
              <w:pStyle w:val="57"/>
              <w:numPr>
                <w:ilvl w:val="0"/>
                <w:numId w:val="1"/>
              </w:numPr>
              <w:rPr>
                <w:rFonts w:ascii="仿宋" w:hAnsi="仿宋" w:eastAsia="仿宋"/>
                <w:szCs w:val="21"/>
              </w:rPr>
            </w:pPr>
            <w:r>
              <w:rPr>
                <w:rFonts w:hint="eastAsia" w:ascii="仿宋" w:hAnsi="仿宋" w:eastAsia="仿宋"/>
                <w:szCs w:val="21"/>
              </w:rPr>
              <w:t>安全通告服务：乙方安全专家持续跟踪</w:t>
            </w:r>
            <w:r>
              <w:rPr>
                <w:rFonts w:ascii="仿宋" w:hAnsi="仿宋" w:eastAsia="仿宋"/>
                <w:szCs w:val="21"/>
              </w:rPr>
              <w:t>CNNVD、CNVD以及知名安全公司的漏洞预警通告及威胁情报信息，不定期为医院提供安全通报预警服务，实时关注互联网及业界安全动态信息，包括但不限于安全漏洞、木马病毒、恶意程序、安全事件等，梳理汇总反馈至医院。</w:t>
            </w:r>
          </w:p>
          <w:p>
            <w:pPr>
              <w:pStyle w:val="57"/>
              <w:numPr>
                <w:ilvl w:val="0"/>
                <w:numId w:val="1"/>
              </w:numPr>
              <w:rPr>
                <w:rFonts w:ascii="仿宋" w:hAnsi="仿宋" w:eastAsia="仿宋"/>
                <w:szCs w:val="21"/>
              </w:rPr>
            </w:pPr>
            <w:r>
              <w:rPr>
                <w:rFonts w:hint="eastAsia" w:ascii="仿宋" w:hAnsi="仿宋" w:eastAsia="仿宋"/>
                <w:szCs w:val="21"/>
              </w:rPr>
              <w:t>应急演练服务：为医院提供</w:t>
            </w:r>
            <w:r>
              <w:rPr>
                <w:rFonts w:ascii="仿宋" w:hAnsi="仿宋" w:eastAsia="仿宋"/>
                <w:szCs w:val="21"/>
              </w:rPr>
              <w:t>每年</w:t>
            </w:r>
            <w:r>
              <w:rPr>
                <w:rFonts w:hint="eastAsia" w:asciiTheme="minorEastAsia" w:hAnsiTheme="minorEastAsia" w:eastAsiaTheme="minorEastAsia"/>
                <w:szCs w:val="21"/>
              </w:rPr>
              <w:t>≥</w:t>
            </w:r>
            <w:r>
              <w:rPr>
                <w:rFonts w:hint="eastAsia" w:ascii="仿宋" w:hAnsi="仿宋" w:eastAsia="仿宋"/>
                <w:szCs w:val="21"/>
              </w:rPr>
              <w:t>1</w:t>
            </w:r>
            <w:r>
              <w:rPr>
                <w:rFonts w:ascii="仿宋" w:hAnsi="仿宋" w:eastAsia="仿宋"/>
                <w:szCs w:val="21"/>
              </w:rPr>
              <w:t>次</w:t>
            </w:r>
            <w:r>
              <w:rPr>
                <w:rFonts w:hint="eastAsia" w:ascii="仿宋" w:hAnsi="仿宋" w:eastAsia="仿宋"/>
                <w:szCs w:val="21"/>
              </w:rPr>
              <w:t>的应急演练服务，编制演练方案脚本，演练内容包括但不限于网络攻防、病毒事件、网络主备倒换和业务容灾等，</w:t>
            </w:r>
            <w:r>
              <w:rPr>
                <w:rFonts w:hint="eastAsia" w:ascii="仿宋" w:hAnsi="仿宋" w:eastAsia="仿宋" w:cs="宋体"/>
                <w:szCs w:val="21"/>
              </w:rPr>
              <w:t>演练结束后形成应急演练报告</w:t>
            </w:r>
            <w:r>
              <w:rPr>
                <w:rFonts w:hint="eastAsia" w:ascii="仿宋" w:hAnsi="仿宋" w:eastAsia="仿宋"/>
                <w:szCs w:val="21"/>
              </w:rPr>
              <w:t>。</w:t>
            </w:r>
          </w:p>
          <w:p>
            <w:pPr>
              <w:pStyle w:val="57"/>
              <w:numPr>
                <w:ilvl w:val="0"/>
                <w:numId w:val="1"/>
              </w:numPr>
              <w:rPr>
                <w:rFonts w:ascii="仿宋" w:hAnsi="仿宋" w:eastAsia="仿宋"/>
                <w:szCs w:val="21"/>
              </w:rPr>
            </w:pPr>
            <w:r>
              <w:rPr>
                <w:rFonts w:hint="eastAsia" w:ascii="仿宋" w:hAnsi="仿宋" w:eastAsia="仿宋"/>
                <w:szCs w:val="21"/>
              </w:rPr>
              <w:t>安全事件响应服务：当医院发生紧急安全事件时，</w:t>
            </w:r>
            <w:r>
              <w:rPr>
                <w:rFonts w:hint="eastAsia" w:ascii="仿宋" w:hAnsi="仿宋" w:eastAsia="仿宋" w:cs="宋体"/>
                <w:szCs w:val="21"/>
              </w:rPr>
              <w:t>按照预防、情报信息收集、遏制、根除、恢复流程，提供7*24的紧急响应处理服务，</w:t>
            </w:r>
            <w:r>
              <w:rPr>
                <w:rFonts w:ascii="仿宋" w:hAnsi="仿宋" w:eastAsia="仿宋"/>
                <w:szCs w:val="21"/>
              </w:rPr>
              <w:t>1小时内远程响应，4小时内派遣安全专家达到</w:t>
            </w:r>
            <w:r>
              <w:rPr>
                <w:rFonts w:hint="eastAsia" w:ascii="仿宋" w:hAnsi="仿宋" w:eastAsia="仿宋"/>
                <w:szCs w:val="21"/>
              </w:rPr>
              <w:t>客户现场进行应急响应工作，例如病毒的查杀、数据的备份与恢复、网络安全攻击行为的分析、封堵与溯源等。</w:t>
            </w:r>
          </w:p>
          <w:p>
            <w:pPr>
              <w:pStyle w:val="57"/>
              <w:numPr>
                <w:ilvl w:val="0"/>
                <w:numId w:val="1"/>
              </w:numPr>
              <w:rPr>
                <w:rFonts w:ascii="仿宋" w:hAnsi="仿宋" w:eastAsia="仿宋"/>
                <w:szCs w:val="21"/>
              </w:rPr>
            </w:pPr>
            <w:r>
              <w:rPr>
                <w:rFonts w:hint="eastAsia" w:ascii="仿宋" w:hAnsi="仿宋" w:eastAsia="仿宋"/>
                <w:szCs w:val="21"/>
              </w:rPr>
              <w:t>重保服务：</w:t>
            </w:r>
            <w:r>
              <w:rPr>
                <w:rFonts w:ascii="仿宋" w:hAnsi="仿宋" w:eastAsia="仿宋"/>
                <w:szCs w:val="21"/>
              </w:rPr>
              <w:t>在重大</w:t>
            </w:r>
            <w:r>
              <w:rPr>
                <w:rFonts w:hint="eastAsia" w:ascii="仿宋" w:hAnsi="仿宋" w:eastAsia="仿宋"/>
                <w:szCs w:val="21"/>
              </w:rPr>
              <w:t>节日、会议或活动</w:t>
            </w:r>
            <w:r>
              <w:rPr>
                <w:rFonts w:ascii="仿宋" w:hAnsi="仿宋" w:eastAsia="仿宋"/>
                <w:szCs w:val="21"/>
              </w:rPr>
              <w:t>（如国庆、两会</w:t>
            </w:r>
            <w:r>
              <w:rPr>
                <w:rFonts w:hint="eastAsia" w:ascii="仿宋" w:hAnsi="仿宋" w:eastAsia="仿宋"/>
                <w:szCs w:val="21"/>
              </w:rPr>
              <w:t>、全市网络安全攻防演习</w:t>
            </w:r>
            <w:r>
              <w:rPr>
                <w:rFonts w:ascii="仿宋" w:hAnsi="仿宋" w:eastAsia="仿宋"/>
                <w:szCs w:val="21"/>
              </w:rPr>
              <w:t>等）期间</w:t>
            </w:r>
            <w:r>
              <w:rPr>
                <w:rFonts w:hint="eastAsia" w:ascii="仿宋" w:hAnsi="仿宋" w:eastAsia="仿宋"/>
                <w:szCs w:val="21"/>
              </w:rPr>
              <w:t>，派遣安全专家到达医院，现场提供网络安全保障工作，对业务系统的安全状况进行实时监控和日志分析，协助处理信息安全事件。</w:t>
            </w:r>
          </w:p>
          <w:p>
            <w:pPr>
              <w:pStyle w:val="57"/>
              <w:numPr>
                <w:ilvl w:val="0"/>
                <w:numId w:val="1"/>
              </w:numPr>
              <w:rPr>
                <w:rFonts w:ascii="仿宋" w:hAnsi="仿宋" w:eastAsia="仿宋"/>
                <w:szCs w:val="21"/>
              </w:rPr>
            </w:pPr>
            <w:r>
              <w:rPr>
                <w:rFonts w:hint="eastAsia" w:ascii="仿宋" w:hAnsi="仿宋" w:eastAsia="仿宋"/>
                <w:szCs w:val="21"/>
              </w:rPr>
              <w:t>安全培训服务：为医院提供</w:t>
            </w:r>
            <w:r>
              <w:rPr>
                <w:rFonts w:ascii="仿宋" w:hAnsi="仿宋" w:eastAsia="仿宋"/>
                <w:szCs w:val="21"/>
              </w:rPr>
              <w:t>每年</w:t>
            </w:r>
            <w:r>
              <w:rPr>
                <w:rFonts w:hint="eastAsia" w:asciiTheme="minorEastAsia" w:hAnsiTheme="minorEastAsia" w:eastAsiaTheme="minorEastAsia"/>
                <w:szCs w:val="21"/>
              </w:rPr>
              <w:t>≥</w:t>
            </w:r>
            <w:r>
              <w:rPr>
                <w:rFonts w:hint="eastAsia" w:ascii="仿宋" w:hAnsi="仿宋" w:eastAsia="仿宋"/>
                <w:szCs w:val="21"/>
              </w:rPr>
              <w:t>1</w:t>
            </w:r>
            <w:r>
              <w:rPr>
                <w:rFonts w:ascii="仿宋" w:hAnsi="仿宋" w:eastAsia="仿宋"/>
                <w:szCs w:val="21"/>
              </w:rPr>
              <w:t>次</w:t>
            </w:r>
            <w:r>
              <w:rPr>
                <w:rFonts w:hint="eastAsia" w:ascii="仿宋" w:hAnsi="仿宋" w:eastAsia="仿宋"/>
                <w:szCs w:val="21"/>
              </w:rPr>
              <w:t>的安全培训服务，主要包括安全意识培训、安全管理培训和安全技能培训。</w:t>
            </w:r>
          </w:p>
          <w:p>
            <w:pPr>
              <w:pStyle w:val="57"/>
              <w:numPr>
                <w:ilvl w:val="0"/>
                <w:numId w:val="1"/>
              </w:numPr>
              <w:rPr>
                <w:rFonts w:asciiTheme="minorEastAsia" w:hAnsiTheme="minorEastAsia" w:eastAsiaTheme="minorEastAsia"/>
                <w:szCs w:val="21"/>
              </w:rPr>
            </w:pPr>
            <w:r>
              <w:rPr>
                <w:rFonts w:hint="eastAsia" w:ascii="仿宋" w:hAnsi="仿宋" w:eastAsia="仿宋"/>
                <w:szCs w:val="21"/>
              </w:rPr>
              <w:t>协助医院开展“信息系统安全等级保护评测”工作，包括协助医院完成</w:t>
            </w:r>
            <w:r>
              <w:rPr>
                <w:rFonts w:ascii="仿宋" w:hAnsi="仿宋" w:eastAsia="仿宋"/>
                <w:szCs w:val="21"/>
              </w:rPr>
              <w:t>HIS</w:t>
            </w:r>
            <w:r>
              <w:rPr>
                <w:rFonts w:hint="eastAsia" w:ascii="仿宋" w:hAnsi="仿宋" w:eastAsia="仿宋"/>
                <w:szCs w:val="21"/>
              </w:rPr>
              <w:t>（含</w:t>
            </w:r>
            <w:r>
              <w:rPr>
                <w:rFonts w:ascii="仿宋" w:hAnsi="仿宋" w:eastAsia="仿宋"/>
                <w:szCs w:val="21"/>
              </w:rPr>
              <w:t>EMR）、LIS、PACS</w:t>
            </w:r>
            <w:r>
              <w:rPr>
                <w:rFonts w:hint="eastAsia" w:ascii="仿宋" w:hAnsi="仿宋" w:eastAsia="仿宋"/>
                <w:szCs w:val="21"/>
              </w:rPr>
              <w:t>、集成平台以及</w:t>
            </w:r>
            <w:r>
              <w:rPr>
                <w:rFonts w:ascii="仿宋" w:hAnsi="仿宋" w:eastAsia="仿宋"/>
                <w:szCs w:val="21"/>
              </w:rPr>
              <w:t>医院官网的等级保护定级与备案工作，安排符合资质的等保测评公司对</w:t>
            </w:r>
            <w:r>
              <w:rPr>
                <w:rFonts w:hint="eastAsia" w:ascii="仿宋" w:hAnsi="仿宋" w:eastAsia="仿宋"/>
                <w:szCs w:val="21"/>
              </w:rPr>
              <w:t>上述</w:t>
            </w:r>
            <w:r>
              <w:rPr>
                <w:rFonts w:ascii="仿宋" w:hAnsi="仿宋" w:eastAsia="仿宋"/>
                <w:szCs w:val="21"/>
              </w:rPr>
              <w:t>系统进行等保测评，</w:t>
            </w:r>
            <w:r>
              <w:rPr>
                <w:rFonts w:hint="eastAsia" w:ascii="仿宋" w:hAnsi="仿宋" w:eastAsia="仿宋"/>
                <w:szCs w:val="21"/>
              </w:rPr>
              <w:t>配合医院</w:t>
            </w:r>
            <w:r>
              <w:rPr>
                <w:rFonts w:ascii="仿宋" w:hAnsi="仿宋" w:eastAsia="仿宋"/>
                <w:szCs w:val="21"/>
              </w:rPr>
              <w:t>通过等级保护2.0测评，获得HIS</w:t>
            </w:r>
            <w:r>
              <w:rPr>
                <w:rFonts w:hint="eastAsia" w:ascii="仿宋" w:hAnsi="仿宋" w:eastAsia="仿宋"/>
                <w:szCs w:val="21"/>
              </w:rPr>
              <w:t>（含</w:t>
            </w:r>
            <w:r>
              <w:rPr>
                <w:rFonts w:ascii="仿宋" w:hAnsi="仿宋" w:eastAsia="仿宋"/>
                <w:szCs w:val="21"/>
              </w:rPr>
              <w:t>EMR）、LIS、PACS</w:t>
            </w:r>
            <w:r>
              <w:rPr>
                <w:rFonts w:hint="eastAsia" w:ascii="仿宋" w:hAnsi="仿宋" w:eastAsia="仿宋"/>
                <w:szCs w:val="21"/>
              </w:rPr>
              <w:t>、集成平台</w:t>
            </w:r>
            <w:r>
              <w:rPr>
                <w:rFonts w:ascii="仿宋" w:hAnsi="仿宋" w:eastAsia="仿宋"/>
                <w:szCs w:val="21"/>
              </w:rPr>
              <w:t>三级证书和医院官网二级证书</w:t>
            </w: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02" w:hRule="atLeast"/>
        </w:trPr>
        <w:tc>
          <w:tcPr>
            <w:tcW w:w="786" w:type="pct"/>
            <w:tcBorders>
              <w:top w:val="nil"/>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其他要求</w:t>
            </w:r>
          </w:p>
        </w:tc>
        <w:tc>
          <w:tcPr>
            <w:tcW w:w="4213" w:type="pct"/>
            <w:tcBorders>
              <w:top w:val="nil"/>
              <w:left w:val="nil"/>
              <w:bottom w:val="single" w:color="auto" w:sz="4" w:space="0"/>
              <w:right w:val="single" w:color="auto" w:sz="4" w:space="0"/>
            </w:tcBorders>
            <w:vAlign w:val="center"/>
          </w:tcPr>
          <w:p>
            <w:pPr>
              <w:autoSpaceDE w:val="0"/>
              <w:autoSpaceDN w:val="0"/>
              <w:adjustRightInd w:val="0"/>
              <w:ind w:left="38" w:leftChars="18"/>
              <w:rPr>
                <w:rFonts w:ascii="仿宋" w:hAnsi="仿宋" w:eastAsia="仿宋" w:cs="宋体"/>
                <w:kern w:val="0"/>
                <w:szCs w:val="21"/>
              </w:rPr>
            </w:pPr>
            <w:r>
              <w:rPr>
                <w:rFonts w:hint="eastAsia" w:ascii="仿宋" w:hAnsi="仿宋" w:eastAsia="仿宋"/>
                <w:szCs w:val="21"/>
              </w:rPr>
              <w:t>★投标人须提供</w:t>
            </w:r>
            <w:r>
              <w:rPr>
                <w:rFonts w:ascii="仿宋" w:hAnsi="仿宋" w:eastAsia="仿宋"/>
                <w:szCs w:val="21"/>
              </w:rPr>
              <w:t>中国信息安全测评中心</w:t>
            </w:r>
            <w:r>
              <w:rPr>
                <w:rFonts w:hint="eastAsia" w:ascii="仿宋" w:hAnsi="仿宋" w:eastAsia="仿宋"/>
                <w:szCs w:val="21"/>
              </w:rPr>
              <w:t>颁发的</w:t>
            </w:r>
            <w:r>
              <w:rPr>
                <w:rFonts w:hint="eastAsia" w:ascii="仿宋" w:hAnsi="仿宋" w:eastAsia="仿宋" w:cs="宋体"/>
                <w:kern w:val="0"/>
                <w:szCs w:val="21"/>
              </w:rPr>
              <w:t>信息安全服务资质证书（</w:t>
            </w:r>
            <w:r>
              <w:fldChar w:fldCharType="begin"/>
            </w:r>
            <w:r>
              <w:instrText xml:space="preserve"> HYPERLINK "http://www.itsec.gov.cn/fwzz/fywjs/201707/t20170712_14869.html" \t "_blank" </w:instrText>
            </w:r>
            <w:r>
              <w:fldChar w:fldCharType="separate"/>
            </w:r>
            <w:r>
              <w:rPr>
                <w:rFonts w:hint="eastAsia" w:ascii="仿宋" w:hAnsi="仿宋" w:eastAsia="仿宋" w:cs="Times New Roman"/>
                <w:szCs w:val="21"/>
              </w:rPr>
              <w:t>信息安全工程</w:t>
            </w:r>
            <w:r>
              <w:rPr>
                <w:rFonts w:hint="eastAsia" w:ascii="仿宋" w:hAnsi="仿宋" w:eastAsia="仿宋" w:cs="Times New Roman"/>
                <w:szCs w:val="21"/>
              </w:rPr>
              <w:fldChar w:fldCharType="end"/>
            </w:r>
            <w:r>
              <w:rPr>
                <w:rFonts w:hint="eastAsia" w:ascii="仿宋" w:hAnsi="仿宋" w:eastAsia="仿宋" w:cs="Times New Roman"/>
                <w:szCs w:val="21"/>
              </w:rPr>
              <w:t>、</w:t>
            </w:r>
            <w:r>
              <w:rPr>
                <w:rFonts w:hint="eastAsia" w:ascii="仿宋" w:hAnsi="仿宋" w:eastAsia="仿宋"/>
                <w:szCs w:val="21"/>
              </w:rPr>
              <w:t>风险评估</w:t>
            </w:r>
            <w:r>
              <w:rPr>
                <w:rFonts w:hint="eastAsia" w:ascii="仿宋" w:hAnsi="仿宋" w:eastAsia="仿宋" w:cs="宋体"/>
                <w:kern w:val="0"/>
                <w:szCs w:val="21"/>
              </w:rPr>
              <w:t>）</w:t>
            </w:r>
            <w:r>
              <w:rPr>
                <w:rFonts w:hint="eastAsia" w:ascii="仿宋" w:hAnsi="仿宋" w:eastAsia="仿宋"/>
                <w:szCs w:val="21"/>
              </w:rPr>
              <w:t>≥</w:t>
            </w:r>
            <w:r>
              <w:rPr>
                <w:rFonts w:ascii="仿宋" w:hAnsi="仿宋" w:eastAsia="仿宋"/>
                <w:szCs w:val="21"/>
              </w:rPr>
              <w:t>1</w:t>
            </w:r>
            <w:r>
              <w:rPr>
                <w:rFonts w:hint="eastAsia" w:ascii="仿宋" w:hAnsi="仿宋" w:eastAsia="仿宋"/>
                <w:szCs w:val="21"/>
              </w:rPr>
              <w:t>种</w:t>
            </w:r>
          </w:p>
          <w:p>
            <w:pPr>
              <w:autoSpaceDE w:val="0"/>
              <w:autoSpaceDN w:val="0"/>
              <w:adjustRightInd w:val="0"/>
              <w:ind w:left="38" w:leftChars="18"/>
              <w:rPr>
                <w:rFonts w:ascii="仿宋" w:hAnsi="仿宋" w:eastAsia="仿宋" w:cs="宋体"/>
                <w:kern w:val="0"/>
                <w:szCs w:val="21"/>
              </w:rPr>
            </w:pPr>
            <w:r>
              <w:rPr>
                <w:rFonts w:hint="eastAsia" w:ascii="仿宋" w:hAnsi="仿宋" w:eastAsia="仿宋"/>
                <w:szCs w:val="21"/>
              </w:rPr>
              <w:t>★投标人须提供</w:t>
            </w:r>
            <w:r>
              <w:rPr>
                <w:rFonts w:hint="eastAsia" w:ascii="仿宋" w:hAnsi="仿宋" w:eastAsia="仿宋" w:cs="宋体"/>
                <w:kern w:val="0"/>
                <w:szCs w:val="21"/>
              </w:rPr>
              <w:t>中国网络安全审查技术与认证中心颁发的信息安全服务资质证书（安全集成、风险评估）</w:t>
            </w:r>
            <w:r>
              <w:rPr>
                <w:rFonts w:hint="eastAsia" w:ascii="仿宋" w:hAnsi="仿宋" w:eastAsia="仿宋"/>
                <w:szCs w:val="21"/>
              </w:rPr>
              <w:t>≥</w:t>
            </w:r>
            <w:r>
              <w:rPr>
                <w:rFonts w:ascii="仿宋" w:hAnsi="仿宋" w:eastAsia="仿宋"/>
                <w:szCs w:val="21"/>
              </w:rPr>
              <w:t>1</w:t>
            </w:r>
            <w:r>
              <w:rPr>
                <w:rFonts w:hint="eastAsia" w:ascii="仿宋" w:hAnsi="仿宋" w:eastAsia="仿宋"/>
                <w:szCs w:val="21"/>
              </w:rPr>
              <w:t>种。</w:t>
            </w:r>
          </w:p>
          <w:p>
            <w:pPr>
              <w:pStyle w:val="57"/>
              <w:rPr>
                <w:rFonts w:ascii="仿宋" w:hAnsi="仿宋" w:eastAsia="仿宋"/>
                <w:szCs w:val="21"/>
              </w:rPr>
            </w:pPr>
            <w:r>
              <w:rPr>
                <w:rFonts w:hint="eastAsia" w:ascii="仿宋" w:hAnsi="仿宋" w:eastAsia="仿宋"/>
                <w:szCs w:val="21"/>
              </w:rPr>
              <w:t>★投标人须提供</w:t>
            </w:r>
            <w:r>
              <w:rPr>
                <w:rFonts w:ascii="仿宋" w:hAnsi="仿宋" w:eastAsia="仿宋"/>
                <w:szCs w:val="21"/>
              </w:rPr>
              <w:t>中国信息安全测评中心</w:t>
            </w:r>
            <w:r>
              <w:rPr>
                <w:rFonts w:hint="eastAsia" w:ascii="仿宋" w:hAnsi="仿宋" w:eastAsia="仿宋"/>
                <w:szCs w:val="21"/>
              </w:rPr>
              <w:t>颁发</w:t>
            </w:r>
            <w:r>
              <w:rPr>
                <w:rFonts w:ascii="仿宋" w:hAnsi="仿宋" w:eastAsia="仿宋"/>
                <w:szCs w:val="21"/>
              </w:rPr>
              <w:t>的CISP证书</w:t>
            </w:r>
            <w:r>
              <w:rPr>
                <w:rFonts w:hint="eastAsia" w:ascii="仿宋" w:hAnsi="仿宋" w:eastAsia="仿宋"/>
                <w:szCs w:val="21"/>
              </w:rPr>
              <w:t>（P</w:t>
            </w:r>
            <w:r>
              <w:rPr>
                <w:rFonts w:ascii="仿宋" w:hAnsi="仿宋" w:eastAsia="仿宋"/>
                <w:szCs w:val="21"/>
              </w:rPr>
              <w:t>TS</w:t>
            </w:r>
            <w:r>
              <w:rPr>
                <w:rFonts w:hint="eastAsia" w:ascii="仿宋" w:hAnsi="仿宋" w:eastAsia="仿宋"/>
                <w:szCs w:val="21"/>
              </w:rPr>
              <w:t>、P</w:t>
            </w:r>
            <w:r>
              <w:rPr>
                <w:rFonts w:ascii="仿宋" w:hAnsi="仿宋" w:eastAsia="仿宋"/>
                <w:szCs w:val="21"/>
              </w:rPr>
              <w:t>TE</w:t>
            </w:r>
            <w:r>
              <w:rPr>
                <w:rFonts w:hint="eastAsia" w:ascii="仿宋" w:hAnsi="仿宋" w:eastAsia="仿宋"/>
                <w:szCs w:val="21"/>
              </w:rPr>
              <w:t>）≥</w:t>
            </w:r>
            <w:r>
              <w:rPr>
                <w:rFonts w:ascii="仿宋" w:hAnsi="仿宋" w:eastAsia="仿宋"/>
                <w:szCs w:val="21"/>
              </w:rPr>
              <w:t>1</w:t>
            </w:r>
            <w:r>
              <w:rPr>
                <w:rFonts w:hint="eastAsia" w:ascii="仿宋" w:hAnsi="仿宋" w:eastAsia="仿宋"/>
                <w:szCs w:val="21"/>
              </w:rPr>
              <w:t>种。</w:t>
            </w:r>
          </w:p>
          <w:p>
            <w:pPr>
              <w:pStyle w:val="57"/>
              <w:rPr>
                <w:rFonts w:ascii="仿宋" w:hAnsi="仿宋" w:eastAsia="仿宋"/>
                <w:szCs w:val="21"/>
              </w:rPr>
            </w:pPr>
            <w:r>
              <w:rPr>
                <w:rFonts w:hint="eastAsia" w:ascii="仿宋" w:hAnsi="仿宋" w:eastAsia="仿宋"/>
                <w:szCs w:val="21"/>
              </w:rPr>
              <w:t>★投标人须提供</w:t>
            </w:r>
            <w:r>
              <w:rPr>
                <w:rFonts w:ascii="仿宋" w:hAnsi="仿宋" w:eastAsia="仿宋"/>
                <w:szCs w:val="21"/>
              </w:rPr>
              <w:t>中国信息安全测评中心</w:t>
            </w:r>
            <w:r>
              <w:rPr>
                <w:rFonts w:hint="eastAsia" w:ascii="仿宋" w:hAnsi="仿宋" w:eastAsia="仿宋"/>
                <w:szCs w:val="21"/>
              </w:rPr>
              <w:t>颁发</w:t>
            </w:r>
            <w:r>
              <w:rPr>
                <w:rFonts w:ascii="仿宋" w:hAnsi="仿宋" w:eastAsia="仿宋"/>
                <w:szCs w:val="21"/>
              </w:rPr>
              <w:t>的</w:t>
            </w:r>
            <w:r>
              <w:rPr>
                <w:rFonts w:hint="eastAsia" w:ascii="仿宋" w:hAnsi="仿宋" w:eastAsia="仿宋" w:cs="宋体"/>
                <w:kern w:val="0"/>
                <w:szCs w:val="21"/>
              </w:rPr>
              <w:t>CISP</w:t>
            </w:r>
            <w:r>
              <w:rPr>
                <w:rFonts w:ascii="仿宋" w:hAnsi="仿宋" w:eastAsia="仿宋"/>
                <w:szCs w:val="21"/>
              </w:rPr>
              <w:t>证书</w:t>
            </w:r>
            <w:r>
              <w:rPr>
                <w:rFonts w:hint="eastAsia" w:ascii="仿宋" w:hAnsi="仿宋" w:eastAsia="仿宋"/>
                <w:szCs w:val="21"/>
              </w:rPr>
              <w:t>（</w:t>
            </w:r>
            <w:r>
              <w:rPr>
                <w:rFonts w:hint="eastAsia" w:ascii="仿宋" w:hAnsi="仿宋" w:eastAsia="仿宋" w:cs="宋体"/>
                <w:kern w:val="0"/>
                <w:szCs w:val="21"/>
              </w:rPr>
              <w:t>CISE</w:t>
            </w:r>
            <w:r>
              <w:rPr>
                <w:rFonts w:hint="eastAsia" w:ascii="仿宋" w:hAnsi="仿宋" w:eastAsia="仿宋"/>
                <w:szCs w:val="21"/>
              </w:rPr>
              <w:t>）</w:t>
            </w:r>
            <w:r>
              <w:rPr>
                <w:rFonts w:hint="eastAsia" w:ascii="仿宋" w:hAnsi="仿宋" w:eastAsia="仿宋" w:cs="宋体"/>
                <w:kern w:val="0"/>
                <w:szCs w:val="21"/>
              </w:rPr>
              <w:t>。</w:t>
            </w:r>
          </w:p>
          <w:p>
            <w:pPr>
              <w:pStyle w:val="57"/>
              <w:rPr>
                <w:rFonts w:ascii="仿宋" w:hAnsi="仿宋" w:eastAsia="仿宋" w:cs="宋体"/>
                <w:kern w:val="0"/>
                <w:szCs w:val="21"/>
              </w:rPr>
            </w:pPr>
            <w:r>
              <w:rPr>
                <w:rFonts w:hint="eastAsia" w:ascii="仿宋" w:hAnsi="仿宋" w:eastAsia="仿宋"/>
                <w:szCs w:val="21"/>
              </w:rPr>
              <w:t>★投标人须提供</w:t>
            </w:r>
            <w:r>
              <w:rPr>
                <w:rFonts w:ascii="仿宋" w:hAnsi="仿宋" w:eastAsia="仿宋"/>
                <w:szCs w:val="21"/>
              </w:rPr>
              <w:t>中国信息安全测评中心</w:t>
            </w:r>
            <w:r>
              <w:rPr>
                <w:rFonts w:hint="eastAsia" w:ascii="仿宋" w:hAnsi="仿宋" w:eastAsia="仿宋"/>
                <w:szCs w:val="21"/>
              </w:rPr>
              <w:t>颁发</w:t>
            </w:r>
            <w:r>
              <w:rPr>
                <w:rFonts w:ascii="仿宋" w:hAnsi="仿宋" w:eastAsia="仿宋"/>
                <w:szCs w:val="21"/>
              </w:rPr>
              <w:t>的</w:t>
            </w:r>
            <w:r>
              <w:rPr>
                <w:rFonts w:hint="eastAsia" w:ascii="仿宋" w:hAnsi="仿宋" w:eastAsia="仿宋" w:cs="宋体"/>
                <w:kern w:val="0"/>
                <w:szCs w:val="21"/>
              </w:rPr>
              <w:t>CISP证书（CI</w:t>
            </w:r>
            <w:r>
              <w:rPr>
                <w:rFonts w:ascii="仿宋" w:hAnsi="仿宋" w:eastAsia="仿宋" w:cs="宋体"/>
                <w:kern w:val="0"/>
                <w:szCs w:val="21"/>
              </w:rPr>
              <w:t>SO</w:t>
            </w:r>
            <w:r>
              <w:rPr>
                <w:rFonts w:hint="eastAsia" w:ascii="仿宋" w:hAnsi="仿宋" w:eastAsia="仿宋" w:cs="宋体"/>
                <w:kern w:val="0"/>
                <w:szCs w:val="21"/>
              </w:rPr>
              <w:t>）。</w:t>
            </w:r>
          </w:p>
          <w:p>
            <w:pPr>
              <w:pStyle w:val="57"/>
              <w:rPr>
                <w:rFonts w:ascii="仿宋" w:hAnsi="仿宋" w:eastAsia="仿宋"/>
                <w:szCs w:val="21"/>
              </w:rPr>
            </w:pPr>
            <w:r>
              <w:rPr>
                <w:rFonts w:hint="eastAsia" w:ascii="仿宋" w:hAnsi="仿宋" w:eastAsia="仿宋"/>
                <w:szCs w:val="21"/>
              </w:rPr>
              <w:t>★投标人须提供</w:t>
            </w:r>
            <w:r>
              <w:rPr>
                <w:rFonts w:hint="eastAsia" w:ascii="仿宋" w:hAnsi="仿宋" w:eastAsia="仿宋" w:cs="宋体"/>
                <w:kern w:val="0"/>
                <w:szCs w:val="21"/>
              </w:rPr>
              <w:t>中国网络安全审查技术与认证中心颁发的</w:t>
            </w:r>
            <w:r>
              <w:rPr>
                <w:rFonts w:ascii="仿宋" w:hAnsi="仿宋" w:eastAsia="仿宋" w:cs="宋体"/>
                <w:kern w:val="0"/>
                <w:szCs w:val="21"/>
              </w:rPr>
              <w:t>CISAW</w:t>
            </w:r>
            <w:r>
              <w:rPr>
                <w:rFonts w:hint="eastAsia" w:ascii="仿宋" w:hAnsi="仿宋" w:eastAsia="仿宋" w:cs="宋体"/>
                <w:kern w:val="0"/>
                <w:szCs w:val="21"/>
              </w:rPr>
              <w:t>证书（渗透测试</w:t>
            </w:r>
            <w:r>
              <w:rPr>
                <w:rFonts w:ascii="仿宋" w:hAnsi="仿宋" w:eastAsia="仿宋" w:cs="宋体"/>
                <w:kern w:val="0"/>
                <w:szCs w:val="21"/>
              </w:rPr>
              <w:t>）</w:t>
            </w:r>
            <w:r>
              <w:rPr>
                <w:rFonts w:hint="eastAsia" w:ascii="仿宋" w:hAnsi="仿宋" w:eastAsia="仿宋" w:cs="宋体"/>
                <w:kern w:val="0"/>
                <w:szCs w:val="21"/>
              </w:rPr>
              <w:t>。</w:t>
            </w:r>
          </w:p>
          <w:p>
            <w:pPr>
              <w:pStyle w:val="57"/>
              <w:rPr>
                <w:rFonts w:ascii="仿宋" w:hAnsi="仿宋" w:eastAsia="仿宋"/>
                <w:szCs w:val="21"/>
              </w:rPr>
            </w:pPr>
            <w:r>
              <w:rPr>
                <w:rFonts w:hint="eastAsia" w:ascii="仿宋" w:hAnsi="仿宋" w:eastAsia="仿宋"/>
                <w:szCs w:val="21"/>
              </w:rPr>
              <w:t>★投标人须提供</w:t>
            </w:r>
            <w:r>
              <w:rPr>
                <w:rFonts w:hint="eastAsia" w:ascii="仿宋" w:hAnsi="仿宋" w:eastAsia="仿宋" w:cs="宋体"/>
                <w:kern w:val="0"/>
                <w:szCs w:val="21"/>
              </w:rPr>
              <w:t>中国网络安全审查技术与认证中心颁发的</w:t>
            </w:r>
            <w:r>
              <w:rPr>
                <w:rFonts w:ascii="仿宋" w:hAnsi="仿宋" w:eastAsia="仿宋" w:cs="宋体"/>
                <w:kern w:val="0"/>
                <w:szCs w:val="21"/>
              </w:rPr>
              <w:t>CISAW</w:t>
            </w:r>
            <w:r>
              <w:rPr>
                <w:rFonts w:hint="eastAsia" w:ascii="仿宋" w:hAnsi="仿宋" w:eastAsia="仿宋" w:cs="宋体"/>
                <w:kern w:val="0"/>
                <w:szCs w:val="21"/>
              </w:rPr>
              <w:t>证书（安全集成</w:t>
            </w:r>
            <w:r>
              <w:rPr>
                <w:rFonts w:ascii="仿宋" w:hAnsi="仿宋" w:eastAsia="仿宋" w:cs="宋体"/>
                <w:kern w:val="0"/>
                <w:szCs w:val="21"/>
              </w:rPr>
              <w:t>）</w:t>
            </w:r>
            <w:r>
              <w:rPr>
                <w:rFonts w:hint="eastAsia" w:ascii="仿宋" w:hAnsi="仿宋" w:eastAsia="仿宋" w:cs="宋体"/>
                <w:kern w:val="0"/>
                <w:szCs w:val="21"/>
              </w:rPr>
              <w:t>。</w:t>
            </w:r>
          </w:p>
          <w:p>
            <w:pPr>
              <w:pStyle w:val="57"/>
              <w:rPr>
                <w:rFonts w:ascii="仿宋" w:hAnsi="仿宋" w:eastAsia="仿宋"/>
                <w:szCs w:val="21"/>
              </w:rPr>
            </w:pPr>
            <w:r>
              <w:rPr>
                <w:rFonts w:hint="eastAsia" w:ascii="仿宋" w:hAnsi="仿宋" w:eastAsia="仿宋"/>
                <w:szCs w:val="21"/>
              </w:rPr>
              <w:t>★投标人须提供</w:t>
            </w:r>
            <w:r>
              <w:rPr>
                <w:rFonts w:hint="eastAsia" w:ascii="仿宋" w:hAnsi="仿宋" w:eastAsia="仿宋" w:cs="宋体"/>
                <w:kern w:val="0"/>
                <w:szCs w:val="21"/>
              </w:rPr>
              <w:t>中国网络安全审查技术与认证中心颁发的</w:t>
            </w:r>
            <w:r>
              <w:rPr>
                <w:rFonts w:ascii="仿宋" w:hAnsi="仿宋" w:eastAsia="仿宋" w:cs="宋体"/>
                <w:kern w:val="0"/>
                <w:szCs w:val="21"/>
              </w:rPr>
              <w:t>CISAW</w:t>
            </w:r>
            <w:r>
              <w:rPr>
                <w:rFonts w:hint="eastAsia" w:ascii="仿宋" w:hAnsi="仿宋" w:eastAsia="仿宋" w:cs="宋体"/>
                <w:kern w:val="0"/>
                <w:szCs w:val="21"/>
              </w:rPr>
              <w:t>证书（</w:t>
            </w:r>
            <w:r>
              <w:rPr>
                <w:rFonts w:ascii="仿宋" w:hAnsi="仿宋" w:eastAsia="仿宋" w:cs="宋体"/>
                <w:kern w:val="0"/>
                <w:szCs w:val="21"/>
              </w:rPr>
              <w:t>风险管理）</w:t>
            </w:r>
            <w:r>
              <w:rPr>
                <w:rFonts w:hint="eastAsia" w:ascii="仿宋" w:hAnsi="仿宋" w:eastAsia="仿宋" w:cs="宋体"/>
                <w:kern w:val="0"/>
                <w:szCs w:val="21"/>
              </w:rPr>
              <w:t>。</w:t>
            </w:r>
          </w:p>
          <w:p>
            <w:pPr>
              <w:pStyle w:val="57"/>
              <w:rPr>
                <w:rFonts w:ascii="仿宋" w:hAnsi="仿宋" w:eastAsia="仿宋"/>
                <w:szCs w:val="21"/>
              </w:rPr>
            </w:pPr>
            <w:r>
              <w:rPr>
                <w:rFonts w:hint="eastAsia" w:ascii="仿宋" w:hAnsi="仿宋" w:eastAsia="仿宋"/>
                <w:szCs w:val="21"/>
              </w:rPr>
              <w:t>以上内容提供公司资质证书复印件、认证工程师的证书复印件和2个月的薪资流水明细，统一加盖公司公章。</w:t>
            </w:r>
          </w:p>
        </w:tc>
      </w:tr>
    </w:tbl>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五、售后服务条件及交货日期（或工期）：</w:t>
      </w:r>
    </w:p>
    <w:bookmarkEnd w:id="35"/>
    <w:bookmarkEnd w:id="36"/>
    <w:p>
      <w:pPr>
        <w:pStyle w:val="13"/>
        <w:keepNext w:val="0"/>
        <w:keepLines w:val="0"/>
        <w:pageBreakBefore w:val="0"/>
        <w:kinsoku/>
        <w:wordWrap/>
        <w:overflowPunct/>
        <w:topLinePunct w:val="0"/>
        <w:autoSpaceDE/>
        <w:autoSpaceDN/>
        <w:bidi w:val="0"/>
        <w:adjustRightInd/>
        <w:snapToGrid/>
        <w:spacing w:beforeAutospacing="0" w:afterAutospacing="0" w:line="500" w:lineRule="exact"/>
        <w:ind w:firstLine="420" w:firstLineChars="200"/>
        <w:jc w:val="both"/>
        <w:rPr>
          <w:rFonts w:hint="eastAsia" w:cs="宋体"/>
          <w:kern w:val="2"/>
          <w:sz w:val="21"/>
          <w:szCs w:val="24"/>
          <w:lang w:val="en-US" w:eastAsia="zh-CN" w:bidi="ar-SA"/>
        </w:rPr>
      </w:pPr>
      <w:r>
        <w:rPr>
          <w:rFonts w:hint="eastAsia" w:cs="宋体"/>
          <w:kern w:val="2"/>
          <w:sz w:val="21"/>
          <w:szCs w:val="24"/>
          <w:lang w:val="en-US" w:eastAsia="zh-CN" w:bidi="ar-SA"/>
        </w:rPr>
        <w:t>合同签订后提供1年网络安全加固服务。</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合同履行期限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default" w:ascii="宋体" w:hAnsi="宋体" w:eastAsia="宋体" w:cs="宋体"/>
                <w:color w:val="FF0000"/>
                <w:sz w:val="21"/>
                <w:szCs w:val="21"/>
                <w:lang w:val="en-US" w:eastAsia="zh-CN"/>
              </w:rPr>
            </w:pPr>
            <w:r>
              <w:rPr>
                <w:rFonts w:hint="eastAsia" w:cs="宋体"/>
                <w:sz w:val="21"/>
                <w:szCs w:val="21"/>
                <w:lang w:val="en-US" w:eastAsia="zh-CN"/>
              </w:rPr>
              <w:t>1年</w:t>
            </w: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验   收</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合格。</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p>
        </w:tc>
      </w:tr>
    </w:tbl>
    <w:p>
      <w:pPr>
        <w:snapToGrid w:val="0"/>
        <w:spacing w:line="480" w:lineRule="auto"/>
        <w:jc w:val="center"/>
        <w:rPr>
          <w:rFonts w:hint="eastAsia"/>
          <w:b/>
          <w:bCs/>
          <w:color w:val="auto"/>
          <w:sz w:val="30"/>
          <w:szCs w:val="30"/>
          <w:highlight w:val="none"/>
        </w:rPr>
      </w:pPr>
    </w:p>
    <w:p>
      <w:pPr>
        <w:snapToGrid w:val="0"/>
        <w:spacing w:line="480" w:lineRule="auto"/>
        <w:jc w:val="center"/>
        <w:rPr>
          <w:rFonts w:hint="eastAsia"/>
          <w:b/>
          <w:bCs/>
          <w:color w:val="auto"/>
          <w:sz w:val="30"/>
          <w:szCs w:val="30"/>
          <w:highlight w:val="none"/>
        </w:rPr>
      </w:pPr>
    </w:p>
    <w:p>
      <w:pPr>
        <w:snapToGrid w:val="0"/>
        <w:spacing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widowControl/>
              <w:snapToGrid w:val="0"/>
              <w:spacing w:line="360" w:lineRule="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color w:val="auto"/>
          <w:highlight w:val="none"/>
        </w:rPr>
      </w:pPr>
    </w:p>
    <w:p>
      <w:pPr>
        <w:jc w:val="center"/>
        <w:rPr>
          <w:rFonts w:hint="eastAsia"/>
          <w:b/>
          <w:bCs/>
          <w:color w:val="auto"/>
          <w:sz w:val="32"/>
          <w:szCs w:val="32"/>
          <w:highlight w:val="none"/>
        </w:rPr>
      </w:pPr>
      <w:bookmarkStart w:id="40" w:name="_Toc14504"/>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color w:val="auto"/>
                <w:highlight w:val="none"/>
                <w:lang w:val="en-US" w:eastAsia="zh-CN"/>
              </w:rPr>
              <w:t>驻马店市中心医院网络安全加固服务项目</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270000.00</w:t>
            </w:r>
            <w:r>
              <w:rPr>
                <w:rFonts w:hint="eastAsia" w:ascii="宋体" w:hAnsi="宋体" w:cs="宋体"/>
                <w:color w:val="auto"/>
                <w:kern w:val="0"/>
                <w:szCs w:val="21"/>
                <w:highlight w:val="none"/>
              </w:rPr>
              <w:t>元</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“投标人”系指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“投标人代表”系指代表投标人参加本次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270000.00</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4.2供应商应提供2020年度</w:t>
      </w:r>
      <w:r>
        <w:rPr>
          <w:rFonts w:hint="eastAsia" w:ascii="宋体" w:hAnsi="宋体" w:cs="宋体"/>
          <w:color w:val="auto"/>
          <w:kern w:val="2"/>
          <w:sz w:val="21"/>
          <w:szCs w:val="24"/>
          <w:lang w:val="en-US" w:eastAsia="zh-CN" w:bidi="ar-SA"/>
        </w:rPr>
        <w:t>或2021年度</w:t>
      </w:r>
      <w:r>
        <w:rPr>
          <w:rFonts w:hint="eastAsia" w:ascii="宋体" w:hAnsi="宋体" w:eastAsia="宋体" w:cs="宋体"/>
          <w:color w:val="auto"/>
          <w:kern w:val="2"/>
          <w:sz w:val="21"/>
          <w:szCs w:val="24"/>
          <w:lang w:val="en-US" w:eastAsia="zh-CN" w:bidi="ar-SA"/>
        </w:rPr>
        <w:t>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pStyle w:val="30"/>
        <w:keepNext w:val="0"/>
        <w:keepLines w:val="0"/>
        <w:pageBreakBefore w:val="0"/>
        <w:kinsoku/>
        <w:overflowPunct/>
        <w:topLinePunct w:val="0"/>
        <w:bidi w:val="0"/>
        <w:spacing w:line="440" w:lineRule="exact"/>
        <w:ind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sz w:val="21"/>
          <w:lang w:val="en-US" w:eastAsia="zh-CN"/>
        </w:rPr>
        <w:t>4.3</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4.4</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4.5</w:t>
      </w:r>
      <w:r>
        <w:rPr>
          <w:rFonts w:hint="eastAsia" w:ascii="宋体" w:hAnsi="宋体" w:eastAsia="宋体" w:cs="宋体"/>
          <w:color w:val="auto"/>
          <w:lang w:val="en-US" w:eastAsia="zh-CN"/>
        </w:rPr>
        <w:t>根据《关于在政府采购活动中查询及使用信用记录有关问题的通知》（财库【2016】125号）的规定，对列入失信被执行人、</w:t>
      </w:r>
      <w:r>
        <w:rPr>
          <w:rFonts w:hint="eastAsia" w:ascii="宋体" w:hAnsi="宋体" w:cs="宋体"/>
          <w:color w:val="auto"/>
          <w:lang w:val="en-US" w:eastAsia="zh-CN"/>
        </w:rPr>
        <w:t>税收违法黑名单</w:t>
      </w:r>
      <w:r>
        <w:rPr>
          <w:rFonts w:hint="eastAsia" w:ascii="宋体" w:hAnsi="宋体" w:eastAsia="宋体" w:cs="宋体"/>
          <w:color w:val="auto"/>
          <w:lang w:val="en-US" w:eastAsia="zh-CN"/>
        </w:rPr>
        <w:t>、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16.3、商务响应表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16.4、法定代表人身份证明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16.5、法定代表人授权书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16.6、证明文件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16.7、抵制商业贿赂承诺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16.8、投标人认为有必要的其他资料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时间、质保期等不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3"/>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4"/>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（25分）</w:t>
            </w:r>
          </w:p>
        </w:tc>
        <w:tc>
          <w:tcPr>
            <w:tcW w:w="2140"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专业技术水平、人员配备、人员专业素质等</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kern w:val="0"/>
                <w:sz w:val="21"/>
                <w:szCs w:val="21"/>
                <w:highlight w:val="none"/>
                <w:lang w:eastAsia="zh-CN"/>
              </w:rPr>
              <w:t>技术参数</w:t>
            </w:r>
            <w:r>
              <w:rPr>
                <w:rFonts w:hint="eastAsia" w:ascii="宋体" w:hAnsi="宋体" w:cs="宋体"/>
                <w:b w:val="0"/>
                <w:bCs w:val="0"/>
                <w:color w:val="auto"/>
                <w:kern w:val="0"/>
                <w:sz w:val="21"/>
                <w:szCs w:val="21"/>
                <w:highlight w:val="none"/>
                <w:lang w:eastAsia="zh-CN"/>
              </w:rPr>
              <w:t>、</w:t>
            </w:r>
            <w:r>
              <w:rPr>
                <w:rFonts w:hint="eastAsia" w:ascii="宋体" w:hAnsi="宋体" w:cs="宋体"/>
                <w:b w:val="0"/>
                <w:bCs w:val="0"/>
                <w:color w:val="auto"/>
                <w:kern w:val="0"/>
                <w:sz w:val="21"/>
                <w:szCs w:val="21"/>
                <w:highlight w:val="none"/>
                <w:lang w:val="en-US" w:eastAsia="zh-CN"/>
              </w:rPr>
              <w:t>企业综合实力</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根据投标人在投标文件中所附</w:t>
            </w:r>
            <w:r>
              <w:rPr>
                <w:rFonts w:hint="eastAsia" w:ascii="宋体" w:hAnsi="宋体" w:cs="宋体"/>
                <w:b w:val="0"/>
                <w:bCs w:val="0"/>
                <w:color w:val="auto"/>
                <w:sz w:val="21"/>
                <w:szCs w:val="21"/>
                <w:highlight w:val="none"/>
                <w:lang w:val="en-US" w:eastAsia="zh-CN"/>
              </w:rPr>
              <w:t>资料</w:t>
            </w:r>
            <w:r>
              <w:rPr>
                <w:rFonts w:hint="eastAsia" w:ascii="宋体" w:hAnsi="宋体" w:eastAsia="宋体" w:cs="宋体"/>
                <w:b w:val="0"/>
                <w:bCs w:val="0"/>
                <w:color w:val="auto"/>
                <w:sz w:val="21"/>
                <w:szCs w:val="21"/>
                <w:highlight w:val="none"/>
              </w:rPr>
              <w:t>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(20分)</w:t>
            </w:r>
          </w:p>
        </w:tc>
        <w:tc>
          <w:tcPr>
            <w:tcW w:w="214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证书、资信等级、类似业绩、质保期、其他优惠承诺等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(25分)</w:t>
            </w:r>
          </w:p>
        </w:tc>
        <w:tc>
          <w:tcPr>
            <w:tcW w:w="2140"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培训方案、服务站点、服务响应及时性、售后服务方案</w:t>
            </w:r>
            <w:r>
              <w:rPr>
                <w:rFonts w:hint="eastAsia" w:ascii="宋体" w:hAnsi="宋体" w:cs="宋体"/>
                <w:b w:val="0"/>
                <w:bCs w:val="0"/>
                <w:color w:val="auto"/>
                <w:sz w:val="21"/>
                <w:szCs w:val="21"/>
                <w:highlight w:val="none"/>
                <w:lang w:val="en-US" w:eastAsia="zh-CN"/>
              </w:rPr>
              <w:t>、服务承诺及增值服务</w:t>
            </w:r>
            <w:r>
              <w:rPr>
                <w:rFonts w:hint="eastAsia" w:ascii="宋体" w:hAnsi="宋体" w:eastAsia="宋体" w:cs="宋体"/>
                <w:b w:val="0"/>
                <w:bCs w:val="0"/>
                <w:color w:val="auto"/>
                <w:sz w:val="21"/>
                <w:szCs w:val="21"/>
                <w:highlight w:val="none"/>
                <w:lang w:val="en-US" w:eastAsia="zh-CN"/>
              </w:rPr>
              <w:t>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根据</w:t>
            </w:r>
            <w:r>
              <w:rPr>
                <w:rFonts w:hint="eastAsia" w:ascii="宋体" w:hAnsi="宋体" w:eastAsia="宋体" w:cs="宋体"/>
                <w:b w:val="0"/>
                <w:bCs w:val="0"/>
                <w:color w:val="auto"/>
                <w:kern w:val="0"/>
                <w:sz w:val="21"/>
                <w:szCs w:val="21"/>
                <w:highlight w:val="none"/>
                <w:lang w:val="en-US" w:eastAsia="zh-CN"/>
              </w:rPr>
              <w:t>投标人在投标文件中所投产品的售后服务站设立情况（配备有专业售后服务技术人员，提供售后服务人员名单和售后服务地址、电话）</w:t>
            </w:r>
            <w:r>
              <w:rPr>
                <w:rFonts w:hint="eastAsia" w:ascii="宋体" w:hAnsi="宋体" w:cs="宋体"/>
                <w:b w:val="0"/>
                <w:bCs w:val="0"/>
                <w:color w:val="auto"/>
                <w:kern w:val="0"/>
                <w:sz w:val="21"/>
                <w:szCs w:val="21"/>
                <w:highlight w:val="none"/>
                <w:lang w:val="en-US" w:eastAsia="zh-CN"/>
              </w:rPr>
              <w:t>、培训方案、</w:t>
            </w:r>
            <w:r>
              <w:rPr>
                <w:rFonts w:hint="eastAsia" w:ascii="宋体" w:hAnsi="宋体" w:eastAsia="宋体" w:cs="宋体"/>
                <w:b w:val="0"/>
                <w:bCs w:val="0"/>
                <w:color w:val="auto"/>
                <w:kern w:val="2"/>
                <w:sz w:val="21"/>
                <w:szCs w:val="21"/>
                <w:highlight w:val="none"/>
              </w:rPr>
              <w:t>售后服务及时率、服务到位程度、详细的维修时间和处理办法及针对本项目的售后服务方案及相应的安全质量保障措施等内容</w:t>
            </w:r>
            <w:r>
              <w:rPr>
                <w:rFonts w:hint="eastAsia" w:ascii="宋体" w:hAnsi="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4"/>
    <w:p>
      <w:pPr>
        <w:rPr>
          <w:color w:val="auto"/>
          <w:highlight w:val="none"/>
        </w:rPr>
      </w:pPr>
      <w:bookmarkStart w:id="46" w:name="_Toc1947"/>
      <w:bookmarkStart w:id="47" w:name="_Toc1482"/>
      <w:bookmarkStart w:id="48" w:name="_Toc326786897"/>
      <w:bookmarkStart w:id="49" w:name="_Toc256519703"/>
    </w:p>
    <w:p>
      <w:pPr>
        <w:pStyle w:val="3"/>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3"/>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附件5技术响应表（格式）</w:t>
      </w:r>
      <w:bookmarkEnd w:id="57"/>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附件6 商务响应表（格式）</w:t>
      </w:r>
      <w:bookmarkEnd w:id="58"/>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1"/>
        <w:rPr>
          <w:rFonts w:ascii="宋体" w:hAnsi="宋体" w:cs="宋体"/>
          <w:b/>
          <w:bCs/>
          <w:color w:val="auto"/>
          <w:kern w:val="0"/>
          <w:sz w:val="24"/>
          <w:highlight w:val="none"/>
        </w:rPr>
      </w:pPr>
    </w:p>
    <w:p>
      <w:pPr>
        <w:pStyle w:val="12"/>
        <w:rPr>
          <w:rFonts w:hAnsi="宋体"/>
          <w:b/>
          <w:bCs/>
          <w:color w:val="auto"/>
          <w:highlight w:val="none"/>
        </w:rPr>
      </w:pPr>
    </w:p>
    <w:p>
      <w:pPr>
        <w:pStyle w:val="12"/>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2"/>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cs="宋体"/>
          <w:b/>
          <w:snapToGrid w:val="0"/>
          <w:color w:val="auto"/>
          <w:spacing w:val="0"/>
          <w:kern w:val="0"/>
          <w:sz w:val="44"/>
          <w:szCs w:val="44"/>
          <w:highlight w:val="none"/>
          <w:u w:val="none"/>
          <w:lang w:val="en-US" w:eastAsia="zh-CN"/>
        </w:rPr>
        <w:t>驻马店市中心医院网络安全加固服务项目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12"/>
        <w:spacing w:line="360" w:lineRule="auto"/>
        <w:rPr>
          <w:rFonts w:hint="eastAsia" w:ascii="宋体" w:hAnsi="宋体" w:eastAsia="宋体" w:cs="宋体"/>
          <w:color w:val="auto"/>
          <w:highlight w:val="none"/>
        </w:rPr>
      </w:pPr>
    </w:p>
    <w:p>
      <w:pPr>
        <w:pStyle w:val="12"/>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1"/>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2"/>
        <w:rPr>
          <w:color w:val="auto"/>
          <w:highlight w:val="none"/>
        </w:rPr>
      </w:pPr>
      <w:bookmarkStart w:id="65" w:name="_Toc14560"/>
      <w:bookmarkStart w:id="66" w:name="_Toc8818"/>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 xml:space="preserve">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服务期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19"/>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11620"/>
      <w:bookmarkStart w:id="69" w:name="_Toc20877"/>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12222"/>
      <w:bookmarkStart w:id="71" w:name="_Toc625"/>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bookmarkEnd w:id="48"/>
    <w:bookmarkEnd w:id="49"/>
    <w:p>
      <w:pPr>
        <w:pStyle w:val="2"/>
        <w:spacing w:before="20" w:after="20"/>
        <w:rPr>
          <w:color w:val="000000" w:themeColor="text1"/>
          <w:highlight w:val="none"/>
          <w14:textFill>
            <w14:solidFill>
              <w14:schemeClr w14:val="tx1"/>
            </w14:solidFill>
          </w14:textFill>
        </w:rPr>
      </w:pPr>
      <w:bookmarkStart w:id="74" w:name="_Toc24984"/>
      <w:bookmarkStart w:id="75" w:name="_Toc22004"/>
      <w:r>
        <w:rPr>
          <w:rFonts w:hint="eastAsia"/>
          <w:color w:val="000000" w:themeColor="text1"/>
          <w:highlight w:val="none"/>
          <w14:textFill>
            <w14:solidFill>
              <w14:schemeClr w14:val="tx1"/>
            </w14:solidFill>
          </w14:textFill>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3"/>
        <w:tblW w:w="9279"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7"/>
        <w:gridCol w:w="2384"/>
        <w:gridCol w:w="1516"/>
        <w:gridCol w:w="1541"/>
        <w:gridCol w:w="1718"/>
        <w:gridCol w:w="12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38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服务名称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71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203"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076"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投标总价(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203"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2"/>
        <w:rPr>
          <w:rFonts w:hint="eastAsia" w:eastAsia="黑体"/>
          <w:color w:val="auto"/>
          <w:highlight w:val="none"/>
          <w:lang w:val="en-US" w:eastAsia="zh-CN"/>
        </w:rPr>
      </w:pPr>
      <w:r>
        <w:rPr>
          <w:rFonts w:hint="eastAsia"/>
          <w:color w:val="auto"/>
          <w:highlight w:val="none"/>
        </w:rPr>
        <w:br w:type="page"/>
      </w:r>
      <w:bookmarkStart w:id="76" w:name="_Toc15804"/>
      <w:bookmarkStart w:id="77" w:name="_Toc226"/>
      <w:r>
        <w:rPr>
          <w:rFonts w:hint="eastAsia"/>
          <w:color w:val="auto"/>
          <w:highlight w:val="none"/>
        </w:rPr>
        <w:t xml:space="preserve">附件5         </w:t>
      </w:r>
      <w:bookmarkEnd w:id="76"/>
      <w:bookmarkEnd w:id="77"/>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8" w:name="_Toc20420"/>
      <w:bookmarkStart w:id="79" w:name="_Toc29960"/>
      <w:r>
        <w:rPr>
          <w:rFonts w:hint="eastAsia" w:ascii="Arial" w:hAnsi="Arial" w:eastAsia="新宋体"/>
          <w:b/>
          <w:color w:val="auto"/>
          <w:sz w:val="28"/>
          <w:highlight w:val="none"/>
        </w:rPr>
        <w:t>附件6               商务响应</w:t>
      </w:r>
      <w:bookmarkEnd w:id="78"/>
      <w:bookmarkEnd w:id="79"/>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widowControl/>
        <w:wordWrap w:val="0"/>
        <w:spacing w:line="460" w:lineRule="exact"/>
        <w:jc w:val="left"/>
        <w:outlineLvl w:val="0"/>
        <w:rPr>
          <w:rFonts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1"/>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30519"/>
      <w:bookmarkStart w:id="83" w:name="_Toc13976"/>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7"/>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7"/>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7"/>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pStyle w:val="32"/>
      </w:pPr>
    </w:p>
    <w:p>
      <w:pPr>
        <w:widowControl/>
        <w:snapToGrid w:val="0"/>
        <w:spacing w:line="360" w:lineRule="auto"/>
        <w:jc w:val="center"/>
        <w:outlineLvl w:val="0"/>
        <w:rPr>
          <w:rFonts w:ascii="宋体" w:hAnsi="宋体" w:cs="Lucida Sans Unicode"/>
          <w:b/>
          <w:color w:val="auto"/>
          <w:kern w:val="0"/>
          <w:sz w:val="24"/>
          <w:highlight w:val="none"/>
        </w:rPr>
      </w:pPr>
      <w:bookmarkStart w:id="89" w:name="_Toc25094"/>
      <w:bookmarkStart w:id="90" w:name="_Toc233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ascii="宋体" w:hAnsi="宋体" w:cs="宋体"/>
        <w:color w:val="auto"/>
        <w:szCs w:val="21"/>
        <w:highlight w:val="none"/>
        <w:shd w:val="clear" w:color="auto" w:fill="FFFFFF"/>
        <w:lang w:val="en-US" w:eastAsia="zh-CN"/>
      </w:rPr>
      <w:t>驻马店市中心医院网络安全加固服务项目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hint="eastAsia"/>
      </w:rPr>
    </w:pPr>
    <w:r>
      <w:rPr>
        <w:rFonts w:hint="eastAsia" w:ascii="宋体" w:hAnsi="宋体" w:cs="宋体"/>
        <w:color w:val="auto"/>
        <w:szCs w:val="21"/>
        <w:highlight w:val="none"/>
        <w:shd w:val="clear" w:color="auto" w:fill="FFFFFF"/>
        <w:lang w:val="en-US" w:eastAsia="zh-CN"/>
      </w:rPr>
      <w:t>驻马店市中心医院网络安全加固服务项目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1DA45B4F"/>
    <w:multiLevelType w:val="multilevel"/>
    <w:tmpl w:val="1DA45B4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9B6410A"/>
    <w:multiLevelType w:val="singleLevel"/>
    <w:tmpl w:val="59B6410A"/>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0D4A21"/>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A011E9"/>
    <w:rsid w:val="03AE7F27"/>
    <w:rsid w:val="03BD2BCD"/>
    <w:rsid w:val="03CC058D"/>
    <w:rsid w:val="03E017D2"/>
    <w:rsid w:val="04416C20"/>
    <w:rsid w:val="047968B1"/>
    <w:rsid w:val="04870542"/>
    <w:rsid w:val="054C0111"/>
    <w:rsid w:val="05545DD3"/>
    <w:rsid w:val="056E2AD6"/>
    <w:rsid w:val="05806815"/>
    <w:rsid w:val="058251D3"/>
    <w:rsid w:val="05945CCE"/>
    <w:rsid w:val="059D05A4"/>
    <w:rsid w:val="059D5E17"/>
    <w:rsid w:val="05AB0A28"/>
    <w:rsid w:val="05AB0F81"/>
    <w:rsid w:val="05B93D6B"/>
    <w:rsid w:val="05D53002"/>
    <w:rsid w:val="05D75738"/>
    <w:rsid w:val="061E7D14"/>
    <w:rsid w:val="06560AED"/>
    <w:rsid w:val="066469C9"/>
    <w:rsid w:val="066646A1"/>
    <w:rsid w:val="06983B20"/>
    <w:rsid w:val="069A3B66"/>
    <w:rsid w:val="06B31420"/>
    <w:rsid w:val="06B91765"/>
    <w:rsid w:val="06CA2AD2"/>
    <w:rsid w:val="06CE3071"/>
    <w:rsid w:val="06D33DBA"/>
    <w:rsid w:val="06E13F9F"/>
    <w:rsid w:val="06FB0AC5"/>
    <w:rsid w:val="070D2D5D"/>
    <w:rsid w:val="07111B8D"/>
    <w:rsid w:val="074A5B92"/>
    <w:rsid w:val="075D0147"/>
    <w:rsid w:val="075E3193"/>
    <w:rsid w:val="078E18EB"/>
    <w:rsid w:val="07B10EA5"/>
    <w:rsid w:val="07CE3FA1"/>
    <w:rsid w:val="07EC2ECB"/>
    <w:rsid w:val="07FE66CB"/>
    <w:rsid w:val="080B4D47"/>
    <w:rsid w:val="08321601"/>
    <w:rsid w:val="083D5C91"/>
    <w:rsid w:val="0847191F"/>
    <w:rsid w:val="084C0874"/>
    <w:rsid w:val="08591DC3"/>
    <w:rsid w:val="087C4541"/>
    <w:rsid w:val="087E5595"/>
    <w:rsid w:val="08C52D6F"/>
    <w:rsid w:val="08EF0201"/>
    <w:rsid w:val="08F41DE8"/>
    <w:rsid w:val="09737462"/>
    <w:rsid w:val="099156C3"/>
    <w:rsid w:val="09A53F39"/>
    <w:rsid w:val="09A60E13"/>
    <w:rsid w:val="09AB2883"/>
    <w:rsid w:val="09D206F0"/>
    <w:rsid w:val="0A321AC2"/>
    <w:rsid w:val="0A343D4E"/>
    <w:rsid w:val="0A3E6D2E"/>
    <w:rsid w:val="0A8455AD"/>
    <w:rsid w:val="0AB359AE"/>
    <w:rsid w:val="0AD13A85"/>
    <w:rsid w:val="0B091954"/>
    <w:rsid w:val="0B637D77"/>
    <w:rsid w:val="0B7006C4"/>
    <w:rsid w:val="0BAC324F"/>
    <w:rsid w:val="0BC11EE9"/>
    <w:rsid w:val="0BF16C73"/>
    <w:rsid w:val="0BF72F1E"/>
    <w:rsid w:val="0C3152C1"/>
    <w:rsid w:val="0C3957A5"/>
    <w:rsid w:val="0C626DA7"/>
    <w:rsid w:val="0C6876AE"/>
    <w:rsid w:val="0C71390F"/>
    <w:rsid w:val="0C720EC8"/>
    <w:rsid w:val="0C942042"/>
    <w:rsid w:val="0C9D50DC"/>
    <w:rsid w:val="0CA5271D"/>
    <w:rsid w:val="0CAC4D10"/>
    <w:rsid w:val="0CC72121"/>
    <w:rsid w:val="0CEE5A21"/>
    <w:rsid w:val="0D05268E"/>
    <w:rsid w:val="0D0646E7"/>
    <w:rsid w:val="0D0C38CA"/>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821E7D"/>
    <w:rsid w:val="0FCA42ED"/>
    <w:rsid w:val="0FE7592C"/>
    <w:rsid w:val="0FFD20F0"/>
    <w:rsid w:val="103E6E57"/>
    <w:rsid w:val="1041497B"/>
    <w:rsid w:val="10425FF6"/>
    <w:rsid w:val="106612B1"/>
    <w:rsid w:val="109010E6"/>
    <w:rsid w:val="10B271F4"/>
    <w:rsid w:val="10B537CC"/>
    <w:rsid w:val="10C8275C"/>
    <w:rsid w:val="10C86D3B"/>
    <w:rsid w:val="10E03539"/>
    <w:rsid w:val="10E82D1F"/>
    <w:rsid w:val="10EE5C94"/>
    <w:rsid w:val="10F5757C"/>
    <w:rsid w:val="113329E7"/>
    <w:rsid w:val="113F294C"/>
    <w:rsid w:val="11437C85"/>
    <w:rsid w:val="1166372C"/>
    <w:rsid w:val="11700D10"/>
    <w:rsid w:val="1178125A"/>
    <w:rsid w:val="118441E0"/>
    <w:rsid w:val="1196056D"/>
    <w:rsid w:val="11D34654"/>
    <w:rsid w:val="12010480"/>
    <w:rsid w:val="120E707F"/>
    <w:rsid w:val="121D0051"/>
    <w:rsid w:val="12413D84"/>
    <w:rsid w:val="127A7D1C"/>
    <w:rsid w:val="12836D8B"/>
    <w:rsid w:val="12AB0349"/>
    <w:rsid w:val="12CD57F1"/>
    <w:rsid w:val="12CE7AFA"/>
    <w:rsid w:val="12D67466"/>
    <w:rsid w:val="13272A5D"/>
    <w:rsid w:val="13493108"/>
    <w:rsid w:val="13733928"/>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E002E6"/>
    <w:rsid w:val="14FC36BD"/>
    <w:rsid w:val="14FF5EA7"/>
    <w:rsid w:val="151E3A0F"/>
    <w:rsid w:val="15477903"/>
    <w:rsid w:val="1557566D"/>
    <w:rsid w:val="15811F1B"/>
    <w:rsid w:val="15A30135"/>
    <w:rsid w:val="15A34015"/>
    <w:rsid w:val="15BB487B"/>
    <w:rsid w:val="15CE086D"/>
    <w:rsid w:val="15E2236F"/>
    <w:rsid w:val="161D09ED"/>
    <w:rsid w:val="162323A3"/>
    <w:rsid w:val="162F30B1"/>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C227C0"/>
    <w:rsid w:val="17EE5BFF"/>
    <w:rsid w:val="18097740"/>
    <w:rsid w:val="185D3C42"/>
    <w:rsid w:val="185F38AF"/>
    <w:rsid w:val="18AD1BEB"/>
    <w:rsid w:val="18B3004A"/>
    <w:rsid w:val="18B96080"/>
    <w:rsid w:val="18F67868"/>
    <w:rsid w:val="190B2D88"/>
    <w:rsid w:val="190E6B63"/>
    <w:rsid w:val="19123928"/>
    <w:rsid w:val="19194264"/>
    <w:rsid w:val="19420786"/>
    <w:rsid w:val="19427EC0"/>
    <w:rsid w:val="195711D7"/>
    <w:rsid w:val="195D2A3F"/>
    <w:rsid w:val="198310E9"/>
    <w:rsid w:val="198D747A"/>
    <w:rsid w:val="19A15638"/>
    <w:rsid w:val="1A125525"/>
    <w:rsid w:val="1A5F4342"/>
    <w:rsid w:val="1A616E2C"/>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D402EC"/>
    <w:rsid w:val="1CED16EF"/>
    <w:rsid w:val="1CF02333"/>
    <w:rsid w:val="1D0C33A2"/>
    <w:rsid w:val="1D113E6E"/>
    <w:rsid w:val="1D114E5E"/>
    <w:rsid w:val="1D1F0050"/>
    <w:rsid w:val="1D2222DC"/>
    <w:rsid w:val="1D5B3CDE"/>
    <w:rsid w:val="1D6E2950"/>
    <w:rsid w:val="1D98209B"/>
    <w:rsid w:val="1DA23746"/>
    <w:rsid w:val="1DAA14B9"/>
    <w:rsid w:val="1DD04513"/>
    <w:rsid w:val="1E0345E3"/>
    <w:rsid w:val="1E656063"/>
    <w:rsid w:val="1E6B06A5"/>
    <w:rsid w:val="1E7F7D9E"/>
    <w:rsid w:val="1E840DA4"/>
    <w:rsid w:val="1EA5444C"/>
    <w:rsid w:val="1EB350EF"/>
    <w:rsid w:val="1EC21749"/>
    <w:rsid w:val="1EEB7C4E"/>
    <w:rsid w:val="1F072441"/>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10F579E"/>
    <w:rsid w:val="212550B5"/>
    <w:rsid w:val="21592B62"/>
    <w:rsid w:val="21747CD2"/>
    <w:rsid w:val="219263AA"/>
    <w:rsid w:val="219E5782"/>
    <w:rsid w:val="21AC5A21"/>
    <w:rsid w:val="21E72B0B"/>
    <w:rsid w:val="221F2D96"/>
    <w:rsid w:val="22246DB1"/>
    <w:rsid w:val="22440067"/>
    <w:rsid w:val="225A6017"/>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5045F70"/>
    <w:rsid w:val="250474F1"/>
    <w:rsid w:val="25056E93"/>
    <w:rsid w:val="25092EBA"/>
    <w:rsid w:val="25241020"/>
    <w:rsid w:val="257572C3"/>
    <w:rsid w:val="25790E85"/>
    <w:rsid w:val="25972C60"/>
    <w:rsid w:val="259D1676"/>
    <w:rsid w:val="25A353EB"/>
    <w:rsid w:val="25B87B65"/>
    <w:rsid w:val="25CB78C3"/>
    <w:rsid w:val="25D54390"/>
    <w:rsid w:val="261879A7"/>
    <w:rsid w:val="261A071C"/>
    <w:rsid w:val="264B0BA4"/>
    <w:rsid w:val="268C5256"/>
    <w:rsid w:val="268E455B"/>
    <w:rsid w:val="26912B30"/>
    <w:rsid w:val="269772F0"/>
    <w:rsid w:val="26A30712"/>
    <w:rsid w:val="26AC0C27"/>
    <w:rsid w:val="26C807A6"/>
    <w:rsid w:val="26DB67BA"/>
    <w:rsid w:val="26E311CD"/>
    <w:rsid w:val="26EF24ED"/>
    <w:rsid w:val="26F1408A"/>
    <w:rsid w:val="26F96584"/>
    <w:rsid w:val="27015370"/>
    <w:rsid w:val="270B421F"/>
    <w:rsid w:val="274E2228"/>
    <w:rsid w:val="27517A93"/>
    <w:rsid w:val="275E53AF"/>
    <w:rsid w:val="276658E8"/>
    <w:rsid w:val="277E30D2"/>
    <w:rsid w:val="27803F2A"/>
    <w:rsid w:val="27A34941"/>
    <w:rsid w:val="27EE3A7B"/>
    <w:rsid w:val="283C23DF"/>
    <w:rsid w:val="283D69F1"/>
    <w:rsid w:val="284C16F5"/>
    <w:rsid w:val="28570AB5"/>
    <w:rsid w:val="28C2534B"/>
    <w:rsid w:val="28C5525A"/>
    <w:rsid w:val="28D14B96"/>
    <w:rsid w:val="29020C46"/>
    <w:rsid w:val="290240C7"/>
    <w:rsid w:val="29274EE0"/>
    <w:rsid w:val="2969197F"/>
    <w:rsid w:val="29746E87"/>
    <w:rsid w:val="297C03C2"/>
    <w:rsid w:val="299573AB"/>
    <w:rsid w:val="29BE5BD0"/>
    <w:rsid w:val="29C01572"/>
    <w:rsid w:val="29E74CE2"/>
    <w:rsid w:val="2A306A36"/>
    <w:rsid w:val="2A5372C6"/>
    <w:rsid w:val="2A5B03D8"/>
    <w:rsid w:val="2A6F6D07"/>
    <w:rsid w:val="2A882500"/>
    <w:rsid w:val="2AB63ABC"/>
    <w:rsid w:val="2B003D00"/>
    <w:rsid w:val="2B074D5E"/>
    <w:rsid w:val="2B100BA9"/>
    <w:rsid w:val="2B1B5825"/>
    <w:rsid w:val="2B1E3AFC"/>
    <w:rsid w:val="2B8D373E"/>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35174"/>
    <w:rsid w:val="2D9331F9"/>
    <w:rsid w:val="2DD90B7B"/>
    <w:rsid w:val="2DDD3FC1"/>
    <w:rsid w:val="2DF701D8"/>
    <w:rsid w:val="2DF970A1"/>
    <w:rsid w:val="2E085834"/>
    <w:rsid w:val="2E1034F8"/>
    <w:rsid w:val="2E443652"/>
    <w:rsid w:val="2E505773"/>
    <w:rsid w:val="2E742F70"/>
    <w:rsid w:val="2EDC2A13"/>
    <w:rsid w:val="2EFD7DB9"/>
    <w:rsid w:val="2F1A081D"/>
    <w:rsid w:val="2F1E3DC0"/>
    <w:rsid w:val="2F3112DE"/>
    <w:rsid w:val="2F3B6922"/>
    <w:rsid w:val="2F506C6D"/>
    <w:rsid w:val="2F51291F"/>
    <w:rsid w:val="2F55758A"/>
    <w:rsid w:val="2F7F15AE"/>
    <w:rsid w:val="2FA54796"/>
    <w:rsid w:val="2FA674E2"/>
    <w:rsid w:val="2FFE7D49"/>
    <w:rsid w:val="3002294D"/>
    <w:rsid w:val="3011153D"/>
    <w:rsid w:val="30142680"/>
    <w:rsid w:val="302A5C42"/>
    <w:rsid w:val="30B8125D"/>
    <w:rsid w:val="30BF439A"/>
    <w:rsid w:val="30CF6A37"/>
    <w:rsid w:val="30D250CF"/>
    <w:rsid w:val="31002970"/>
    <w:rsid w:val="311016AD"/>
    <w:rsid w:val="3136622A"/>
    <w:rsid w:val="3139422E"/>
    <w:rsid w:val="31496359"/>
    <w:rsid w:val="31700E4B"/>
    <w:rsid w:val="3172683C"/>
    <w:rsid w:val="31A359FC"/>
    <w:rsid w:val="31AD0D61"/>
    <w:rsid w:val="31CD73BD"/>
    <w:rsid w:val="31D66571"/>
    <w:rsid w:val="31DB4220"/>
    <w:rsid w:val="31DC56CD"/>
    <w:rsid w:val="31E63B94"/>
    <w:rsid w:val="31F27AF7"/>
    <w:rsid w:val="32176602"/>
    <w:rsid w:val="322A7699"/>
    <w:rsid w:val="322B25C6"/>
    <w:rsid w:val="32422E70"/>
    <w:rsid w:val="325E56C6"/>
    <w:rsid w:val="3275698A"/>
    <w:rsid w:val="32B943EC"/>
    <w:rsid w:val="32DC63A0"/>
    <w:rsid w:val="32E429C1"/>
    <w:rsid w:val="330503EE"/>
    <w:rsid w:val="334A3B2A"/>
    <w:rsid w:val="3365592E"/>
    <w:rsid w:val="336A31F3"/>
    <w:rsid w:val="336F6533"/>
    <w:rsid w:val="337E5E2F"/>
    <w:rsid w:val="3384610D"/>
    <w:rsid w:val="33AA5979"/>
    <w:rsid w:val="33AF0C0B"/>
    <w:rsid w:val="33C03E90"/>
    <w:rsid w:val="33C96649"/>
    <w:rsid w:val="33CC3D88"/>
    <w:rsid w:val="33DD0306"/>
    <w:rsid w:val="33FD722F"/>
    <w:rsid w:val="3400362D"/>
    <w:rsid w:val="340B09C5"/>
    <w:rsid w:val="341E4CAB"/>
    <w:rsid w:val="34584EE2"/>
    <w:rsid w:val="347D373F"/>
    <w:rsid w:val="348002E4"/>
    <w:rsid w:val="34956481"/>
    <w:rsid w:val="34A35871"/>
    <w:rsid w:val="34C06C9D"/>
    <w:rsid w:val="34DF24AE"/>
    <w:rsid w:val="351C4931"/>
    <w:rsid w:val="351C4EAC"/>
    <w:rsid w:val="351D4C26"/>
    <w:rsid w:val="352E7D40"/>
    <w:rsid w:val="35361A77"/>
    <w:rsid w:val="35461A22"/>
    <w:rsid w:val="35483CC9"/>
    <w:rsid w:val="35A815CB"/>
    <w:rsid w:val="35AA1B9C"/>
    <w:rsid w:val="35DB09A6"/>
    <w:rsid w:val="3609472F"/>
    <w:rsid w:val="369B4CF0"/>
    <w:rsid w:val="36D62629"/>
    <w:rsid w:val="36D76172"/>
    <w:rsid w:val="36E833BB"/>
    <w:rsid w:val="36EB1E1B"/>
    <w:rsid w:val="36F17F0D"/>
    <w:rsid w:val="3735197D"/>
    <w:rsid w:val="373756A2"/>
    <w:rsid w:val="37564896"/>
    <w:rsid w:val="375E0DA6"/>
    <w:rsid w:val="378B61A6"/>
    <w:rsid w:val="37B90F0B"/>
    <w:rsid w:val="37CD3F98"/>
    <w:rsid w:val="37DF75BA"/>
    <w:rsid w:val="37E148E2"/>
    <w:rsid w:val="37F848EE"/>
    <w:rsid w:val="38056AE5"/>
    <w:rsid w:val="38304889"/>
    <w:rsid w:val="38382675"/>
    <w:rsid w:val="383B7B0D"/>
    <w:rsid w:val="3851700B"/>
    <w:rsid w:val="385246B6"/>
    <w:rsid w:val="38805E07"/>
    <w:rsid w:val="38A53DB7"/>
    <w:rsid w:val="38BF3388"/>
    <w:rsid w:val="38CC268D"/>
    <w:rsid w:val="38DF1FDA"/>
    <w:rsid w:val="38EC2960"/>
    <w:rsid w:val="392536E2"/>
    <w:rsid w:val="39465F15"/>
    <w:rsid w:val="396453C5"/>
    <w:rsid w:val="39922CCF"/>
    <w:rsid w:val="39A65327"/>
    <w:rsid w:val="39A65C9B"/>
    <w:rsid w:val="39BC5ED6"/>
    <w:rsid w:val="39EB39E0"/>
    <w:rsid w:val="39EF02D4"/>
    <w:rsid w:val="3A11342A"/>
    <w:rsid w:val="3A153110"/>
    <w:rsid w:val="3A2507C0"/>
    <w:rsid w:val="3A393FA7"/>
    <w:rsid w:val="3A3A5A22"/>
    <w:rsid w:val="3A524858"/>
    <w:rsid w:val="3A64203E"/>
    <w:rsid w:val="3A663D00"/>
    <w:rsid w:val="3A7428D0"/>
    <w:rsid w:val="3A923AE4"/>
    <w:rsid w:val="3AA50E25"/>
    <w:rsid w:val="3AC566E3"/>
    <w:rsid w:val="3AD6747A"/>
    <w:rsid w:val="3B312338"/>
    <w:rsid w:val="3B3D0FF2"/>
    <w:rsid w:val="3B521A18"/>
    <w:rsid w:val="3B923660"/>
    <w:rsid w:val="3BCA44BE"/>
    <w:rsid w:val="3C061F3A"/>
    <w:rsid w:val="3C495480"/>
    <w:rsid w:val="3C6F0167"/>
    <w:rsid w:val="3C71667B"/>
    <w:rsid w:val="3C914F3B"/>
    <w:rsid w:val="3CC17F13"/>
    <w:rsid w:val="3CE320A3"/>
    <w:rsid w:val="3CE9196C"/>
    <w:rsid w:val="3CF15105"/>
    <w:rsid w:val="3D0C04B9"/>
    <w:rsid w:val="3D1414C5"/>
    <w:rsid w:val="3D1C763E"/>
    <w:rsid w:val="3D201AA5"/>
    <w:rsid w:val="3D2B37EA"/>
    <w:rsid w:val="3D2F7FF3"/>
    <w:rsid w:val="3D3D1507"/>
    <w:rsid w:val="3D62085B"/>
    <w:rsid w:val="3D7B4622"/>
    <w:rsid w:val="3D942E29"/>
    <w:rsid w:val="3DA53531"/>
    <w:rsid w:val="3DB54E0C"/>
    <w:rsid w:val="3DB900C1"/>
    <w:rsid w:val="3DE91725"/>
    <w:rsid w:val="3DF159B1"/>
    <w:rsid w:val="3E1A106E"/>
    <w:rsid w:val="3E36303B"/>
    <w:rsid w:val="3E526044"/>
    <w:rsid w:val="3E6C2B3A"/>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F2DE9"/>
    <w:rsid w:val="40991379"/>
    <w:rsid w:val="409B3C3D"/>
    <w:rsid w:val="40F701DF"/>
    <w:rsid w:val="40FD480A"/>
    <w:rsid w:val="412A32F8"/>
    <w:rsid w:val="417F433E"/>
    <w:rsid w:val="41B7239D"/>
    <w:rsid w:val="41FF3845"/>
    <w:rsid w:val="421104A9"/>
    <w:rsid w:val="42143B88"/>
    <w:rsid w:val="42164586"/>
    <w:rsid w:val="425B5DD1"/>
    <w:rsid w:val="4260300C"/>
    <w:rsid w:val="427C799E"/>
    <w:rsid w:val="42800B9B"/>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D7F58"/>
    <w:rsid w:val="43D43ECA"/>
    <w:rsid w:val="43DD452F"/>
    <w:rsid w:val="43DE6CD4"/>
    <w:rsid w:val="43E51150"/>
    <w:rsid w:val="43EF28BB"/>
    <w:rsid w:val="43EF56D3"/>
    <w:rsid w:val="44095C00"/>
    <w:rsid w:val="440A6FD2"/>
    <w:rsid w:val="444946CA"/>
    <w:rsid w:val="444B3F54"/>
    <w:rsid w:val="4476661F"/>
    <w:rsid w:val="447E3AC5"/>
    <w:rsid w:val="448E5DEE"/>
    <w:rsid w:val="44A90BAA"/>
    <w:rsid w:val="44B24A20"/>
    <w:rsid w:val="44BC0BEE"/>
    <w:rsid w:val="44C55A88"/>
    <w:rsid w:val="44F719CF"/>
    <w:rsid w:val="44FB1C9C"/>
    <w:rsid w:val="454F1836"/>
    <w:rsid w:val="45887B45"/>
    <w:rsid w:val="458B66DF"/>
    <w:rsid w:val="45940F0E"/>
    <w:rsid w:val="45AC5DBA"/>
    <w:rsid w:val="45C647AF"/>
    <w:rsid w:val="45DD529D"/>
    <w:rsid w:val="45E57886"/>
    <w:rsid w:val="46003076"/>
    <w:rsid w:val="46026F63"/>
    <w:rsid w:val="46177E29"/>
    <w:rsid w:val="46205B7F"/>
    <w:rsid w:val="465D501C"/>
    <w:rsid w:val="466367DB"/>
    <w:rsid w:val="46686D18"/>
    <w:rsid w:val="46C3037C"/>
    <w:rsid w:val="46FF15E0"/>
    <w:rsid w:val="4700581C"/>
    <w:rsid w:val="4702516A"/>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7A4350"/>
    <w:rsid w:val="4A7E2497"/>
    <w:rsid w:val="4A896826"/>
    <w:rsid w:val="4ABF5E17"/>
    <w:rsid w:val="4AE01A66"/>
    <w:rsid w:val="4AE104D6"/>
    <w:rsid w:val="4AED707B"/>
    <w:rsid w:val="4B015D61"/>
    <w:rsid w:val="4B0B7979"/>
    <w:rsid w:val="4B520DF4"/>
    <w:rsid w:val="4B603107"/>
    <w:rsid w:val="4B9802B0"/>
    <w:rsid w:val="4B9E65BE"/>
    <w:rsid w:val="4B9F33A8"/>
    <w:rsid w:val="4BA80AFD"/>
    <w:rsid w:val="4BB033BA"/>
    <w:rsid w:val="4BB469AD"/>
    <w:rsid w:val="4BC06040"/>
    <w:rsid w:val="4BF441D2"/>
    <w:rsid w:val="4C1C2A09"/>
    <w:rsid w:val="4C694192"/>
    <w:rsid w:val="4C7964D9"/>
    <w:rsid w:val="4C9269F6"/>
    <w:rsid w:val="4CC84335"/>
    <w:rsid w:val="4CE9350A"/>
    <w:rsid w:val="4D297BF3"/>
    <w:rsid w:val="4D2D0EAF"/>
    <w:rsid w:val="4D7F0082"/>
    <w:rsid w:val="4D952FD9"/>
    <w:rsid w:val="4D970662"/>
    <w:rsid w:val="4DB33393"/>
    <w:rsid w:val="4DCF1E0D"/>
    <w:rsid w:val="4DD632D9"/>
    <w:rsid w:val="4DE05D9E"/>
    <w:rsid w:val="4DE05DF9"/>
    <w:rsid w:val="4DE44800"/>
    <w:rsid w:val="4DEE0709"/>
    <w:rsid w:val="4DFC14EA"/>
    <w:rsid w:val="4DFF6815"/>
    <w:rsid w:val="4E0A3427"/>
    <w:rsid w:val="4E304B5D"/>
    <w:rsid w:val="4E611B8B"/>
    <w:rsid w:val="4E682F8C"/>
    <w:rsid w:val="4E6A7BB7"/>
    <w:rsid w:val="4F0773B4"/>
    <w:rsid w:val="4F307BB1"/>
    <w:rsid w:val="4F3D562D"/>
    <w:rsid w:val="4F5C4EE0"/>
    <w:rsid w:val="4F6E1972"/>
    <w:rsid w:val="4F943166"/>
    <w:rsid w:val="4FBA02A1"/>
    <w:rsid w:val="4FE7106E"/>
    <w:rsid w:val="50053943"/>
    <w:rsid w:val="50374A3C"/>
    <w:rsid w:val="50550E55"/>
    <w:rsid w:val="509F43E4"/>
    <w:rsid w:val="50A54D3E"/>
    <w:rsid w:val="50F1402B"/>
    <w:rsid w:val="50FD2AD9"/>
    <w:rsid w:val="51097D9A"/>
    <w:rsid w:val="51237D2E"/>
    <w:rsid w:val="515B06D0"/>
    <w:rsid w:val="51996737"/>
    <w:rsid w:val="51B408B8"/>
    <w:rsid w:val="51CC0868"/>
    <w:rsid w:val="51D5340F"/>
    <w:rsid w:val="52382F2A"/>
    <w:rsid w:val="52386E3D"/>
    <w:rsid w:val="523A7DD1"/>
    <w:rsid w:val="523B7711"/>
    <w:rsid w:val="5271774C"/>
    <w:rsid w:val="52DE008D"/>
    <w:rsid w:val="52EE341E"/>
    <w:rsid w:val="52F37FE6"/>
    <w:rsid w:val="52FC1CA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5E1D01"/>
    <w:rsid w:val="54935B8F"/>
    <w:rsid w:val="54CC6227"/>
    <w:rsid w:val="54D10F9B"/>
    <w:rsid w:val="54D97871"/>
    <w:rsid w:val="551D586C"/>
    <w:rsid w:val="55200298"/>
    <w:rsid w:val="55335E1B"/>
    <w:rsid w:val="554B7EF0"/>
    <w:rsid w:val="556F3D99"/>
    <w:rsid w:val="55860894"/>
    <w:rsid w:val="558F6181"/>
    <w:rsid w:val="55B02DF1"/>
    <w:rsid w:val="55DC290C"/>
    <w:rsid w:val="55F01FA1"/>
    <w:rsid w:val="56130B60"/>
    <w:rsid w:val="56990B7C"/>
    <w:rsid w:val="569E1126"/>
    <w:rsid w:val="56B80DEB"/>
    <w:rsid w:val="56E0560F"/>
    <w:rsid w:val="56E06E61"/>
    <w:rsid w:val="56F653FE"/>
    <w:rsid w:val="575B7AFD"/>
    <w:rsid w:val="57660D3F"/>
    <w:rsid w:val="57D1153D"/>
    <w:rsid w:val="57FA3774"/>
    <w:rsid w:val="58084A3C"/>
    <w:rsid w:val="582772A7"/>
    <w:rsid w:val="58531B77"/>
    <w:rsid w:val="585D2975"/>
    <w:rsid w:val="585F64F9"/>
    <w:rsid w:val="587E3341"/>
    <w:rsid w:val="58CF56D8"/>
    <w:rsid w:val="58D31010"/>
    <w:rsid w:val="58D6741E"/>
    <w:rsid w:val="58E62E0E"/>
    <w:rsid w:val="58EA3D0E"/>
    <w:rsid w:val="58F71269"/>
    <w:rsid w:val="58FE045E"/>
    <w:rsid w:val="59561946"/>
    <w:rsid w:val="59670F51"/>
    <w:rsid w:val="596A44F9"/>
    <w:rsid w:val="596C19BB"/>
    <w:rsid w:val="59790BDB"/>
    <w:rsid w:val="597E3F42"/>
    <w:rsid w:val="598653AC"/>
    <w:rsid w:val="59AC3C86"/>
    <w:rsid w:val="59D42FDA"/>
    <w:rsid w:val="59DA4E01"/>
    <w:rsid w:val="59F64E82"/>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835E40"/>
    <w:rsid w:val="5B9A2B59"/>
    <w:rsid w:val="5BC0085A"/>
    <w:rsid w:val="5BF03D58"/>
    <w:rsid w:val="5BF20AFB"/>
    <w:rsid w:val="5C1A6BB2"/>
    <w:rsid w:val="5C5355FE"/>
    <w:rsid w:val="5C6F4105"/>
    <w:rsid w:val="5CBB7F6F"/>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3021B3"/>
    <w:rsid w:val="613253FD"/>
    <w:rsid w:val="613F36DB"/>
    <w:rsid w:val="61421F29"/>
    <w:rsid w:val="61712185"/>
    <w:rsid w:val="618B7207"/>
    <w:rsid w:val="61A90D68"/>
    <w:rsid w:val="61D2381C"/>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EE4692"/>
    <w:rsid w:val="63FD622D"/>
    <w:rsid w:val="643F32F9"/>
    <w:rsid w:val="64582686"/>
    <w:rsid w:val="645A6977"/>
    <w:rsid w:val="64673C87"/>
    <w:rsid w:val="64A251DD"/>
    <w:rsid w:val="650242F0"/>
    <w:rsid w:val="653F447E"/>
    <w:rsid w:val="65542778"/>
    <w:rsid w:val="655829AF"/>
    <w:rsid w:val="656B70C3"/>
    <w:rsid w:val="658F4798"/>
    <w:rsid w:val="659B1EBA"/>
    <w:rsid w:val="65B461E9"/>
    <w:rsid w:val="65BE39A8"/>
    <w:rsid w:val="65FB3FBE"/>
    <w:rsid w:val="66247D11"/>
    <w:rsid w:val="66736112"/>
    <w:rsid w:val="667F5B5B"/>
    <w:rsid w:val="6694262A"/>
    <w:rsid w:val="66990381"/>
    <w:rsid w:val="66B31B01"/>
    <w:rsid w:val="66CE1E80"/>
    <w:rsid w:val="66E362F9"/>
    <w:rsid w:val="66E47FD9"/>
    <w:rsid w:val="67071922"/>
    <w:rsid w:val="673B73C0"/>
    <w:rsid w:val="674743C8"/>
    <w:rsid w:val="675608B6"/>
    <w:rsid w:val="67754402"/>
    <w:rsid w:val="677D54ED"/>
    <w:rsid w:val="67B25E27"/>
    <w:rsid w:val="67B4646D"/>
    <w:rsid w:val="67C4383B"/>
    <w:rsid w:val="67D35E1A"/>
    <w:rsid w:val="67F35317"/>
    <w:rsid w:val="680201B7"/>
    <w:rsid w:val="68362BFB"/>
    <w:rsid w:val="683F1130"/>
    <w:rsid w:val="684456A1"/>
    <w:rsid w:val="685E1363"/>
    <w:rsid w:val="687731D1"/>
    <w:rsid w:val="6878475E"/>
    <w:rsid w:val="688E1089"/>
    <w:rsid w:val="68A026F3"/>
    <w:rsid w:val="68AF6C13"/>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847AD7"/>
    <w:rsid w:val="6B9A2DF9"/>
    <w:rsid w:val="6BAC4619"/>
    <w:rsid w:val="6BCD2823"/>
    <w:rsid w:val="6BDD15DD"/>
    <w:rsid w:val="6BDF2966"/>
    <w:rsid w:val="6BE86A5F"/>
    <w:rsid w:val="6C234DED"/>
    <w:rsid w:val="6C29198B"/>
    <w:rsid w:val="6C3A67D1"/>
    <w:rsid w:val="6C3D2D5C"/>
    <w:rsid w:val="6C4800AA"/>
    <w:rsid w:val="6C4D28F8"/>
    <w:rsid w:val="6C573E9C"/>
    <w:rsid w:val="6C5C23DC"/>
    <w:rsid w:val="6C6D1126"/>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52ACD"/>
    <w:rsid w:val="6DFC0B44"/>
    <w:rsid w:val="6E0458E7"/>
    <w:rsid w:val="6E212037"/>
    <w:rsid w:val="6E3B221B"/>
    <w:rsid w:val="6E475779"/>
    <w:rsid w:val="6E7764EF"/>
    <w:rsid w:val="6EAD447C"/>
    <w:rsid w:val="6EAE5472"/>
    <w:rsid w:val="6ECD7F59"/>
    <w:rsid w:val="6EED7C80"/>
    <w:rsid w:val="6EF773A4"/>
    <w:rsid w:val="6F2F2D9E"/>
    <w:rsid w:val="6F4147D9"/>
    <w:rsid w:val="6F5C35EA"/>
    <w:rsid w:val="6F6B6A15"/>
    <w:rsid w:val="6F947E4B"/>
    <w:rsid w:val="6FA30BDA"/>
    <w:rsid w:val="6FB21D4C"/>
    <w:rsid w:val="6FB80698"/>
    <w:rsid w:val="701021F4"/>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D7197"/>
    <w:rsid w:val="72AF6F7E"/>
    <w:rsid w:val="72CD226C"/>
    <w:rsid w:val="73047904"/>
    <w:rsid w:val="734C1A6A"/>
    <w:rsid w:val="735C5949"/>
    <w:rsid w:val="73737DA5"/>
    <w:rsid w:val="73740A39"/>
    <w:rsid w:val="73887B3E"/>
    <w:rsid w:val="73892412"/>
    <w:rsid w:val="73AF2114"/>
    <w:rsid w:val="73E96BCA"/>
    <w:rsid w:val="73EE4A6E"/>
    <w:rsid w:val="741048BC"/>
    <w:rsid w:val="742E78D4"/>
    <w:rsid w:val="74317498"/>
    <w:rsid w:val="74335A84"/>
    <w:rsid w:val="74676A28"/>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F09AA"/>
    <w:rsid w:val="764F3FCC"/>
    <w:rsid w:val="7650339F"/>
    <w:rsid w:val="76603C9A"/>
    <w:rsid w:val="76BB1CAB"/>
    <w:rsid w:val="76C04050"/>
    <w:rsid w:val="76E65049"/>
    <w:rsid w:val="77076007"/>
    <w:rsid w:val="77413F7E"/>
    <w:rsid w:val="7758241F"/>
    <w:rsid w:val="777A7D22"/>
    <w:rsid w:val="77835654"/>
    <w:rsid w:val="7797109C"/>
    <w:rsid w:val="779A2A38"/>
    <w:rsid w:val="77B4450A"/>
    <w:rsid w:val="77B46E73"/>
    <w:rsid w:val="77E37A12"/>
    <w:rsid w:val="77FE3468"/>
    <w:rsid w:val="78250553"/>
    <w:rsid w:val="78546F0C"/>
    <w:rsid w:val="78EE1C79"/>
    <w:rsid w:val="78FA66FA"/>
    <w:rsid w:val="79424F6E"/>
    <w:rsid w:val="797239CC"/>
    <w:rsid w:val="79831473"/>
    <w:rsid w:val="7999527A"/>
    <w:rsid w:val="79AF76C5"/>
    <w:rsid w:val="79C25EE1"/>
    <w:rsid w:val="79CE2967"/>
    <w:rsid w:val="79EA664C"/>
    <w:rsid w:val="79F9627A"/>
    <w:rsid w:val="7A2F3BBF"/>
    <w:rsid w:val="7A2F459A"/>
    <w:rsid w:val="7A517022"/>
    <w:rsid w:val="7A6F5001"/>
    <w:rsid w:val="7AA2343E"/>
    <w:rsid w:val="7ADA73A4"/>
    <w:rsid w:val="7AE66B99"/>
    <w:rsid w:val="7B0A3BCA"/>
    <w:rsid w:val="7B345AA9"/>
    <w:rsid w:val="7B4048C1"/>
    <w:rsid w:val="7B73082F"/>
    <w:rsid w:val="7BC62E00"/>
    <w:rsid w:val="7BE35E2A"/>
    <w:rsid w:val="7BF66C24"/>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777A3E"/>
    <w:rsid w:val="7D9005BC"/>
    <w:rsid w:val="7D9F0AD0"/>
    <w:rsid w:val="7DD12BB7"/>
    <w:rsid w:val="7DFF0955"/>
    <w:rsid w:val="7E0B750E"/>
    <w:rsid w:val="7E1939E8"/>
    <w:rsid w:val="7E2822EA"/>
    <w:rsid w:val="7E355A7B"/>
    <w:rsid w:val="7E6E3E85"/>
    <w:rsid w:val="7E9C184B"/>
    <w:rsid w:val="7EA72948"/>
    <w:rsid w:val="7EB31EDB"/>
    <w:rsid w:val="7EE70CC0"/>
    <w:rsid w:val="7EEB48DB"/>
    <w:rsid w:val="7EF2744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4"/>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2"/>
    <w:link w:val="72"/>
    <w:qFormat/>
    <w:uiPriority w:val="0"/>
  </w:style>
  <w:style w:type="paragraph" w:customStyle="1" w:styleId="12">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Body Text Indent"/>
    <w:basedOn w:val="1"/>
    <w:next w:val="14"/>
    <w:qFormat/>
    <w:uiPriority w:val="0"/>
    <w:pPr>
      <w:widowControl/>
      <w:spacing w:beforeAutospacing="1" w:afterAutospacing="1"/>
      <w:jc w:val="left"/>
    </w:pPr>
    <w:rPr>
      <w:rFonts w:ascii="宋体" w:hAnsi="宋体" w:cs="宋体"/>
      <w:kern w:val="0"/>
      <w:sz w:val="24"/>
    </w:rPr>
  </w:style>
  <w:style w:type="paragraph" w:styleId="14">
    <w:name w:val="envelope return"/>
    <w:basedOn w:val="1"/>
    <w:unhideWhenUsed/>
    <w:qFormat/>
    <w:uiPriority w:val="99"/>
    <w:pPr>
      <w:snapToGrid w:val="0"/>
    </w:pPr>
    <w:rPr>
      <w:rFonts w:ascii="Arial" w:hAnsi="Arial"/>
    </w:rPr>
  </w:style>
  <w:style w:type="paragraph" w:styleId="15">
    <w:name w:val="List 2"/>
    <w:basedOn w:val="1"/>
    <w:qFormat/>
    <w:uiPriority w:val="0"/>
    <w:pPr>
      <w:ind w:left="100" w:leftChars="200" w:hanging="200" w:hangingChars="200"/>
    </w:pPr>
  </w:style>
  <w:style w:type="paragraph" w:styleId="16">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qFormat/>
    <w:uiPriority w:val="0"/>
    <w:pPr>
      <w:tabs>
        <w:tab w:val="left" w:pos="709"/>
        <w:tab w:val="right" w:leader="dot" w:pos="8789"/>
      </w:tabs>
      <w:spacing w:line="400" w:lineRule="atLeast"/>
    </w:pPr>
    <w:rPr>
      <w:rFonts w:ascii="宋体"/>
      <w:kern w:val="0"/>
      <w:szCs w:val="20"/>
    </w:rPr>
  </w:style>
  <w:style w:type="paragraph" w:styleId="18">
    <w:name w:val="Plain Text"/>
    <w:basedOn w:val="1"/>
    <w:qFormat/>
    <w:uiPriority w:val="0"/>
    <w:pPr>
      <w:widowControl/>
      <w:spacing w:beforeAutospacing="1" w:afterAutospacing="1"/>
      <w:jc w:val="left"/>
    </w:pPr>
    <w:rPr>
      <w:rFonts w:ascii="宋体" w:hAnsi="宋体" w:cs="宋体"/>
      <w:kern w:val="0"/>
      <w:sz w:val="24"/>
    </w:rPr>
  </w:style>
  <w:style w:type="paragraph" w:styleId="19">
    <w:name w:val="Date"/>
    <w:basedOn w:val="1"/>
    <w:next w:val="1"/>
    <w:qFormat/>
    <w:uiPriority w:val="0"/>
    <w:pPr>
      <w:ind w:left="100" w:leftChars="2500"/>
    </w:pPr>
    <w:rPr>
      <w:rFonts w:ascii="宋体" w:hAnsi="宋体"/>
      <w:sz w:val="28"/>
    </w:rPr>
  </w:style>
  <w:style w:type="paragraph" w:styleId="20">
    <w:name w:val="Body Text Indent 2"/>
    <w:basedOn w:val="1"/>
    <w:qFormat/>
    <w:uiPriority w:val="0"/>
    <w:pPr>
      <w:spacing w:line="480" w:lineRule="auto"/>
      <w:ind w:left="420" w:leftChars="200"/>
    </w:p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Body Text 2"/>
    <w:basedOn w:val="1"/>
    <w:next w:val="11"/>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11"/>
    <w:next w:val="1"/>
    <w:qFormat/>
    <w:uiPriority w:val="0"/>
    <w:pPr>
      <w:spacing w:line="360" w:lineRule="auto"/>
      <w:ind w:firstLine="420" w:firstLineChars="100"/>
    </w:pPr>
    <w:rPr>
      <w:szCs w:val="21"/>
    </w:rPr>
  </w:style>
  <w:style w:type="paragraph" w:styleId="31">
    <w:name w:val="Body Text First Indent 2"/>
    <w:basedOn w:val="13"/>
    <w:next w:val="32"/>
    <w:qFormat/>
    <w:uiPriority w:val="0"/>
    <w:pPr>
      <w:ind w:firstLine="420" w:firstLineChars="200"/>
    </w:pPr>
  </w:style>
  <w:style w:type="paragraph" w:customStyle="1" w:styleId="32">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34">
    <w:name w:val="Table Grid"/>
    <w:basedOn w:val="3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bCs/>
      <w:szCs w:val="24"/>
    </w:rPr>
  </w:style>
  <w:style w:type="character" w:styleId="37">
    <w:name w:val="page number"/>
    <w:basedOn w:val="35"/>
    <w:qFormat/>
    <w:uiPriority w:val="0"/>
  </w:style>
  <w:style w:type="character" w:styleId="38">
    <w:name w:val="FollowedHyperlink"/>
    <w:qFormat/>
    <w:uiPriority w:val="0"/>
    <w:rPr>
      <w:color w:val="333333"/>
      <w:szCs w:val="24"/>
      <w:u w:val="none"/>
    </w:rPr>
  </w:style>
  <w:style w:type="character" w:styleId="39">
    <w:name w:val="Emphasis"/>
    <w:basedOn w:val="35"/>
    <w:qFormat/>
    <w:uiPriority w:val="0"/>
  </w:style>
  <w:style w:type="character" w:styleId="40">
    <w:name w:val="HTML Definition"/>
    <w:basedOn w:val="35"/>
    <w:qFormat/>
    <w:uiPriority w:val="0"/>
  </w:style>
  <w:style w:type="character" w:styleId="41">
    <w:name w:val="HTML Typewriter"/>
    <w:basedOn w:val="35"/>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basedOn w:val="35"/>
    <w:qFormat/>
    <w:uiPriority w:val="0"/>
  </w:style>
  <w:style w:type="character" w:styleId="44">
    <w:name w:val="Hyperlink"/>
    <w:basedOn w:val="35"/>
    <w:qFormat/>
    <w:uiPriority w:val="0"/>
    <w:rPr>
      <w:color w:val="333333"/>
      <w:szCs w:val="24"/>
      <w:u w:val="none"/>
    </w:rPr>
  </w:style>
  <w:style w:type="character" w:styleId="45">
    <w:name w:val="HTML Code"/>
    <w:basedOn w:val="35"/>
    <w:qFormat/>
    <w:uiPriority w:val="0"/>
    <w:rPr>
      <w:rFonts w:ascii="monospace" w:hAnsi="monospace" w:eastAsia="monospace" w:cs="monospace"/>
      <w:sz w:val="20"/>
    </w:rPr>
  </w:style>
  <w:style w:type="character" w:styleId="46">
    <w:name w:val="HTML Cite"/>
    <w:basedOn w:val="35"/>
    <w:qFormat/>
    <w:uiPriority w:val="0"/>
  </w:style>
  <w:style w:type="character" w:styleId="47">
    <w:name w:val="HTML Keyboard"/>
    <w:basedOn w:val="35"/>
    <w:qFormat/>
    <w:uiPriority w:val="0"/>
    <w:rPr>
      <w:rFonts w:hint="default" w:ascii="monospace" w:hAnsi="monospace" w:eastAsia="monospace" w:cs="monospace"/>
      <w:sz w:val="20"/>
    </w:rPr>
  </w:style>
  <w:style w:type="character" w:styleId="48">
    <w:name w:val="HTML Sample"/>
    <w:basedOn w:val="35"/>
    <w:qFormat/>
    <w:uiPriority w:val="0"/>
    <w:rPr>
      <w:rFonts w:hint="default" w:ascii="monospace" w:hAnsi="monospace" w:eastAsia="monospace" w:cs="monospace"/>
    </w:rPr>
  </w:style>
  <w:style w:type="paragraph" w:customStyle="1" w:styleId="49">
    <w:name w:val="No Spacing1"/>
    <w:basedOn w:val="1"/>
    <w:qFormat/>
    <w:uiPriority w:val="0"/>
    <w:pPr>
      <w:spacing w:line="400" w:lineRule="exact"/>
    </w:pPr>
    <w:rPr>
      <w:sz w:val="24"/>
    </w:rPr>
  </w:style>
  <w:style w:type="paragraph" w:customStyle="1" w:styleId="50">
    <w:name w:val="大标题"/>
    <w:basedOn w:val="1"/>
    <w:next w:val="31"/>
    <w:qFormat/>
    <w:uiPriority w:val="0"/>
    <w:pPr>
      <w:jc w:val="center"/>
    </w:pPr>
    <w:rPr>
      <w:rFonts w:ascii="Arial" w:hAnsi="Arial"/>
      <w:b/>
      <w:sz w:val="28"/>
    </w:rPr>
  </w:style>
  <w:style w:type="paragraph" w:customStyle="1" w:styleId="51">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2">
    <w:name w:val="Char"/>
    <w:basedOn w:val="1"/>
    <w:qFormat/>
    <w:uiPriority w:val="0"/>
  </w:style>
  <w:style w:type="paragraph" w:customStyle="1" w:styleId="53">
    <w:name w:val="正文缩进1"/>
    <w:basedOn w:val="1"/>
    <w:qFormat/>
    <w:uiPriority w:val="0"/>
    <w:pPr>
      <w:widowControl/>
      <w:ind w:firstLine="420"/>
      <w:jc w:val="left"/>
    </w:pPr>
    <w:rPr>
      <w:kern w:val="0"/>
      <w:szCs w:val="20"/>
    </w:rPr>
  </w:style>
  <w:style w:type="paragraph" w:customStyle="1" w:styleId="54">
    <w:name w:val="列出段落2"/>
    <w:basedOn w:val="1"/>
    <w:qFormat/>
    <w:uiPriority w:val="34"/>
    <w:pPr>
      <w:ind w:firstLine="420" w:firstLineChars="200"/>
    </w:pPr>
  </w:style>
  <w:style w:type="paragraph" w:customStyle="1" w:styleId="55">
    <w:name w:val="plaintext"/>
    <w:basedOn w:val="1"/>
    <w:qFormat/>
    <w:uiPriority w:val="0"/>
    <w:pPr>
      <w:widowControl/>
      <w:spacing w:beforeAutospacing="1" w:afterAutospacing="1"/>
      <w:jc w:val="left"/>
    </w:pPr>
    <w:rPr>
      <w:rFonts w:ascii="宋体" w:hAnsi="宋体" w:cs="宋体"/>
      <w:kern w:val="0"/>
      <w:sz w:val="24"/>
    </w:rPr>
  </w:style>
  <w:style w:type="paragraph" w:customStyle="1" w:styleId="56">
    <w:name w:val="1"/>
    <w:basedOn w:val="1"/>
    <w:qFormat/>
    <w:uiPriority w:val="0"/>
    <w:pPr>
      <w:widowControl/>
      <w:spacing w:beforeAutospacing="1" w:afterAutospacing="1"/>
      <w:jc w:val="left"/>
    </w:pPr>
    <w:rPr>
      <w:rFonts w:ascii="宋体" w:hAnsi="宋体" w:cs="宋体"/>
      <w:kern w:val="0"/>
      <w:sz w:val="24"/>
    </w:rPr>
  </w:style>
  <w:style w:type="paragraph" w:styleId="57">
    <w:name w:val="No Spacing"/>
    <w:qFormat/>
    <w:uiPriority w:val="1"/>
    <w:rPr>
      <w:rFonts w:ascii="Calibri" w:hAnsi="Calibri" w:eastAsia="宋体" w:cs="Times New Roman"/>
      <w:sz w:val="22"/>
      <w:szCs w:val="22"/>
      <w:lang w:val="en-US" w:eastAsia="zh-CN" w:bidi="ar-SA"/>
    </w:rPr>
  </w:style>
  <w:style w:type="paragraph" w:customStyle="1" w:styleId="58">
    <w:name w:val="_Style 2"/>
    <w:basedOn w:val="1"/>
    <w:qFormat/>
    <w:uiPriority w:val="34"/>
    <w:pPr>
      <w:ind w:firstLine="420" w:firstLineChars="200"/>
    </w:pPr>
    <w:rPr>
      <w:rFonts w:ascii="Calibri" w:hAnsi="Calibri"/>
    </w:rPr>
  </w:style>
  <w:style w:type="paragraph" w:customStyle="1" w:styleId="59">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0">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1">
    <w:name w:val="Char1"/>
    <w:basedOn w:val="1"/>
    <w:qFormat/>
    <w:uiPriority w:val="0"/>
  </w:style>
  <w:style w:type="paragraph" w:customStyle="1" w:styleId="62">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Table Paragraph"/>
    <w:basedOn w:val="1"/>
    <w:qFormat/>
    <w:uiPriority w:val="1"/>
    <w:pPr>
      <w:jc w:val="left"/>
    </w:pPr>
    <w:rPr>
      <w:rFonts w:ascii="宋体" w:hAnsi="宋体" w:cs="宋体"/>
      <w:kern w:val="0"/>
      <w:sz w:val="22"/>
      <w:szCs w:val="22"/>
      <w:lang w:eastAsia="en-US"/>
    </w:rPr>
  </w:style>
  <w:style w:type="paragraph" w:customStyle="1" w:styleId="64">
    <w:name w:val="无间隔1"/>
    <w:basedOn w:val="1"/>
    <w:qFormat/>
    <w:uiPriority w:val="1"/>
    <w:pPr>
      <w:spacing w:line="400" w:lineRule="exact"/>
    </w:pPr>
    <w:rPr>
      <w:sz w:val="24"/>
    </w:rPr>
  </w:style>
  <w:style w:type="paragraph" w:customStyle="1" w:styleId="65">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6">
    <w:name w:val="3"/>
    <w:basedOn w:val="1"/>
    <w:qFormat/>
    <w:uiPriority w:val="0"/>
    <w:pPr>
      <w:widowControl/>
      <w:spacing w:beforeAutospacing="1" w:afterAutospacing="1"/>
      <w:jc w:val="left"/>
    </w:pPr>
    <w:rPr>
      <w:rFonts w:ascii="宋体" w:hAnsi="宋体" w:cs="宋体"/>
      <w:kern w:val="0"/>
      <w:sz w:val="24"/>
    </w:rPr>
  </w:style>
  <w:style w:type="paragraph" w:customStyle="1" w:styleId="67">
    <w:name w:val="列出段落1"/>
    <w:basedOn w:val="1"/>
    <w:qFormat/>
    <w:uiPriority w:val="34"/>
    <w:pPr>
      <w:ind w:firstLine="420" w:firstLineChars="200"/>
    </w:pPr>
  </w:style>
  <w:style w:type="paragraph" w:customStyle="1" w:styleId="68">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69">
    <w:name w:val="a0"/>
    <w:basedOn w:val="1"/>
    <w:qFormat/>
    <w:uiPriority w:val="0"/>
    <w:pPr>
      <w:widowControl/>
      <w:spacing w:beforeAutospacing="1" w:afterAutospacing="1"/>
      <w:jc w:val="left"/>
    </w:pPr>
    <w:rPr>
      <w:rFonts w:ascii="宋体" w:hAnsi="宋体" w:cs="宋体"/>
      <w:kern w:val="0"/>
      <w:sz w:val="24"/>
    </w:rPr>
  </w:style>
  <w:style w:type="paragraph" w:customStyle="1" w:styleId="70">
    <w:name w:val="default"/>
    <w:basedOn w:val="1"/>
    <w:qFormat/>
    <w:uiPriority w:val="0"/>
    <w:pPr>
      <w:widowControl/>
      <w:spacing w:beforeAutospacing="1" w:afterAutospacing="1"/>
      <w:jc w:val="left"/>
    </w:pPr>
    <w:rPr>
      <w:rFonts w:ascii="宋体" w:hAnsi="宋体" w:cs="宋体"/>
      <w:kern w:val="0"/>
      <w:sz w:val="24"/>
    </w:rPr>
  </w:style>
  <w:style w:type="paragraph" w:customStyle="1" w:styleId="71">
    <w:name w:val="列出段落11"/>
    <w:basedOn w:val="1"/>
    <w:qFormat/>
    <w:uiPriority w:val="0"/>
    <w:pPr>
      <w:ind w:firstLine="420" w:firstLineChars="200"/>
    </w:pPr>
    <w:rPr>
      <w:rFonts w:ascii="Calibri" w:hAnsi="Calibri"/>
      <w:szCs w:val="22"/>
    </w:rPr>
  </w:style>
  <w:style w:type="character" w:customStyle="1" w:styleId="72">
    <w:name w:val="正文文本 Char"/>
    <w:basedOn w:val="35"/>
    <w:link w:val="11"/>
    <w:qFormat/>
    <w:uiPriority w:val="0"/>
  </w:style>
  <w:style w:type="character" w:customStyle="1" w:styleId="73">
    <w:name w:val="apple-converted-space"/>
    <w:basedOn w:val="35"/>
    <w:qFormat/>
    <w:uiPriority w:val="0"/>
  </w:style>
  <w:style w:type="character" w:customStyle="1" w:styleId="74">
    <w:name w:val="文档结构图 Char"/>
    <w:link w:val="8"/>
    <w:qFormat/>
    <w:uiPriority w:val="0"/>
    <w:rPr>
      <w:rFonts w:ascii="宋体"/>
      <w:kern w:val="2"/>
      <w:sz w:val="18"/>
      <w:szCs w:val="18"/>
    </w:rPr>
  </w:style>
  <w:style w:type="character" w:customStyle="1" w:styleId="75">
    <w:name w:val="不明显强调1"/>
    <w:qFormat/>
    <w:uiPriority w:val="19"/>
    <w:rPr>
      <w:i/>
      <w:iCs/>
      <w:color w:val="7F7F7F"/>
      <w:szCs w:val="24"/>
    </w:rPr>
  </w:style>
  <w:style w:type="character" w:customStyle="1" w:styleId="76">
    <w:name w:val="font71"/>
    <w:qFormat/>
    <w:uiPriority w:val="0"/>
    <w:rPr>
      <w:rFonts w:hint="eastAsia" w:ascii="宋体" w:hAnsi="宋体" w:eastAsia="宋体" w:cs="宋体"/>
      <w:color w:val="000000"/>
      <w:sz w:val="28"/>
      <w:szCs w:val="28"/>
      <w:u w:val="none"/>
    </w:rPr>
  </w:style>
  <w:style w:type="character" w:customStyle="1" w:styleId="77">
    <w:name w:val="font21"/>
    <w:qFormat/>
    <w:uiPriority w:val="0"/>
    <w:rPr>
      <w:rFonts w:hint="default" w:ascii="Calibri" w:hAnsi="Calibri" w:cs="Calibri"/>
      <w:color w:val="000000"/>
      <w:sz w:val="28"/>
      <w:szCs w:val="28"/>
      <w:u w:val="none"/>
    </w:rPr>
  </w:style>
  <w:style w:type="character" w:customStyle="1" w:styleId="78">
    <w:name w:val="17"/>
    <w:qFormat/>
    <w:uiPriority w:val="0"/>
    <w:rPr>
      <w:rFonts w:hint="eastAsia" w:ascii="宋体" w:hAnsi="宋体" w:eastAsia="宋体"/>
      <w:color w:val="000000"/>
    </w:rPr>
  </w:style>
  <w:style w:type="character" w:customStyle="1" w:styleId="79">
    <w:name w:val="font91"/>
    <w:qFormat/>
    <w:uiPriority w:val="0"/>
    <w:rPr>
      <w:rFonts w:hint="eastAsia" w:ascii="宋体" w:hAnsi="宋体" w:eastAsia="宋体" w:cs="宋体"/>
      <w:color w:val="FF0000"/>
      <w:sz w:val="28"/>
      <w:szCs w:val="28"/>
      <w:u w:val="none"/>
    </w:rPr>
  </w:style>
  <w:style w:type="paragraph" w:customStyle="1" w:styleId="80">
    <w:name w:val="p"/>
    <w:basedOn w:val="1"/>
    <w:qFormat/>
    <w:uiPriority w:val="0"/>
    <w:pPr>
      <w:widowControl/>
      <w:spacing w:line="432" w:lineRule="auto"/>
      <w:jc w:val="left"/>
    </w:pPr>
    <w:rPr>
      <w:rFonts w:ascii="宋体" w:hAnsi="宋体" w:cs="宋体"/>
      <w:kern w:val="0"/>
      <w:sz w:val="24"/>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正文_1"/>
    <w:basedOn w:val="1"/>
    <w:next w:val="1"/>
    <w:qFormat/>
    <w:uiPriority w:val="0"/>
    <w:pPr>
      <w:widowControl/>
      <w:ind w:firstLine="482"/>
    </w:pPr>
    <w:rPr>
      <w:rFonts w:ascii="微软雅黑" w:hAnsi="微软雅黑" w:eastAsia="微软雅黑"/>
      <w:kern w:val="0"/>
      <w:szCs w:val="20"/>
    </w:rPr>
  </w:style>
  <w:style w:type="paragraph" w:customStyle="1" w:styleId="83">
    <w:name w:val="表格文字"/>
    <w:basedOn w:val="1"/>
    <w:next w:val="11"/>
    <w:qFormat/>
    <w:uiPriority w:val="0"/>
    <w:pPr>
      <w:adjustRightInd w:val="0"/>
      <w:spacing w:line="420" w:lineRule="atLeast"/>
      <w:jc w:val="left"/>
      <w:textAlignment w:val="baseline"/>
    </w:pPr>
    <w:rPr>
      <w:kern w:val="0"/>
      <w:szCs w:val="20"/>
    </w:rPr>
  </w:style>
  <w:style w:type="character" w:customStyle="1" w:styleId="84">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5">
    <w:name w:val="列表段落1"/>
    <w:basedOn w:val="1"/>
    <w:qFormat/>
    <w:uiPriority w:val="34"/>
    <w:pPr>
      <w:widowControl/>
      <w:ind w:firstLine="420"/>
      <w:jc w:val="left"/>
    </w:pPr>
    <w:rPr>
      <w:kern w:val="0"/>
    </w:rPr>
  </w:style>
  <w:style w:type="paragraph" w:styleId="86">
    <w:name w:val="List Paragraph"/>
    <w:basedOn w:val="1"/>
    <w:qFormat/>
    <w:uiPriority w:val="34"/>
    <w:pPr>
      <w:ind w:firstLine="420" w:firstLineChars="200"/>
    </w:pPr>
  </w:style>
  <w:style w:type="character" w:customStyle="1" w:styleId="87">
    <w:name w:val="hover18"/>
    <w:basedOn w:val="3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15422</Words>
  <Characters>16156</Characters>
  <Lines>50</Lines>
  <Paragraphs>68</Paragraphs>
  <TotalTime>3</TotalTime>
  <ScaleCrop>false</ScaleCrop>
  <LinksUpToDate>false</LinksUpToDate>
  <CharactersWithSpaces>17097</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2022-06-16T00:13:34Z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1851269FF45849BC9D1DBC1B82455561</vt:lpwstr>
  </property>
</Properties>
</file>