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驻马店市中心医院聘请法律顾问项目（二次）</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06</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驻马店市中心医院聘请法律顾问项目（二次）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驻马店市中心医院聘请法律顾问项目（二次）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驻马店市中心医院聘请法律顾问项目（二次）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180000.00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7913"/>
      <w:bookmarkStart w:id="5" w:name="_Toc24040"/>
      <w:bookmarkStart w:id="6" w:name="_Toc26079"/>
      <w:bookmarkStart w:id="7" w:name="_Toc21071"/>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cs="宋体"/>
          <w:bCs/>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要求：</w:t>
      </w:r>
      <w:r>
        <w:rPr>
          <w:rFonts w:hint="eastAsia" w:ascii="宋体" w:hAnsi="宋体" w:eastAsia="宋体" w:cs="宋体"/>
          <w:color w:val="auto"/>
          <w:szCs w:val="21"/>
          <w:highlight w:val="none"/>
          <w:shd w:val="clear" w:color="auto" w:fill="FFFFFF"/>
          <w:lang w:eastAsia="zh-CN"/>
        </w:rPr>
        <w:t>合格。</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以采购人要求为准</w:t>
      </w:r>
      <w:r>
        <w:rPr>
          <w:rFonts w:hint="eastAsia" w:ascii="宋体" w:hAnsi="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27704"/>
      <w:bookmarkStart w:id="11" w:name="_Toc18607"/>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7823"/>
      <w:bookmarkStart w:id="14" w:name="_Toc23395"/>
      <w:bookmarkStart w:id="15" w:name="_Toc30643"/>
      <w:bookmarkStart w:id="16" w:name="_Toc9562"/>
      <w:bookmarkStart w:id="17" w:name="_Toc30971"/>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w:t>
      </w:r>
      <w:r>
        <w:rPr>
          <w:rFonts w:hint="eastAsia" w:ascii="宋体" w:hAnsi="宋体" w:cs="宋体"/>
          <w:color w:val="000000" w:themeColor="text1"/>
          <w:kern w:val="2"/>
          <w:sz w:val="21"/>
          <w:szCs w:val="24"/>
          <w:lang w:val="en-US" w:eastAsia="zh-CN" w:bidi="ar-SA"/>
          <w14:textFill>
            <w14:solidFill>
              <w14:schemeClr w14:val="tx1"/>
            </w14:solidFill>
          </w14:textFill>
        </w:rPr>
        <w:t>2021年度</w:t>
      </w:r>
      <w:r>
        <w:rPr>
          <w:rFonts w:hint="eastAsia" w:ascii="宋体" w:hAnsi="宋体" w:eastAsia="宋体" w:cs="宋体"/>
          <w:color w:val="000000" w:themeColor="text1"/>
          <w:kern w:val="2"/>
          <w:sz w:val="21"/>
          <w:szCs w:val="24"/>
          <w:lang w:val="en-US" w:eastAsia="zh-CN" w:bidi="ar-SA"/>
          <w14:textFill>
            <w14:solidFill>
              <w14:schemeClr w14:val="tx1"/>
            </w14:solidFill>
          </w14:textFill>
        </w:rPr>
        <w:t>经审计的</w:t>
      </w:r>
      <w:r>
        <w:rPr>
          <w:rFonts w:hint="eastAsia" w:ascii="宋体" w:hAnsi="宋体" w:eastAsia="宋体" w:cs="宋体"/>
          <w:color w:val="auto"/>
          <w:kern w:val="2"/>
          <w:sz w:val="21"/>
          <w:szCs w:val="24"/>
          <w:lang w:val="en-US" w:eastAsia="zh-CN" w:bidi="ar-SA"/>
        </w:rPr>
        <w:t>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sz w:val="21"/>
          <w:lang w:val="en-US" w:eastAsia="zh-CN"/>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10738"/>
      <w:bookmarkStart w:id="20" w:name="_Toc25869"/>
      <w:bookmarkStart w:id="21" w:name="_Toc27480"/>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9784"/>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16291"/>
      <w:bookmarkStart w:id="30" w:name="_Toc27370"/>
      <w:bookmarkStart w:id="31" w:name="_Toc3604"/>
      <w:bookmarkStart w:id="32" w:name="_Toc24274"/>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14</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一、项目名称、数量： 驻马店市中心医院聘请法律顾问项目（二次）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 xml:space="preserve">二、项目用途说明：为维护医院正常的运营秩序和合法权益，聘请具有较高知名度的律师事务所的法律顾问为我院提供法律服务，并承担法律诉讼代理等相关工作。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 xml:space="preserve">三、配置规格、附件及零配件（包括专用工具）： </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435"/>
        <w:gridCol w:w="177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项目名称</w:t>
            </w:r>
          </w:p>
        </w:tc>
        <w:tc>
          <w:tcPr>
            <w:tcW w:w="143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数量或规模</w:t>
            </w:r>
          </w:p>
        </w:tc>
        <w:tc>
          <w:tcPr>
            <w:tcW w:w="177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cs="宋体"/>
                <w:b w:val="0"/>
                <w:bCs w:val="0"/>
                <w:sz w:val="21"/>
                <w:szCs w:val="21"/>
                <w:lang w:eastAsia="zh-CN"/>
              </w:rPr>
              <w:t>驻马店市中心医院聘请法律顾问项目（二次）</w:t>
            </w:r>
          </w:p>
        </w:tc>
        <w:tc>
          <w:tcPr>
            <w:tcW w:w="1435"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1人</w:t>
            </w:r>
          </w:p>
        </w:tc>
        <w:tc>
          <w:tcPr>
            <w:tcW w:w="1774"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180000.00元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r>
              <w:rPr>
                <w:rFonts w:hint="eastAsia" w:cs="宋体"/>
                <w:b w:val="0"/>
                <w:bCs w:val="0"/>
                <w:sz w:val="21"/>
                <w:szCs w:val="21"/>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i w:val="0"/>
                <w:iCs w:val="0"/>
                <w:color w:val="000000"/>
                <w:kern w:val="0"/>
                <w:sz w:val="21"/>
                <w:szCs w:val="21"/>
                <w:u w:val="none"/>
                <w:lang w:val="en-US" w:eastAsia="zh-CN" w:bidi="ar"/>
              </w:rPr>
            </w:pPr>
          </w:p>
        </w:tc>
        <w:tc>
          <w:tcPr>
            <w:tcW w:w="14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sz w:val="21"/>
                <w:szCs w:val="21"/>
                <w:lang w:val="en-US" w:eastAsia="zh-CN"/>
              </w:rPr>
              <w:t>1人</w:t>
            </w:r>
          </w:p>
        </w:tc>
        <w:tc>
          <w:tcPr>
            <w:tcW w:w="17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180000.00元</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rPr>
            </w:pP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四、详细技术要求、参数及产品资料等：</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（一）投标人系在中华人民共和国境内合法成立具有律师执业资质的律师事务所。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二）投标人及其指定的法律顾问必须满足律师执业条件、具有丰富的医疗纠纷调解与处理、诉讼、鉴定经验及业绩且无执业违法违规记录，未受过行业处分，能及时参与本院的纠纷调解，时间上能保证本院工作安排。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cs="宋体"/>
          <w:kern w:val="2"/>
          <w:sz w:val="21"/>
          <w:szCs w:val="24"/>
          <w:lang w:val="en-US" w:eastAsia="zh-CN" w:bidi="ar-SA"/>
        </w:rPr>
      </w:pPr>
      <w:r>
        <w:rPr>
          <w:rFonts w:hint="eastAsia" w:cs="宋体"/>
          <w:kern w:val="2"/>
          <w:sz w:val="21"/>
          <w:szCs w:val="24"/>
          <w:lang w:val="en-US" w:eastAsia="zh-CN" w:bidi="ar-SA"/>
        </w:rPr>
        <w:t xml:space="preserve">（三）良好的银行资信和职业信誉，没有处于被责令停业、面临重大诉讼以及财产被接管、冻结甚至破产等状态。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（四）合同履行期间如有诉讼、仲裁案件需要委托代理，15（含）起案件以内免于收取律师代理费，超出15件以外的案件律师代理费按照律师行业有关收费规定给予优惠。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（五）投标人须提供：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cs="宋体"/>
          <w:kern w:val="2"/>
          <w:sz w:val="21"/>
          <w:szCs w:val="24"/>
          <w:lang w:val="en-US" w:eastAsia="zh-CN" w:bidi="ar-SA"/>
        </w:rPr>
      </w:pPr>
      <w:r>
        <w:rPr>
          <w:rFonts w:hint="eastAsia" w:cs="宋体"/>
          <w:kern w:val="2"/>
          <w:sz w:val="21"/>
          <w:szCs w:val="24"/>
          <w:lang w:val="en-US" w:eastAsia="zh-CN" w:bidi="ar-SA"/>
        </w:rPr>
        <w:t xml:space="preserve">1．律师事务所的执业许可证书（副本）；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2．组织机构代码证书副本；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3．税务登记证书副本；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4．指派为法律顾问的律师的执业资格证书；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cs="宋体"/>
          <w:kern w:val="2"/>
          <w:sz w:val="21"/>
          <w:szCs w:val="24"/>
          <w:lang w:val="en-US" w:eastAsia="zh-CN" w:bidi="ar-SA"/>
        </w:rPr>
      </w:pPr>
      <w:r>
        <w:rPr>
          <w:rFonts w:hint="eastAsia" w:cs="宋体"/>
          <w:kern w:val="2"/>
          <w:sz w:val="21"/>
          <w:szCs w:val="24"/>
          <w:lang w:val="en-US" w:eastAsia="zh-CN" w:bidi="ar-SA"/>
        </w:rPr>
        <w:t xml:space="preserve">5．负责人资格证明及授权代表的授权委托书；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6．授权代表身份证原件及复印件；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7.需提供一份包含公司情况介绍、服务方案、拟委派的法律顾问代理过的相关行业业绩介绍、相关行业案例分析等内容的PPT并现场讲解，讲解时间不超过10分钟。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注意：以上材料复印件均需加盖单位公章，原件与复印件内容必须一致方有效；递交招标文件时的资料审核不代表资格审查的最终通过或合格。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1.为医院日常管理和业务活动提供法律咨询；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2.起草、审核相关合同及法律文件；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cs="宋体"/>
          <w:kern w:val="2"/>
          <w:sz w:val="21"/>
          <w:szCs w:val="24"/>
          <w:lang w:val="en-US" w:eastAsia="zh-CN" w:bidi="ar-SA"/>
        </w:rPr>
      </w:pPr>
      <w:r>
        <w:rPr>
          <w:rFonts w:hint="eastAsia" w:cs="宋体"/>
          <w:kern w:val="2"/>
          <w:sz w:val="21"/>
          <w:szCs w:val="24"/>
          <w:lang w:val="en-US" w:eastAsia="zh-CN" w:bidi="ar-SA"/>
        </w:rPr>
        <w:t xml:space="preserve">3.根据院方委托对专项事务进行必要的尽职调查，参与调解谈判等；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4.协助院方内部法务人员、建立法务工作体系、进行法制培训等，法制培训每年不少于一次；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default" w:cs="宋体"/>
          <w:kern w:val="2"/>
          <w:sz w:val="21"/>
          <w:szCs w:val="24"/>
          <w:lang w:val="en-US" w:eastAsia="zh-CN" w:bidi="ar-SA"/>
        </w:rPr>
      </w:pPr>
      <w:r>
        <w:rPr>
          <w:rFonts w:hint="eastAsia" w:cs="宋体"/>
          <w:kern w:val="2"/>
          <w:sz w:val="21"/>
          <w:szCs w:val="24"/>
          <w:lang w:val="en-US" w:eastAsia="zh-CN" w:bidi="ar-SA"/>
        </w:rPr>
        <w:t xml:space="preserve">5.代理医院所涉诉讼、仲裁、行政管理案件、全程参与医疗纠纷的协商、调解、鉴定等；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6.要求固定1-3人的专业团队在医院医患科轮流坐班值班，坐班时间服从医院方面排班安排，出现纠纷后最迟不超过40分钟内到达现场参与调解谈判处置工作，及时与驻马店市医调委、各级法院进行对接调处；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 xml:space="preserve">7.其它补充约定。                       </w:t>
      </w: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b/>
          <w:bCs/>
          <w:color w:val="auto"/>
          <w:sz w:val="32"/>
          <w:szCs w:val="32"/>
          <w:highlight w:val="none"/>
        </w:rPr>
      </w:pPr>
      <w:bookmarkStart w:id="40" w:name="_Toc14504"/>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驻马店市中心医院聘请法律顾问项目（二次）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180000.00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180000.00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239" w:type="dxa"/>
            <w:vMerge w:val="restart"/>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sz w:val="21"/>
                <w:szCs w:val="21"/>
                <w:lang w:val="en-US" w:eastAsia="zh-CN"/>
              </w:rPr>
            </w:pPr>
            <w:r>
              <w:rPr>
                <w:rFonts w:hint="eastAsia"/>
                <w:sz w:val="21"/>
                <w:szCs w:val="21"/>
                <w:lang w:val="en-US" w:eastAsia="zh-CN"/>
              </w:rPr>
              <w:t>价格标部分 (30分)</w:t>
            </w: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default"/>
                <w:sz w:val="21"/>
                <w:szCs w:val="21"/>
                <w:lang w:val="en-US" w:eastAsia="zh-CN"/>
              </w:rPr>
            </w:pPr>
            <w:r>
              <w:rPr>
                <w:rFonts w:hint="eastAsia"/>
                <w:sz w:val="21"/>
                <w:szCs w:val="21"/>
                <w:lang w:val="en-US" w:eastAsia="zh-CN"/>
              </w:rPr>
              <w:t>投标报价（20分）</w:t>
            </w:r>
          </w:p>
        </w:tc>
        <w:tc>
          <w:tcPr>
            <w:tcW w:w="6103" w:type="dxa"/>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有效投标报价：投标报价</w:t>
            </w:r>
            <w:r>
              <w:rPr>
                <w:rFonts w:hint="eastAsia"/>
                <w:sz w:val="21"/>
                <w:szCs w:val="21"/>
                <w:lang w:val="en-US" w:eastAsia="zh-CN"/>
              </w:rPr>
              <w:t>不高于</w:t>
            </w:r>
            <w:r>
              <w:rPr>
                <w:rFonts w:hint="eastAsia"/>
                <w:sz w:val="21"/>
                <w:szCs w:val="21"/>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评标基准值的确定：满足</w:t>
            </w:r>
            <w:r>
              <w:rPr>
                <w:rFonts w:hint="eastAsia"/>
                <w:sz w:val="21"/>
                <w:szCs w:val="21"/>
                <w:lang w:val="en-US" w:eastAsia="zh-CN"/>
              </w:rPr>
              <w:t>采购</w:t>
            </w:r>
            <w:r>
              <w:rPr>
                <w:rFonts w:hint="eastAsia"/>
                <w:sz w:val="21"/>
                <w:szCs w:val="21"/>
              </w:rPr>
              <w:t>文件要求且投标价格最低的有效投标报价为评标基准价。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Calibri" w:eastAsia="宋体" w:cs="宋体"/>
                <w:color w:val="000000"/>
                <w:sz w:val="21"/>
                <w:szCs w:val="21"/>
                <w:lang w:val="en-US" w:eastAsia="zh-CN" w:bidi="ar-SA"/>
              </w:rPr>
            </w:pPr>
            <w:r>
              <w:rPr>
                <w:rFonts w:hint="eastAsia"/>
                <w:sz w:val="21"/>
                <w:szCs w:val="21"/>
              </w:rPr>
              <w:t>投标报价得分=（评标基准价/有效投标报价）×</w:t>
            </w:r>
            <w:r>
              <w:rPr>
                <w:rFonts w:hint="eastAsia"/>
                <w:sz w:val="21"/>
                <w:szCs w:val="21"/>
                <w:lang w:val="en-US" w:eastAsia="zh-CN"/>
              </w:rPr>
              <w:t>2</w:t>
            </w:r>
            <w:r>
              <w:rPr>
                <w:rFonts w:hint="eastAsia"/>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sz w:val="21"/>
                <w:szCs w:val="21"/>
                <w:lang w:val="en-US" w:eastAsia="zh-CN"/>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default"/>
                <w:color w:val="auto"/>
                <w:sz w:val="21"/>
                <w:szCs w:val="21"/>
                <w:lang w:val="en-US" w:eastAsia="zh-CN"/>
              </w:rPr>
            </w:pPr>
            <w:r>
              <w:rPr>
                <w:rFonts w:hint="eastAsia"/>
                <w:color w:val="auto"/>
                <w:sz w:val="21"/>
                <w:szCs w:val="21"/>
                <w:lang w:val="en-US" w:eastAsia="zh-CN"/>
              </w:rPr>
              <w:t>优惠率报价（10分）</w:t>
            </w:r>
          </w:p>
        </w:tc>
        <w:tc>
          <w:tcPr>
            <w:tcW w:w="6103" w:type="dxa"/>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color w:val="auto"/>
                <w:sz w:val="21"/>
                <w:szCs w:val="21"/>
                <w:highlight w:val="none"/>
              </w:rPr>
            </w:pPr>
            <w:r>
              <w:rPr>
                <w:rFonts w:hint="eastAsia"/>
                <w:color w:val="auto"/>
                <w:sz w:val="21"/>
                <w:szCs w:val="21"/>
              </w:rPr>
              <w:t>说明：</w:t>
            </w:r>
            <w:r>
              <w:rPr>
                <w:rFonts w:hint="eastAsia" w:hAnsi="宋体" w:cs="宋体"/>
                <w:b w:val="0"/>
                <w:bCs/>
                <w:color w:val="auto"/>
                <w:sz w:val="21"/>
                <w:szCs w:val="21"/>
                <w:lang w:eastAsia="zh-CN"/>
              </w:rPr>
              <w:t>合同履行期间如有诉讼、仲裁案件需要委托代理，</w:t>
            </w:r>
            <w:r>
              <w:rPr>
                <w:rFonts w:hint="eastAsia" w:hAnsi="宋体" w:cs="宋体"/>
                <w:b w:val="0"/>
                <w:bCs/>
                <w:color w:val="auto"/>
                <w:sz w:val="21"/>
                <w:szCs w:val="21"/>
                <w:lang w:val="en-US" w:eastAsia="zh-CN"/>
              </w:rPr>
              <w:t>15（含）起</w:t>
            </w:r>
            <w:r>
              <w:rPr>
                <w:rFonts w:hint="eastAsia" w:hAnsi="宋体" w:cs="宋体"/>
                <w:b w:val="0"/>
                <w:bCs/>
                <w:color w:val="auto"/>
                <w:sz w:val="21"/>
                <w:szCs w:val="21"/>
                <w:lang w:eastAsia="zh-CN"/>
              </w:rPr>
              <w:t>案件以内免于收取律师代理费，超出</w:t>
            </w:r>
            <w:r>
              <w:rPr>
                <w:rFonts w:hint="eastAsia" w:hAnsi="宋体" w:cs="宋体"/>
                <w:b w:val="0"/>
                <w:bCs/>
                <w:color w:val="auto"/>
                <w:sz w:val="21"/>
                <w:szCs w:val="21"/>
                <w:lang w:val="en-US" w:eastAsia="zh-CN"/>
              </w:rPr>
              <w:t>15</w:t>
            </w:r>
            <w:r>
              <w:rPr>
                <w:rFonts w:hint="eastAsia" w:hAnsi="宋体" w:cs="宋体"/>
                <w:b w:val="0"/>
                <w:bCs/>
                <w:color w:val="auto"/>
                <w:sz w:val="21"/>
                <w:szCs w:val="21"/>
                <w:lang w:eastAsia="zh-CN"/>
              </w:rPr>
              <w:t>件以外的案件律师代理费按照律师行业有关收费规定</w:t>
            </w:r>
            <w:r>
              <w:rPr>
                <w:rFonts w:hint="eastAsia" w:hAnsi="宋体" w:cs="宋体"/>
                <w:b w:val="0"/>
                <w:bCs/>
                <w:color w:val="auto"/>
                <w:sz w:val="21"/>
                <w:szCs w:val="21"/>
                <w:lang w:val="en-US" w:eastAsia="zh-CN"/>
              </w:rPr>
              <w:t>给予</w:t>
            </w:r>
            <w:r>
              <w:rPr>
                <w:rFonts w:hint="eastAsia" w:hAnsi="宋体" w:cs="宋体"/>
                <w:b w:val="0"/>
                <w:bCs/>
                <w:color w:val="auto"/>
                <w:sz w:val="21"/>
                <w:szCs w:val="21"/>
                <w:lang w:eastAsia="zh-CN"/>
              </w:rPr>
              <w:t>优惠，</w:t>
            </w:r>
            <w:r>
              <w:rPr>
                <w:rFonts w:hint="eastAsia" w:hAnsi="宋体" w:cs="宋体"/>
                <w:b w:val="0"/>
                <w:bCs/>
                <w:color w:val="auto"/>
                <w:sz w:val="21"/>
                <w:szCs w:val="21"/>
                <w:lang w:val="en-US" w:eastAsia="zh-CN"/>
              </w:rPr>
              <w:t>各供应商的优惠率参与得分计算，计算公式如下：</w:t>
            </w:r>
          </w:p>
          <w:p>
            <w:pPr>
              <w:pStyle w:val="12"/>
              <w:keepNext w:val="0"/>
              <w:keepLines w:val="0"/>
              <w:pageBreakBefore w:val="0"/>
              <w:kinsoku/>
              <w:wordWrap/>
              <w:overflowPunct/>
              <w:topLinePunct w:val="0"/>
              <w:bidi w:val="0"/>
              <w:snapToGrid w:val="0"/>
              <w:spacing w:line="320" w:lineRule="exact"/>
              <w:jc w:val="both"/>
              <w:textAlignment w:val="auto"/>
              <w:rPr>
                <w:rFonts w:hint="eastAsia"/>
                <w:color w:val="auto"/>
                <w:sz w:val="21"/>
                <w:szCs w:val="21"/>
                <w:highlight w:val="none"/>
                <w:lang w:val="en-US" w:eastAsia="zh-CN"/>
              </w:rPr>
            </w:pPr>
            <w:r>
              <w:rPr>
                <w:rFonts w:hint="eastAsia"/>
                <w:color w:val="auto"/>
                <w:sz w:val="21"/>
                <w:szCs w:val="21"/>
                <w:highlight w:val="none"/>
              </w:rPr>
              <w:t>评标基准</w:t>
            </w:r>
            <w:r>
              <w:rPr>
                <w:rFonts w:hint="eastAsia"/>
                <w:color w:val="auto"/>
                <w:sz w:val="21"/>
                <w:szCs w:val="21"/>
                <w:highlight w:val="none"/>
                <w:lang w:val="en-US" w:eastAsia="zh-CN"/>
              </w:rPr>
              <w:t>价</w:t>
            </w:r>
            <w:r>
              <w:rPr>
                <w:rFonts w:hint="eastAsia"/>
                <w:color w:val="auto"/>
                <w:sz w:val="21"/>
                <w:szCs w:val="21"/>
                <w:highlight w:val="none"/>
              </w:rPr>
              <w:t>的确定：</w:t>
            </w:r>
            <w:r>
              <w:rPr>
                <w:rFonts w:hint="eastAsia"/>
                <w:color w:val="auto"/>
                <w:sz w:val="21"/>
                <w:szCs w:val="21"/>
                <w:highlight w:val="none"/>
                <w:lang w:val="en-US" w:eastAsia="zh-CN"/>
              </w:rPr>
              <w:t>有效供应商所报优惠率最高的为评标基准价，其余有效供应商的所报优惠率为有效优惠报价。</w:t>
            </w:r>
          </w:p>
          <w:p>
            <w:pPr>
              <w:rPr>
                <w:rFonts w:hint="default" w:eastAsia="宋体"/>
                <w:color w:val="auto"/>
                <w:lang w:val="en-US" w:eastAsia="zh-CN"/>
              </w:rPr>
            </w:pPr>
            <w:r>
              <w:rPr>
                <w:rFonts w:hint="eastAsia"/>
                <w:color w:val="auto"/>
                <w:sz w:val="21"/>
                <w:szCs w:val="21"/>
                <w:highlight w:val="none"/>
                <w:lang w:val="en-US" w:eastAsia="zh-CN"/>
              </w:rPr>
              <w:t>优惠率报价得分=（</w:t>
            </w:r>
            <w:r>
              <w:rPr>
                <w:rFonts w:hint="eastAsia"/>
                <w:color w:val="auto"/>
                <w:sz w:val="21"/>
                <w:szCs w:val="21"/>
                <w:highlight w:val="none"/>
              </w:rPr>
              <w:t>有效</w:t>
            </w:r>
            <w:r>
              <w:rPr>
                <w:rFonts w:hint="eastAsia" w:hAnsi="宋体" w:cs="宋体"/>
                <w:b w:val="0"/>
                <w:bCs/>
                <w:color w:val="auto"/>
                <w:sz w:val="21"/>
                <w:szCs w:val="21"/>
                <w:highlight w:val="none"/>
                <w:lang w:eastAsia="zh-CN"/>
              </w:rPr>
              <w:t>优惠</w:t>
            </w:r>
            <w:r>
              <w:rPr>
                <w:rFonts w:hint="eastAsia"/>
                <w:color w:val="auto"/>
                <w:sz w:val="21"/>
                <w:szCs w:val="21"/>
                <w:highlight w:val="none"/>
              </w:rPr>
              <w:t>报价</w:t>
            </w:r>
            <w:r>
              <w:rPr>
                <w:rFonts w:hint="eastAsia"/>
                <w:color w:val="auto"/>
                <w:sz w:val="21"/>
                <w:szCs w:val="21"/>
                <w:highlight w:val="none"/>
                <w:lang w:val="en-US" w:eastAsia="zh-CN"/>
              </w:rPr>
              <w:t>/</w:t>
            </w:r>
            <w:r>
              <w:rPr>
                <w:rFonts w:hint="eastAsia"/>
                <w:color w:val="auto"/>
                <w:sz w:val="21"/>
                <w:szCs w:val="21"/>
                <w:highlight w:val="none"/>
              </w:rPr>
              <w:t>评标基准价</w:t>
            </w:r>
            <w:r>
              <w:rPr>
                <w:rFonts w:hint="eastAsia"/>
                <w:color w:val="auto"/>
                <w:sz w:val="21"/>
                <w:szCs w:val="21"/>
                <w:highlight w:val="none"/>
                <w:lang w:eastAsia="zh-CN"/>
              </w:rPr>
              <w:t>）</w:t>
            </w:r>
            <w:r>
              <w:rPr>
                <w:rFonts w:hint="eastAsia"/>
                <w:color w:val="auto"/>
                <w:sz w:val="21"/>
                <w:szCs w:val="21"/>
              </w:rPr>
              <w:t>×</w:t>
            </w:r>
            <w:r>
              <w:rPr>
                <w:rFonts w:hint="eastAsia"/>
                <w:color w:val="auto"/>
                <w:sz w:val="21"/>
                <w:szCs w:val="21"/>
                <w:lang w:val="en-US" w:eastAsia="zh-CN"/>
              </w:rPr>
              <w:t>10分</w:t>
            </w:r>
          </w:p>
          <w:p>
            <w:pPr>
              <w:pStyle w:val="12"/>
              <w:keepNext w:val="0"/>
              <w:keepLines w:val="0"/>
              <w:pageBreakBefore w:val="0"/>
              <w:kinsoku/>
              <w:wordWrap/>
              <w:overflowPunct/>
              <w:topLinePunct w:val="0"/>
              <w:bidi w:val="0"/>
              <w:snapToGrid w:val="0"/>
              <w:spacing w:line="320" w:lineRule="exact"/>
              <w:jc w:val="both"/>
              <w:textAlignment w:val="auto"/>
              <w:rPr>
                <w:rFonts w:hint="default" w:ascii="宋体" w:hAnsi="Calibri" w:eastAsia="宋体" w:cs="宋体"/>
                <w:b/>
                <w:bCs/>
                <w:color w:val="auto"/>
                <w:sz w:val="21"/>
                <w:szCs w:val="21"/>
                <w:highlight w:val="yellow"/>
                <w:lang w:val="en-US" w:eastAsia="zh-CN" w:bidi="ar-SA"/>
              </w:rPr>
            </w:pPr>
            <w:r>
              <w:rPr>
                <w:rFonts w:hint="eastAsia"/>
                <w:color w:val="auto"/>
                <w:sz w:val="21"/>
                <w:szCs w:val="21"/>
                <w:highlight w:val="none"/>
                <w:lang w:val="en-US" w:eastAsia="zh-CN"/>
              </w:rPr>
              <w:t>备注：优惠率为下浮率。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对“第二章、采购需求”的响应、</w:t>
            </w:r>
            <w:r>
              <w:rPr>
                <w:rFonts w:hint="eastAsia" w:ascii="宋体" w:hAnsi="宋体" w:eastAsia="宋体" w:cs="宋体"/>
                <w:b w:val="0"/>
                <w:bCs w:val="0"/>
                <w:color w:val="auto"/>
                <w:sz w:val="21"/>
                <w:szCs w:val="21"/>
                <w:highlight w:val="none"/>
              </w:rPr>
              <w:t>人员配备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专业技术水平等</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482"/>
      <w:bookmarkStart w:id="47" w:name="_Toc1947"/>
      <w:bookmarkStart w:id="48" w:name="_Toc326786897"/>
      <w:bookmarkStart w:id="49" w:name="_Toc256519703"/>
    </w:p>
    <w:p>
      <w:pPr>
        <w:rPr>
          <w:rFonts w:hint="eastAsia"/>
          <w:color w:val="auto"/>
          <w:sz w:val="28"/>
          <w:szCs w:val="28"/>
          <w:highlight w:val="none"/>
        </w:rPr>
      </w:pPr>
      <w:bookmarkStart w:id="50" w:name="_Toc28988"/>
      <w:r>
        <w:rPr>
          <w:rFonts w:hint="eastAsia"/>
          <w:color w:val="auto"/>
          <w:sz w:val="28"/>
          <w:szCs w:val="28"/>
          <w:highlight w:val="none"/>
        </w:rPr>
        <w:br w:type="page"/>
      </w:r>
    </w:p>
    <w:p>
      <w:pPr>
        <w:pStyle w:val="3"/>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957"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957"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729" w:type="dxa"/>
            <w:noWrap/>
            <w:vAlign w:val="center"/>
          </w:tcPr>
          <w:p>
            <w:pPr>
              <w:jc w:val="center"/>
              <w:rPr>
                <w:rFonts w:ascii="宋体" w:hAnsi="宋体"/>
                <w:color w:val="auto"/>
                <w:spacing w:val="-20"/>
                <w:szCs w:val="21"/>
                <w:highlight w:val="none"/>
              </w:rPr>
            </w:pPr>
            <w:r>
              <w:rPr>
                <w:rFonts w:hint="eastAsia" w:ascii="宋体" w:hAnsi="宋体" w:cs="宋体"/>
                <w:color w:val="auto"/>
                <w:kern w:val="0"/>
                <w:szCs w:val="21"/>
                <w:highlight w:val="none"/>
              </w:rPr>
              <w:t>投标报价</w:t>
            </w:r>
          </w:p>
        </w:tc>
        <w:tc>
          <w:tcPr>
            <w:tcW w:w="7957" w:type="dxa"/>
            <w:noWrap/>
            <w:vAlign w:val="center"/>
          </w:tcPr>
          <w:p>
            <w:pPr>
              <w:widowControl/>
              <w:snapToGrid w:val="0"/>
              <w:spacing w:before="50" w:after="50"/>
              <w:jc w:val="left"/>
              <w:rPr>
                <w:rFonts w:hint="eastAsia"/>
                <w:lang w:val="en-US" w:eastAsia="zh-CN"/>
              </w:rPr>
            </w:pPr>
            <w:r>
              <w:rPr>
                <w:rFonts w:hint="eastAsia"/>
                <w:lang w:val="en-US" w:eastAsia="zh-CN"/>
              </w:rPr>
              <w:t>（1）投标报价：</w:t>
            </w:r>
          </w:p>
          <w:p>
            <w:pPr>
              <w:widowControl/>
              <w:snapToGrid w:val="0"/>
              <w:spacing w:before="50" w:after="50"/>
              <w:jc w:val="left"/>
              <w:rPr>
                <w:rFonts w:hint="default"/>
                <w:lang w:val="en-US" w:eastAsia="zh-CN"/>
              </w:rPr>
            </w:pPr>
            <w:r>
              <w:rPr>
                <w:rFonts w:hint="eastAsia"/>
                <w:lang w:val="en-US" w:eastAsia="zh-CN"/>
              </w:rPr>
              <w:t>大写：        元</w:t>
            </w:r>
          </w:p>
          <w:p>
            <w:pPr>
              <w:widowControl/>
              <w:snapToGrid w:val="0"/>
              <w:spacing w:before="50" w:after="50"/>
              <w:jc w:val="left"/>
              <w:rPr>
                <w:rFonts w:hint="eastAsia"/>
                <w:lang w:val="en-US" w:eastAsia="zh-CN"/>
              </w:rPr>
            </w:pPr>
            <w:r>
              <w:rPr>
                <w:rFonts w:hint="eastAsia"/>
                <w:lang w:val="en-US" w:eastAsia="zh-CN"/>
              </w:rPr>
              <w:t>小写：        元（详见报价明细表）</w:t>
            </w:r>
          </w:p>
          <w:p>
            <w:pPr>
              <w:widowControl/>
              <w:snapToGrid w:val="0"/>
              <w:spacing w:before="50" w:after="50"/>
              <w:jc w:val="left"/>
              <w:rPr>
                <w:rFonts w:hint="eastAsia"/>
                <w:lang w:val="en-US" w:eastAsia="zh-CN"/>
              </w:rPr>
            </w:pPr>
          </w:p>
          <w:p>
            <w:pPr>
              <w:pageBreakBefore w:val="0"/>
              <w:widowControl/>
              <w:numPr>
                <w:ilvl w:val="0"/>
                <w:numId w:val="2"/>
              </w:numPr>
              <w:kinsoku/>
              <w:wordWrap/>
              <w:overflowPunct/>
              <w:topLinePunct w:val="0"/>
              <w:autoSpaceDE/>
              <w:autoSpaceDN/>
              <w:bidi w:val="0"/>
              <w:adjustRightInd/>
              <w:snapToGrid w:val="0"/>
              <w:ind w:left="0" w:leftChars="0" w:firstLine="0" w:firstLineChars="0"/>
              <w:jc w:val="left"/>
              <w:textAlignment w:val="auto"/>
              <w:rPr>
                <w:rFonts w:hint="default"/>
                <w:lang w:val="en-US" w:eastAsia="zh-CN"/>
              </w:rPr>
            </w:pPr>
            <w:r>
              <w:rPr>
                <w:rFonts w:hint="eastAsia"/>
                <w:lang w:val="en-US" w:eastAsia="zh-CN"/>
              </w:rPr>
              <w:t>超出15件以外的案件律师代理费按照律师行业有关收费规定给予优惠，优惠率为：在律师行业有关收费规定基础上下浮</w:t>
            </w:r>
            <w:r>
              <w:rPr>
                <w:rFonts w:hint="eastAsia"/>
                <w:u w:val="single"/>
                <w:lang w:val="en-US" w:eastAsia="zh-CN"/>
              </w:rPr>
              <w:t xml:space="preserve">        </w:t>
            </w:r>
            <w:r>
              <w:rPr>
                <w:rFonts w:hint="eastAsia"/>
                <w:u w:val="none"/>
                <w:lang w:val="en-US" w:eastAsia="zh-CN"/>
              </w:rPr>
              <w:t>%</w:t>
            </w:r>
            <w:bookmarkStart w:id="91" w:name="_GoBack"/>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957" w:type="dxa"/>
            <w:noWrap/>
            <w:vAlign w:val="bottom"/>
          </w:tcPr>
          <w:p>
            <w:pPr>
              <w:widowControl/>
              <w:snapToGrid w:val="0"/>
              <w:spacing w:before="50" w:after="50"/>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95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957"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957"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5、备注：优惠率为下浮率。</w:t>
      </w: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驻马店市中心医院聘请法律顾问项目（二次）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驻马店市中心医院聘请法律顾问项目（二次）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447828"/>
    <w:rsid w:val="025235B1"/>
    <w:rsid w:val="0262674D"/>
    <w:rsid w:val="02747B01"/>
    <w:rsid w:val="02890D36"/>
    <w:rsid w:val="02B61464"/>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B091954"/>
    <w:rsid w:val="0B637D77"/>
    <w:rsid w:val="0B7006C4"/>
    <w:rsid w:val="0B9263C7"/>
    <w:rsid w:val="0BAC324F"/>
    <w:rsid w:val="0BC11EE9"/>
    <w:rsid w:val="0BF16C73"/>
    <w:rsid w:val="0BF72F1E"/>
    <w:rsid w:val="0C3152C1"/>
    <w:rsid w:val="0C3957A5"/>
    <w:rsid w:val="0C626DA7"/>
    <w:rsid w:val="0C6876AE"/>
    <w:rsid w:val="0C71390F"/>
    <w:rsid w:val="0C720EC8"/>
    <w:rsid w:val="0C776A4C"/>
    <w:rsid w:val="0C942042"/>
    <w:rsid w:val="0C9D50DC"/>
    <w:rsid w:val="0CA5271D"/>
    <w:rsid w:val="0CAC4D10"/>
    <w:rsid w:val="0CC72121"/>
    <w:rsid w:val="0CE40585"/>
    <w:rsid w:val="0CEE5A21"/>
    <w:rsid w:val="0D05268E"/>
    <w:rsid w:val="0D0646E7"/>
    <w:rsid w:val="0D0C38CA"/>
    <w:rsid w:val="0D821B4C"/>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7965D0"/>
    <w:rsid w:val="0F821E7D"/>
    <w:rsid w:val="0F89767B"/>
    <w:rsid w:val="0FCA42ED"/>
    <w:rsid w:val="0FE7592C"/>
    <w:rsid w:val="0FFD20F0"/>
    <w:rsid w:val="103E6E57"/>
    <w:rsid w:val="103E7FAD"/>
    <w:rsid w:val="1041497B"/>
    <w:rsid w:val="10425FF6"/>
    <w:rsid w:val="106612B1"/>
    <w:rsid w:val="10794DC2"/>
    <w:rsid w:val="109010E6"/>
    <w:rsid w:val="10B271F4"/>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413D84"/>
    <w:rsid w:val="125775E6"/>
    <w:rsid w:val="127A7D1C"/>
    <w:rsid w:val="12836D8B"/>
    <w:rsid w:val="12AB0349"/>
    <w:rsid w:val="12CD57F1"/>
    <w:rsid w:val="12CE7AFA"/>
    <w:rsid w:val="12D67466"/>
    <w:rsid w:val="13272A5D"/>
    <w:rsid w:val="13493108"/>
    <w:rsid w:val="13733928"/>
    <w:rsid w:val="138C7F93"/>
    <w:rsid w:val="13920D68"/>
    <w:rsid w:val="139C16C9"/>
    <w:rsid w:val="13B63CE1"/>
    <w:rsid w:val="13BC6684"/>
    <w:rsid w:val="13C72B3A"/>
    <w:rsid w:val="13DF575E"/>
    <w:rsid w:val="13E470BD"/>
    <w:rsid w:val="13E762E5"/>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4E37F9"/>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3E3592"/>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5E49BD"/>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706D19"/>
    <w:rsid w:val="28C2534B"/>
    <w:rsid w:val="28C5525A"/>
    <w:rsid w:val="28D14B96"/>
    <w:rsid w:val="29020C46"/>
    <w:rsid w:val="290240C7"/>
    <w:rsid w:val="29274EE0"/>
    <w:rsid w:val="2969197F"/>
    <w:rsid w:val="29746E87"/>
    <w:rsid w:val="297C03C2"/>
    <w:rsid w:val="299573AB"/>
    <w:rsid w:val="29BB3FC4"/>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20F67"/>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EC299E"/>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41095"/>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655A83"/>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783AC3"/>
    <w:rsid w:val="3B923660"/>
    <w:rsid w:val="3BCA44BE"/>
    <w:rsid w:val="3C061F3A"/>
    <w:rsid w:val="3C495480"/>
    <w:rsid w:val="3C6F0167"/>
    <w:rsid w:val="3C71667B"/>
    <w:rsid w:val="3C914F3B"/>
    <w:rsid w:val="3CB9083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C07A39"/>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97356B"/>
    <w:rsid w:val="45AC5DBA"/>
    <w:rsid w:val="45C647AF"/>
    <w:rsid w:val="45DD529D"/>
    <w:rsid w:val="45E57886"/>
    <w:rsid w:val="46003076"/>
    <w:rsid w:val="46026F63"/>
    <w:rsid w:val="46177E29"/>
    <w:rsid w:val="46205B7F"/>
    <w:rsid w:val="464208A2"/>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413F52"/>
    <w:rsid w:val="494F6304"/>
    <w:rsid w:val="49910DBA"/>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12AE"/>
    <w:rsid w:val="4C9269F6"/>
    <w:rsid w:val="4CAF57B3"/>
    <w:rsid w:val="4CC84335"/>
    <w:rsid w:val="4CE9350A"/>
    <w:rsid w:val="4D297BF3"/>
    <w:rsid w:val="4D2D0EAF"/>
    <w:rsid w:val="4D7F0082"/>
    <w:rsid w:val="4D817213"/>
    <w:rsid w:val="4D952FD9"/>
    <w:rsid w:val="4D970662"/>
    <w:rsid w:val="4DB33393"/>
    <w:rsid w:val="4DCF1E0D"/>
    <w:rsid w:val="4DD632D9"/>
    <w:rsid w:val="4DE05D9E"/>
    <w:rsid w:val="4DE05DF9"/>
    <w:rsid w:val="4DE44800"/>
    <w:rsid w:val="4DEE0709"/>
    <w:rsid w:val="4DFC14EA"/>
    <w:rsid w:val="4DFE60AA"/>
    <w:rsid w:val="4DFF6815"/>
    <w:rsid w:val="4E0A3427"/>
    <w:rsid w:val="4E304B5D"/>
    <w:rsid w:val="4E611B8B"/>
    <w:rsid w:val="4E682F8C"/>
    <w:rsid w:val="4E6A7BB7"/>
    <w:rsid w:val="4EAD1302"/>
    <w:rsid w:val="4F0773B4"/>
    <w:rsid w:val="4F307BB1"/>
    <w:rsid w:val="4F3D562D"/>
    <w:rsid w:val="4F5C4EE0"/>
    <w:rsid w:val="4F6E1972"/>
    <w:rsid w:val="4F943166"/>
    <w:rsid w:val="4FBA02A1"/>
    <w:rsid w:val="4FE7106E"/>
    <w:rsid w:val="50053943"/>
    <w:rsid w:val="50374A3C"/>
    <w:rsid w:val="50550E55"/>
    <w:rsid w:val="509F43E4"/>
    <w:rsid w:val="50A54D3E"/>
    <w:rsid w:val="50AF5144"/>
    <w:rsid w:val="50F1402B"/>
    <w:rsid w:val="50FD2AD9"/>
    <w:rsid w:val="51097D9A"/>
    <w:rsid w:val="51237D2E"/>
    <w:rsid w:val="515B06D0"/>
    <w:rsid w:val="51996737"/>
    <w:rsid w:val="519F4E3D"/>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A0FB5"/>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9502B5"/>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A15AB"/>
    <w:rsid w:val="5ABD68E6"/>
    <w:rsid w:val="5ABF73D2"/>
    <w:rsid w:val="5ACB3D8A"/>
    <w:rsid w:val="5AE1508F"/>
    <w:rsid w:val="5AF80256"/>
    <w:rsid w:val="5B110CC9"/>
    <w:rsid w:val="5B1F7B5D"/>
    <w:rsid w:val="5B585171"/>
    <w:rsid w:val="5B585B78"/>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5CB"/>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DF6AEB"/>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6B6A15"/>
    <w:rsid w:val="6F947E4B"/>
    <w:rsid w:val="6FA30BDA"/>
    <w:rsid w:val="6FB21D4C"/>
    <w:rsid w:val="6FB80698"/>
    <w:rsid w:val="6FE66855"/>
    <w:rsid w:val="701021F4"/>
    <w:rsid w:val="7024611F"/>
    <w:rsid w:val="70637B96"/>
    <w:rsid w:val="70797317"/>
    <w:rsid w:val="7099044B"/>
    <w:rsid w:val="709D518F"/>
    <w:rsid w:val="70C759D3"/>
    <w:rsid w:val="70CF2B23"/>
    <w:rsid w:val="70D70CB1"/>
    <w:rsid w:val="710952C1"/>
    <w:rsid w:val="71452CD8"/>
    <w:rsid w:val="714F00F6"/>
    <w:rsid w:val="7158683A"/>
    <w:rsid w:val="715B2F52"/>
    <w:rsid w:val="71764F23"/>
    <w:rsid w:val="71946576"/>
    <w:rsid w:val="71967E84"/>
    <w:rsid w:val="71A61873"/>
    <w:rsid w:val="71AF4936"/>
    <w:rsid w:val="71B12351"/>
    <w:rsid w:val="71D75D0F"/>
    <w:rsid w:val="721919B3"/>
    <w:rsid w:val="721A6098"/>
    <w:rsid w:val="721D18D3"/>
    <w:rsid w:val="72310D1A"/>
    <w:rsid w:val="72330169"/>
    <w:rsid w:val="724747D9"/>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BF6786"/>
    <w:rsid w:val="79C25EE1"/>
    <w:rsid w:val="79CE2967"/>
    <w:rsid w:val="79EA664C"/>
    <w:rsid w:val="79F9627A"/>
    <w:rsid w:val="7A2F3BBF"/>
    <w:rsid w:val="7A2F459A"/>
    <w:rsid w:val="7A517022"/>
    <w:rsid w:val="7A6F5001"/>
    <w:rsid w:val="7AA2343E"/>
    <w:rsid w:val="7ADA73A4"/>
    <w:rsid w:val="7AE66B99"/>
    <w:rsid w:val="7AEC7FEC"/>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14541</Words>
  <Characters>15242</Characters>
  <Lines>50</Lines>
  <Paragraphs>68</Paragraphs>
  <TotalTime>2</TotalTime>
  <ScaleCrop>false</ScaleCrop>
  <LinksUpToDate>false</LinksUpToDate>
  <CharactersWithSpaces>16740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2022-06-14T03:06:00Z</cp:lastPrinted>
  <dcterms:modified xsi:type="dcterms:W3CDTF">2022-06-14T03:47:15Z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11E7F08A7FC143FEBE29C3A3606CF50E</vt:lpwstr>
  </property>
</Properties>
</file>