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驻马店市中心医院新发热门诊楼网络建设项目</w:t>
      </w:r>
    </w:p>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驻马店市中心医院新发热门诊楼网络建设项目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新发热门诊楼网络建设</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驻马店市中心医院新发热门诊楼网络建设项目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208750.00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6079"/>
      <w:bookmarkStart w:id="5" w:name="_Toc21071"/>
      <w:bookmarkStart w:id="6" w:name="_Toc27913"/>
      <w:bookmarkStart w:id="7" w:name="_Toc1952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 w:val="0"/>
          <w:bCs w:val="0"/>
          <w:sz w:val="21"/>
          <w:szCs w:val="21"/>
          <w:lang w:eastAsia="zh-CN"/>
        </w:rPr>
        <w:t>合同签署后15日</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27704"/>
      <w:bookmarkStart w:id="10" w:name="_Toc18607"/>
      <w:bookmarkStart w:id="11" w:name="_Toc16639"/>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6、根据《关于在政府采购活动中查询及使用信用记录有关问题的通知》（财库【2016】125号）的规定，对列入失信被执行</w:t>
      </w:r>
      <w:r>
        <w:rPr>
          <w:rFonts w:hint="eastAsia" w:ascii="宋体" w:hAnsi="宋体" w:eastAsia="宋体" w:cs="宋体"/>
          <w:color w:val="auto"/>
          <w:kern w:val="2"/>
          <w:sz w:val="21"/>
          <w:szCs w:val="24"/>
          <w:shd w:val="clear" w:color="auto" w:fill="auto"/>
          <w:lang w:val="en-US" w:eastAsia="zh-CN" w:bidi="ar-SA"/>
        </w:rPr>
        <w:t>人、</w:t>
      </w:r>
      <w:r>
        <w:rPr>
          <w:rFonts w:hint="eastAsia" w:ascii="宋体" w:hAnsi="宋体" w:cs="宋体"/>
          <w:color w:val="auto"/>
          <w:kern w:val="2"/>
          <w:sz w:val="21"/>
          <w:szCs w:val="24"/>
          <w:shd w:val="clear" w:color="auto" w:fill="auto"/>
          <w:lang w:val="en-US" w:eastAsia="zh-CN" w:bidi="ar-SA"/>
        </w:rPr>
        <w:t>税收违法黑名单</w:t>
      </w:r>
      <w:r>
        <w:rPr>
          <w:rFonts w:hint="eastAsia" w:ascii="宋体" w:hAnsi="宋体" w:eastAsia="宋体" w:cs="宋体"/>
          <w:color w:val="auto"/>
          <w:kern w:val="2"/>
          <w:sz w:val="21"/>
          <w:szCs w:val="24"/>
          <w:shd w:val="clear" w:color="auto" w:fill="auto"/>
          <w:lang w:val="en-US" w:eastAsia="zh-CN" w:bidi="ar-SA"/>
        </w:rPr>
        <w:t>、政府采购严重违</w:t>
      </w:r>
      <w:r>
        <w:rPr>
          <w:rFonts w:hint="eastAsia" w:ascii="宋体" w:hAnsi="宋体" w:eastAsia="宋体" w:cs="宋体"/>
          <w:color w:val="auto"/>
          <w:kern w:val="2"/>
          <w:sz w:val="21"/>
          <w:szCs w:val="24"/>
          <w:lang w:val="en-US" w:eastAsia="zh-CN" w:bidi="ar-SA"/>
        </w:rPr>
        <w:t>法失信行为记录名单的供应商，拒绝参与本项目政府采购活动，参与采购的供应商应提供</w:t>
      </w:r>
      <w:r>
        <w:rPr>
          <w:rFonts w:hint="eastAsia" w:ascii="宋体" w:hAnsi="宋体" w:eastAsia="宋体" w:cs="宋体"/>
          <w:color w:val="auto"/>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30643"/>
      <w:bookmarkStart w:id="14" w:name="_Toc9562"/>
      <w:bookmarkStart w:id="15" w:name="_Toc30971"/>
      <w:bookmarkStart w:id="16" w:name="_Toc23395"/>
      <w:bookmarkStart w:id="17" w:name="_Toc782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eastAsia="宋体" w:cs="宋体"/>
          <w:color w:val="FF0000"/>
          <w:szCs w:val="21"/>
          <w:shd w:val="clear" w:color="auto" w:fill="FFFFFF"/>
          <w:lang w:val="en-US" w:eastAsia="zh-CN"/>
        </w:rPr>
        <w:t>2</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07</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2</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15135"/>
      <w:bookmarkStart w:id="19" w:name="_Toc15111"/>
      <w:bookmarkStart w:id="20" w:name="_Toc10738"/>
      <w:bookmarkStart w:id="21" w:name="_Toc27480"/>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6523"/>
      <w:bookmarkStart w:id="24" w:name="_Toc20287"/>
      <w:bookmarkStart w:id="25" w:name="_Toc29784"/>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24274"/>
      <w:bookmarkStart w:id="30" w:name="_Toc27370"/>
      <w:bookmarkStart w:id="31" w:name="_Toc3604"/>
      <w:bookmarkStart w:id="32" w:name="_Toc16291"/>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shd w:val="clear" w:color="auto" w:fill="FFFFFF"/>
          <w:lang w:val="en-US" w:eastAsia="zh-CN" w:bidi="ar-SA"/>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2022年0</w:t>
      </w:r>
      <w:r>
        <w:rPr>
          <w:rFonts w:hint="eastAsia" w:ascii="宋体" w:hAnsi="宋体" w:cs="宋体"/>
          <w:color w:val="FF0000"/>
          <w:kern w:val="0"/>
          <w:sz w:val="21"/>
          <w:szCs w:val="21"/>
          <w:shd w:val="clear" w:color="auto" w:fill="FFFFFF"/>
          <w:lang w:val="en-US" w:eastAsia="zh-CN" w:bidi="ar-SA"/>
        </w:rPr>
        <w:t>6</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06</w:t>
      </w:r>
      <w:r>
        <w:rPr>
          <w:rFonts w:hint="eastAsia" w:ascii="宋体" w:hAnsi="宋体" w:eastAsia="宋体" w:cs="宋体"/>
          <w:color w:val="FF0000"/>
          <w:kern w:val="0"/>
          <w:sz w:val="21"/>
          <w:szCs w:val="21"/>
          <w:highlight w:val="none"/>
          <w:shd w:val="clear" w:color="auto" w:fill="FFFFFF"/>
          <w:lang w:val="en-US" w:eastAsia="zh-CN" w:bidi="ar-SA"/>
        </w:rPr>
        <w:t>日</w:t>
      </w:r>
    </w:p>
    <w:bookmarkEnd w:id="91"/>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0000FF"/>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驻马店市中心医院新发热门诊楼网络建设项目、1项。</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二、项目用途说明：新发热门诊楼网络与中心院区互通。                                                                  </w:t>
      </w:r>
    </w:p>
    <w:p>
      <w:pPr>
        <w:pageBreakBefore w:val="0"/>
        <w:widowControl/>
        <w:kinsoku/>
        <w:wordWrap/>
        <w:overflowPunct/>
        <w:topLinePunct w:val="0"/>
        <w:bidi w:val="0"/>
        <w:snapToGrid w:val="0"/>
        <w:spacing w:before="0" w:beforeAutospacing="0" w:after="0" w:afterAutospacing="0" w:line="500" w:lineRule="exact"/>
        <w:ind w:left="420" w:hanging="420" w:hanging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三、配置规格、附件及零配件（包括专用工具）：</w:t>
      </w:r>
    </w:p>
    <w:tbl>
      <w:tblPr>
        <w:tblStyle w:val="32"/>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838"/>
        <w:gridCol w:w="1813"/>
        <w:gridCol w:w="1538"/>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序号</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品目名称</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数量或规模</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资金预算</w:t>
            </w:r>
            <w:r>
              <w:rPr>
                <w:rFonts w:hint="eastAsia" w:ascii="宋体" w:hAnsi="宋体" w:cs="宋体"/>
                <w:b w:val="0"/>
                <w:bCs w:val="0"/>
                <w:i w:val="0"/>
                <w:iCs w:val="0"/>
                <w:color w:val="auto"/>
                <w:kern w:val="0"/>
                <w:sz w:val="21"/>
                <w:szCs w:val="21"/>
                <w:u w:val="none"/>
                <w:lang w:val="en-US" w:eastAsia="zh-CN" w:bidi="ar"/>
              </w:rPr>
              <w:t>（元）</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内网汇聚交换机</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2台</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14000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内网接入交换机</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15台</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48000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外网汇聚交换机</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1台</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3100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外网接入交换机</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8台</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24000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万兆光纤模块</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12个</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14400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千兆光纤模块</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10个</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9000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机柜</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6个</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理线环</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30个</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1050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9</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网线跳线1米</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300条</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网线跳线2米</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600条</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11</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网线跳线3米</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600条</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光纤跳线单模</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30对</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13</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辅材</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1批</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14</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集成服务</w:t>
            </w: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1项</w:t>
            </w: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50000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合计</w:t>
            </w:r>
          </w:p>
        </w:tc>
        <w:tc>
          <w:tcPr>
            <w:tcW w:w="28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5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208750</w:t>
            </w:r>
          </w:p>
        </w:tc>
        <w:tc>
          <w:tcPr>
            <w:tcW w:w="16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bl>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供应商资格要求： </w:t>
      </w:r>
    </w:p>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1．具有独立法人资格，并持有有效的营业执照，具备履行合同必需的设备及专业技术能力；</w:t>
      </w:r>
    </w:p>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2．政府采购无严重违法失信行为；</w:t>
      </w:r>
    </w:p>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3．具有良好的商业信誉和健全的财务会计制度；</w:t>
      </w:r>
    </w:p>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4．法律、行政法规规定的其他条件；</w:t>
      </w:r>
    </w:p>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 xml:space="preserve">5. </w:t>
      </w:r>
      <w:r>
        <w:rPr>
          <w:rFonts w:hint="eastAsia" w:ascii="宋体" w:hAnsi="宋体" w:eastAsia="宋体" w:cs="宋体"/>
          <w:b w:val="0"/>
          <w:bCs w:val="0"/>
          <w:color w:val="auto"/>
          <w:kern w:val="2"/>
          <w:sz w:val="21"/>
          <w:szCs w:val="21"/>
          <w:lang w:val="en-US" w:eastAsia="zh-CN" w:bidi="ar-SA"/>
        </w:rPr>
        <w:t>投标人须自行到采购单位进行现场勘察，以确保投标人充分了解采购单位的现场条件及需求，制定合理可行的技术方案。投标人须提供采购单位开具的《现场勘察证明》（加盖采购单位或采购部门公章），方可参与投标。</w:t>
      </w:r>
    </w:p>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四</w:t>
      </w:r>
      <w:r>
        <w:rPr>
          <w:rFonts w:hint="eastAsia" w:ascii="宋体" w:hAnsi="宋体" w:eastAsia="宋体" w:cs="宋体"/>
          <w:b w:val="0"/>
          <w:bCs w:val="0"/>
          <w:color w:val="auto"/>
          <w:kern w:val="2"/>
          <w:sz w:val="21"/>
          <w:szCs w:val="21"/>
          <w:lang w:val="en-US" w:eastAsia="zh-CN" w:bidi="ar-SA"/>
        </w:rPr>
        <w:t>、详细技术要求、参数及产品资料等：</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038"/>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95" w:type="pc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品目号</w:t>
            </w:r>
          </w:p>
        </w:tc>
        <w:tc>
          <w:tcPr>
            <w:tcW w:w="1111" w:type="pc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品目名称</w:t>
            </w:r>
          </w:p>
        </w:tc>
        <w:tc>
          <w:tcPr>
            <w:tcW w:w="3294" w:type="pct"/>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内网汇聚交换机</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性能：交换容量≥598Gbps；包转发率≥222Mpps（以官网公示的最小值为准）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表项：路由表≥4K，ARP≥4K，MAC≥32K</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端口：千兆电口≥24，万兆光口≥4</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最大堆叠台数≥9台，最大堆叠带宽≥16G，支持跨设备链路聚合，单一IP管理，支持完善的堆叠分裂检测机制，堆叠分裂后能自动完成MAC和IP地址的重配置，无需手动干预；带万兆堆叠线缆和模块，实现2台内网汇聚交换机2路万兆堆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路由协议 支持IPv4/IPv6静态路由、RIP V1/V2、OSPF V1/V2/V3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可靠性：支持RRPP（快速环网保护协议），支持Smartlink、支持RSTP功能、支持MSTP功能、支持PVST功能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支持基于第二层、第三层和第四层的ACL，整机提供ACl条目数不小于512条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支持DHCP client、DHCP Snooping、DHCP Server</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安全：支持用户分级管理和口令保护、SSH2.0、端口隔离、 802.1X、端口安全、MAC地址认证、HTTPs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 支持SNMP V1/V2/V3、RMON、SSHV2，支持网管系统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 绿色节能 ：端口定时down功能,支持端口休眠，智能风扇调速，双电源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内网接入交换机</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性能：交换容量≥336Gbps；包转发率≥126Mpps（以官网公示的最小值为准）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表项：路由表≥4K，ARP≥4K，MAC≥32K</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端口：千兆电口≥48，千兆光口≥4</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最大堆叠台数≥9台，最大堆叠带宽≥16G，支持跨设备链路聚合，单一IP管理，支持完善的堆叠分裂检测机制，堆叠分裂后能自动完成MAC和IP地址的重配置，无需手动干预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路由协议 支持IPv4/IPv6静态路由、RIP V1/V2、OSPF V1/V2/V3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可靠性：支持RRPP（快速环网保护协议），支持Smartlink、支持RSTP功能、支持MSTP功能、支持PVST功能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支持基于第二层、第三层和第四层的ACL，整机提供ACl条目数不小于512条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支持DHCP client、DHCP Snooping、DHCP Server</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安全：支持用户分级管理和口令保护、SSH2.0、端口隔离、 802.1X、端口安全、MAC地址认证、HTTPs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 支持SNMP V1/V2/V3、RMON、SSHV2，支持网管系统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 绿色节能 ：端口定时down功能,支持端口休眠，节省能源,智能风扇调速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外网汇聚交换机</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性能：交换容量≥432Gbps；包转发率≥108Mpps（以官网公示的最小值为准）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表项：路由表≥4K，ARP≥4K，MAC≥32K</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端口：千兆电口≥24，千兆光口≥4</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最大堆叠台数≥9台，最大堆叠带宽≥16G，支持跨设备链路聚合，单一IP管理，支持完善的堆叠分裂检测机制，堆叠分裂后能自动完成MAC和IP地址的重配置，无需手动干预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路由协议 支持IPv4/IPv6静态路由、RIP V1/V2、OSPF V1/V2/V3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可靠性：支持RRPP（快速环网保护协议），支持Smartlink、支持RSTP功能、支持MSTP功能、支持PVST功能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支持基于第二层、第三层和第四层的ACL，整机提供ACl条目数不小于512条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支持DHCP client、DHCP Snooping、DHCP Server</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安全：支持用户分级管理和口令保护、SSH2.0、端口隔离、 802.1X、端口安全、MAC地址认证、HTTPs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 支持SNMP V1/V2/V3、RMON、SSHV2，支持网管系统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 绿色节能 ：端口定时down功能,支持端口休眠，智能风扇调速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 产品生产厂商须进入国家信息安全漏洞库（CNNVD）一级技术支撑单位，要求提供证书复印件并加盖原厂章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外网接入交换机</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性能：交换容量≥336Gbps；转发性能≥120Mpps（如官网有多个数值，以最小值为准）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接口类型：千兆电口≥48，千兆SFP口（非复用）≥4</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支持IRF2（最大支持9台堆叠），统一IP地址管理；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支持802.1Q (最大4K个VLAN)、支持基于协议的VLAN、IP子网的VLAN、MAC的VLAN</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支持静态路由、RIP、支持IPv6静态路由，支持IPv4和IPv6双协议栈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支持STP/RSTP/MSTP，支持Smart Link，支持SNMP V1/V2c/V3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支持Diff-Serv QoS、WRR/HQ-WRR等队列调度机制、802.1p、DSCP优先级映射；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支持二层、三层、四层ACL、支持IPv4、IPv6 ACL、支持VLAN ACL；</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支持IP＋MAC+PORT+VLAN绑定、支持WEB认证、SAVI 源地址有效性验证、防Ddos攻击、CPU防攻击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 支持Console/AUX Modem/Telnet/SSH2.0 命令行配置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 绿色节能 ：端口定时down功能,支持端口休眠，节省能源，智能风扇调速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万兆光纤模块</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SFP+光模块、1310nm 、LC 、9/125μm单模光纤、10km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千兆光纤模块</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SFP光模块、1310nm 、LC 、9/125μm单模光纤、10km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机柜</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42U，600mm*600mm*2000mm，标准网络机柜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理线环</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标准19”机架式安装，高度1U</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理线档位：上下各24档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带有盖板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带有贯穿孔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网线跳线</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标准：ISO/IEC 11801， ANSI/TIA-568-C.2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原厂成型6类跳线，100%通过单体测试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插头规格：RJ45，8P8C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线序：T568B-T568B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插拔次数：≥1000次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最高传输频率：500MHz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工作温度：-10℃～+60℃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长度：1米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产品符合REACH要求并提供第三方检验报告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网线跳线</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标准：ISO/IEC 11801， ANSI/TIA-568-C.2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原厂成型6类跳线，100%通过单体测试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插头规格：RJ45，8P8C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线序：T568B-T568B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插拔次数：≥1000次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最高传输频率：500MHz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工作温度：-10℃～+60℃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长度：2米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产品符合REACH要求并提供第三方检验报告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网线跳线</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标准：ISO/IEC 11801， ANSI/TIA-568-C.2</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原厂成型6类跳线，100%通过单体测试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插头规格：RJ45，8P8C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线序：T568B-T568B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插拔次数：≥1000次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最高传输频率：500MHz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工作温度：-10℃～+60℃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长度：3米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产品符合REACH要求并提供第三方检验报告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光纤跳线</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标准：YD/T1272，ISO/IEC 11801，ANSI/TIA-568-C.3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出厂前100%通过光学测试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 光纤类型：B1.3</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 光缆类型：双芯“8字形”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光纤插头：LC</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 长度：3m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 插入损耗（含重复性）：≤0.2dB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 互换性：≤0.2dB</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 回波损耗：≥50dB（单模）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 重复性≥1000次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11. 工作温度：-20℃~+60℃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12. LC单模第三方检验报告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辅材</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活扣扎带，魔术扎带、标签纸，螺丝等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95"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111" w:type="pct"/>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集成服务</w:t>
            </w:r>
          </w:p>
        </w:tc>
        <w:tc>
          <w:tcPr>
            <w:tcW w:w="3294" w:type="pct"/>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工程实施，包含网络整合规划、设备安装调试、关联系统集成、线路整理、标签标注、文档交付及其他相关实施服务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 三年质保，包含原厂三包，原厂7*24小时技术支持，每月定期巡检、按需设备维护及其他相关质保服务。品目1-6须提供原厂针对此项目的三包及7*24小时技术支持服务承诺函。</w:t>
            </w:r>
          </w:p>
        </w:tc>
      </w:tr>
      <w:bookmarkEnd w:id="35"/>
      <w:bookmarkEnd w:id="36"/>
    </w:tbl>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五、售后</w:t>
      </w:r>
      <w:r>
        <w:rPr>
          <w:rFonts w:hint="eastAsia"/>
          <w:b w:val="0"/>
          <w:bCs w:val="0"/>
          <w:color w:val="auto"/>
          <w:sz w:val="21"/>
          <w:szCs w:val="21"/>
          <w:highlight w:val="none"/>
        </w:rPr>
        <w:t>服务条件及交货日期（或工期）：</w:t>
      </w:r>
    </w:p>
    <w:p>
      <w:pPr>
        <w:pageBreakBefore w:val="0"/>
        <w:kinsoku/>
        <w:wordWrap/>
        <w:overflowPunct/>
        <w:topLinePunct w:val="0"/>
        <w:bidi w:val="0"/>
        <w:snapToGrid w:val="0"/>
        <w:spacing w:beforeAutospacing="0" w:afterAutospacing="0" w:line="5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1．提供从验收合格之日起，三年的原厂免费质保服务，终身维护保修。</w:t>
      </w:r>
    </w:p>
    <w:p>
      <w:pPr>
        <w:pageBreakBefore w:val="0"/>
        <w:kinsoku/>
        <w:wordWrap/>
        <w:overflowPunct/>
        <w:topLinePunct w:val="0"/>
        <w:bidi w:val="0"/>
        <w:snapToGrid w:val="0"/>
        <w:spacing w:beforeAutospacing="0" w:afterAutospacing="0" w:line="5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2．质保期内提供原厂7*24小时技术支持</w:t>
      </w:r>
      <w:r>
        <w:rPr>
          <w:rFonts w:hint="eastAsia" w:ascii="宋体" w:hAnsi="宋体" w:cs="宋体"/>
          <w:b w:val="0"/>
          <w:bCs w:val="0"/>
          <w:color w:val="auto"/>
          <w:kern w:val="2"/>
          <w:sz w:val="21"/>
          <w:szCs w:val="21"/>
          <w:lang w:val="en-US" w:eastAsia="zh-CN" w:bidi="ar-SA"/>
        </w:rPr>
        <w:t>。</w:t>
      </w:r>
    </w:p>
    <w:p>
      <w:pPr>
        <w:pageBreakBefore w:val="0"/>
        <w:kinsoku/>
        <w:wordWrap/>
        <w:overflowPunct/>
        <w:topLinePunct w:val="0"/>
        <w:bidi w:val="0"/>
        <w:snapToGrid w:val="0"/>
        <w:spacing w:beforeAutospacing="0" w:afterAutospacing="0" w:line="5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w:t>
      </w:r>
      <w:r>
        <w:rPr>
          <w:rFonts w:hint="eastAsia" w:ascii="宋体" w:hAnsi="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出现故障后，1小时内提供远程技术支持，故障严重或医院要求的情况下2小时内到达现场解决问题，并在6小时内完成故障处理工作。在6小时内无法解决的应提供同型号备机保障系统的正常运行。</w:t>
      </w:r>
    </w:p>
    <w:p>
      <w:pPr>
        <w:pageBreakBefore w:val="0"/>
        <w:kinsoku/>
        <w:wordWrap/>
        <w:overflowPunct/>
        <w:topLinePunct w:val="0"/>
        <w:bidi w:val="0"/>
        <w:snapToGrid w:val="0"/>
        <w:spacing w:beforeAutospacing="0" w:afterAutospacing="0" w:line="50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4、交货期为合同签署后15日。</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提供从验收合格之日起，三年的原厂免费质保服务，终身维护保修；质保期内提供原厂7*24小时技术支持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合同签署后15日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驻马店市中心医院新发热门诊楼网络建设项目。</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208750.00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208750.00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326786897"/>
      <w:bookmarkStart w:id="49" w:name="_Toc256519703"/>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jc w:val="center"/>
        <w:rPr>
          <w:rFonts w:hint="eastAsia" w:ascii="黑体" w:hAnsi="宋体" w:eastAsia="黑体" w:cs="宋体"/>
          <w:b/>
          <w:bCs/>
          <w:color w:val="auto"/>
          <w:kern w:val="0"/>
          <w:sz w:val="32"/>
          <w:szCs w:val="32"/>
          <w:highlight w:val="none"/>
        </w:rPr>
      </w:pPr>
      <w:bookmarkStart w:id="51" w:name="_Toc2638"/>
      <w:r>
        <w:rPr>
          <w:rFonts w:hint="eastAsia" w:ascii="黑体" w:hAnsi="宋体" w:eastAsia="黑体" w:cs="宋体"/>
          <w:b/>
          <w:bCs/>
          <w:color w:val="auto"/>
          <w:kern w:val="0"/>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8"/>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0420"/>
      <w:bookmarkStart w:id="79" w:name="_Toc2996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0"/>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驻马店市中心医院新发热门诊楼网络建设项目采购文件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驻马店市中心医院新发热门诊楼网络建设项目采购文件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D5F19"/>
    <w:rsid w:val="07CE3FA1"/>
    <w:rsid w:val="07EC2ECB"/>
    <w:rsid w:val="07FE66CB"/>
    <w:rsid w:val="080B4D47"/>
    <w:rsid w:val="081A5D66"/>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D0646E7"/>
    <w:rsid w:val="0D0C38CA"/>
    <w:rsid w:val="0D350DE1"/>
    <w:rsid w:val="0D94268A"/>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05468"/>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AD73E30"/>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254EC2"/>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8A6398"/>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470D29"/>
    <w:rsid w:val="34584EE2"/>
    <w:rsid w:val="347D373F"/>
    <w:rsid w:val="34956481"/>
    <w:rsid w:val="34963E2C"/>
    <w:rsid w:val="34991240"/>
    <w:rsid w:val="34A35871"/>
    <w:rsid w:val="34C06C9D"/>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72D70"/>
    <w:rsid w:val="370B0095"/>
    <w:rsid w:val="3735197D"/>
    <w:rsid w:val="373756A2"/>
    <w:rsid w:val="375E0DA6"/>
    <w:rsid w:val="37761D13"/>
    <w:rsid w:val="378B61A6"/>
    <w:rsid w:val="37C507C3"/>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2B751B"/>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B760CA"/>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9B1E55"/>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4F3649"/>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5B6AA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81795C"/>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
    <w:link w:val="73"/>
    <w:qFormat/>
    <w:uiPriority w:val="0"/>
  </w:style>
  <w:style w:type="paragraph" w:styleId="12">
    <w:name w:val="Body Text Indent"/>
    <w:basedOn w:val="1"/>
    <w:next w:val="13"/>
    <w:qFormat/>
    <w:uiPriority w:val="0"/>
    <w:pPr>
      <w:widowControl/>
      <w:spacing w:beforeAutospacing="1" w:afterAutospacing="1"/>
      <w:jc w:val="left"/>
    </w:pPr>
    <w:rPr>
      <w:rFonts w:ascii="宋体" w:hAnsi="宋体" w:cs="宋体"/>
      <w:kern w:val="0"/>
      <w:sz w:val="24"/>
    </w:rPr>
  </w:style>
  <w:style w:type="paragraph" w:customStyle="1" w:styleId="13">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qFormat/>
    <w:uiPriority w:val="0"/>
    <w:pPr>
      <w:tabs>
        <w:tab w:val="left" w:pos="709"/>
        <w:tab w:val="right" w:leader="dot" w:pos="8789"/>
      </w:tabs>
      <w:spacing w:line="400" w:lineRule="atLeast"/>
    </w:pPr>
    <w:rPr>
      <w:rFonts w:ascii="宋体"/>
      <w:kern w:val="0"/>
      <w:szCs w:val="20"/>
    </w:rPr>
  </w:style>
  <w:style w:type="paragraph" w:styleId="17">
    <w:name w:val="Plain Text"/>
    <w:basedOn w:val="1"/>
    <w:qFormat/>
    <w:uiPriority w:val="0"/>
    <w:pPr>
      <w:widowControl/>
      <w:spacing w:beforeAutospacing="1" w:afterAutospacing="1"/>
      <w:jc w:val="left"/>
    </w:pPr>
    <w:rPr>
      <w:rFonts w:ascii="宋体" w:hAnsi="宋体" w:cs="宋体"/>
      <w:kern w:val="0"/>
      <w:sz w:val="24"/>
    </w:rPr>
  </w:style>
  <w:style w:type="paragraph" w:styleId="18">
    <w:name w:val="Date"/>
    <w:basedOn w:val="1"/>
    <w:next w:val="1"/>
    <w:qFormat/>
    <w:uiPriority w:val="0"/>
    <w:pPr>
      <w:ind w:left="100" w:leftChars="2500"/>
    </w:pPr>
    <w:rPr>
      <w:rFonts w:ascii="宋体" w:hAnsi="宋体"/>
      <w:sz w:val="28"/>
    </w:rPr>
  </w:style>
  <w:style w:type="paragraph" w:styleId="19">
    <w:name w:val="Body Text Indent 2"/>
    <w:basedOn w:val="1"/>
    <w:qFormat/>
    <w:uiPriority w:val="0"/>
    <w:pPr>
      <w:spacing w:line="480" w:lineRule="auto"/>
      <w:ind w:left="420" w:leftChars="200"/>
    </w:p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2"/>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41"/>
    <w:basedOn w:val="34"/>
    <w:qFormat/>
    <w:uiPriority w:val="0"/>
    <w:rPr>
      <w:rFonts w:hint="eastAsia" w:ascii="宋体" w:hAnsi="宋体" w:eastAsia="宋体" w:cs="宋体"/>
      <w:color w:val="000000"/>
      <w:sz w:val="21"/>
      <w:szCs w:val="21"/>
      <w:u w:val="none"/>
    </w:rPr>
  </w:style>
  <w:style w:type="character" w:customStyle="1" w:styleId="90">
    <w:name w:val="font51"/>
    <w:basedOn w:val="3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17111</Words>
  <Characters>18879</Characters>
  <Lines>50</Lines>
  <Paragraphs>68</Paragraphs>
  <TotalTime>11</TotalTime>
  <ScaleCrop>false</ScaleCrop>
  <LinksUpToDate>false</LinksUpToDate>
  <CharactersWithSpaces>20022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2022-06-06T01:18:38Z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E876F2C6B36340DF9F3C53F3B9DBF31F</vt:lpwstr>
  </property>
  <property fmtid="{D5CDD505-2E9C-101B-9397-08002B2CF9AE}" pid="4" name="commondata">
    <vt:lpwstr>eyJoZGlkIjoiYzIwMjRmYTY4OTJhZjc1NTA1MGQwNDc0NzZhNTkwMmUifQ==</vt:lpwstr>
  </property>
</Properties>
</file>