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驻马店市中心医院三号楼地下室至门诊楼地下室安装10KV高压电缆采购项目</w:t>
      </w:r>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1"/>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color w:val="FF0000"/>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驻马店市中心医院三号楼地下室至门诊楼地下室安装10KV高压电缆采购项目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bookmarkStart w:id="91" w:name="_GoBack"/>
      <w:r>
        <w:rPr>
          <w:rFonts w:hint="eastAsia" w:ascii="宋体" w:hAnsi="宋体" w:eastAsia="宋体" w:cs="宋体"/>
          <w:color w:val="auto"/>
        </w:rPr>
        <w:t>驻马店市中心医院现对</w:t>
      </w:r>
      <w:r>
        <w:rPr>
          <w:rFonts w:hint="eastAsia" w:ascii="宋体" w:hAnsi="宋体" w:cs="宋体"/>
          <w:color w:val="auto"/>
          <w:u w:val="single"/>
          <w:lang w:val="en-US" w:eastAsia="zh-CN"/>
        </w:rPr>
        <w:t>三号楼地下室至门诊楼地下室安装10KV高压电缆采购</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驻马店市中心医院三号楼地下室至门诊楼地下室安装10KV高压电缆采购项目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58000.00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19521"/>
      <w:bookmarkStart w:id="5" w:name="_Toc24040"/>
      <w:bookmarkStart w:id="6" w:name="_Toc26079"/>
      <w:bookmarkStart w:id="7" w:name="_Toc27913"/>
      <w:bookmarkStart w:id="8" w:name="_Toc2107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 w:val="0"/>
          <w:bCs w:val="0"/>
          <w:sz w:val="21"/>
          <w:szCs w:val="21"/>
          <w:lang w:eastAsia="zh-CN"/>
        </w:rPr>
        <w:t>以合同约定为准</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18607"/>
      <w:bookmarkStart w:id="10" w:name="_Toc23626"/>
      <w:bookmarkStart w:id="11" w:name="_Toc16639"/>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6、根据《关于在政府采购活动中查询及使用信用记录有关问题的通知》（财库【2016】125号）的规定，对列入失信被执行人、</w:t>
      </w:r>
      <w:r>
        <w:rPr>
          <w:rFonts w:hint="eastAsia" w:ascii="宋体" w:hAnsi="宋体" w:cs="宋体"/>
          <w:color w:val="FF0000"/>
          <w:kern w:val="2"/>
          <w:sz w:val="21"/>
          <w:szCs w:val="24"/>
          <w:lang w:val="en-US" w:eastAsia="zh-CN" w:bidi="ar-SA"/>
        </w:rPr>
        <w:t>税收违法黑名单</w:t>
      </w:r>
      <w:r>
        <w:rPr>
          <w:rFonts w:hint="eastAsia" w:ascii="宋体" w:hAnsi="宋体" w:eastAsia="宋体" w:cs="宋体"/>
          <w:color w:val="auto"/>
          <w:kern w:val="2"/>
          <w:sz w:val="21"/>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30971"/>
      <w:bookmarkStart w:id="14" w:name="_Toc9562"/>
      <w:bookmarkStart w:id="15" w:name="_Toc23395"/>
      <w:bookmarkStart w:id="16" w:name="_Toc7823"/>
      <w:bookmarkStart w:id="17" w:name="_Toc30643"/>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202</w:t>
      </w:r>
      <w:r>
        <w:rPr>
          <w:rFonts w:hint="eastAsia" w:ascii="宋体" w:hAnsi="宋体" w:eastAsia="宋体" w:cs="宋体"/>
          <w:color w:val="FF0000"/>
          <w:szCs w:val="21"/>
          <w:shd w:val="clear" w:color="auto" w:fill="FFFFFF"/>
          <w:lang w:val="en-US" w:eastAsia="zh-CN"/>
        </w:rPr>
        <w:t>2</w:t>
      </w:r>
      <w:r>
        <w:rPr>
          <w:rFonts w:hint="eastAsia" w:ascii="宋体" w:hAnsi="宋体" w:eastAsia="宋体" w:cs="宋体"/>
          <w:color w:val="FF0000"/>
          <w:szCs w:val="21"/>
          <w:shd w:val="clear" w:color="auto" w:fill="FFFFFF"/>
        </w:rPr>
        <w:t>年</w:t>
      </w:r>
      <w:r>
        <w:rPr>
          <w:rFonts w:hint="eastAsia" w:ascii="宋体" w:hAnsi="宋体" w:cs="宋体"/>
          <w:color w:val="FF0000"/>
          <w:szCs w:val="21"/>
          <w:shd w:val="clear" w:color="auto" w:fill="FFFFFF"/>
          <w:lang w:val="en-US" w:eastAsia="zh-CN"/>
        </w:rPr>
        <w:t>06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1</w:t>
      </w:r>
      <w:r>
        <w:rPr>
          <w:rFonts w:hint="eastAsia" w:ascii="宋体" w:hAnsi="宋体" w:eastAsia="宋体" w:cs="宋体"/>
          <w:color w:val="auto"/>
          <w:szCs w:val="21"/>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27480"/>
      <w:bookmarkStart w:id="19" w:name="_Toc10738"/>
      <w:bookmarkStart w:id="20" w:name="_Toc25869"/>
      <w:bookmarkStart w:id="21" w:name="_Toc15135"/>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6523"/>
      <w:bookmarkStart w:id="24" w:name="_Toc29784"/>
      <w:bookmarkStart w:id="25" w:name="_Toc30918"/>
      <w:bookmarkStart w:id="26"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24274"/>
      <w:bookmarkStart w:id="30" w:name="_Toc31928"/>
      <w:bookmarkStart w:id="31" w:name="_Toc3604"/>
      <w:bookmarkStart w:id="32" w:name="_Toc27370"/>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0396-3676106</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w:t>
      </w:r>
      <w:r>
        <w:rPr>
          <w:rFonts w:hint="eastAsia" w:ascii="宋体" w:hAnsi="宋体" w:cs="宋体"/>
          <w:color w:val="auto"/>
          <w:kern w:val="0"/>
          <w:sz w:val="21"/>
          <w:szCs w:val="21"/>
          <w:shd w:val="clear" w:color="auto" w:fill="FFFFFF"/>
          <w:lang w:val="en-US" w:eastAsia="zh-CN" w:bidi="ar-SA"/>
        </w:rPr>
        <w:t>6</w:t>
      </w:r>
      <w:r>
        <w:rPr>
          <w:rFonts w:hint="eastAsia" w:ascii="宋体" w:hAnsi="宋体" w:eastAsia="宋体" w:cs="宋体"/>
          <w:color w:val="auto"/>
          <w:kern w:val="0"/>
          <w:sz w:val="21"/>
          <w:szCs w:val="21"/>
          <w:shd w:val="clear" w:color="auto" w:fill="FFFFFF"/>
          <w:lang w:val="en-US" w:eastAsia="zh-CN" w:bidi="ar-SA"/>
        </w:rPr>
        <w:t>435</w:t>
      </w: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9"/>
        <w:widowControl/>
        <w:snapToGrid w:val="0"/>
        <w:spacing w:before="0" w:beforeAutospacing="0" w:after="0" w:afterAutospacing="0" w:line="360" w:lineRule="auto"/>
        <w:ind w:firstLine="420" w:firstLineChars="200"/>
        <w:jc w:val="center"/>
        <w:rPr>
          <w:rFonts w:ascii="宋体" w:hAnsi="宋体" w:cs="宋体"/>
          <w:color w:val="FF0000"/>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cs="宋体"/>
          <w:color w:val="FF0000"/>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shd w:val="clear" w:color="auto" w:fill="FFFFFF"/>
          <w:lang w:val="en-US" w:eastAsia="zh-CN" w:bidi="ar-SA"/>
        </w:rPr>
        <w:t>2022年0</w:t>
      </w:r>
      <w:r>
        <w:rPr>
          <w:rFonts w:hint="eastAsia" w:ascii="宋体" w:hAnsi="宋体" w:cs="宋体"/>
          <w:color w:val="FF0000"/>
          <w:kern w:val="0"/>
          <w:sz w:val="21"/>
          <w:szCs w:val="21"/>
          <w:shd w:val="clear" w:color="auto" w:fill="FFFFFF"/>
          <w:lang w:val="en-US" w:eastAsia="zh-CN" w:bidi="ar-SA"/>
        </w:rPr>
        <w:t>6</w:t>
      </w:r>
      <w:r>
        <w:rPr>
          <w:rFonts w:hint="eastAsia" w:ascii="宋体" w:hAnsi="宋体" w:eastAsia="宋体" w:cs="宋体"/>
          <w:color w:val="FF0000"/>
          <w:kern w:val="0"/>
          <w:sz w:val="21"/>
          <w:szCs w:val="21"/>
          <w:shd w:val="clear" w:color="auto" w:fill="FFFFFF"/>
          <w:lang w:val="en-US" w:eastAsia="zh-CN" w:bidi="ar-SA"/>
        </w:rPr>
        <w:t>月</w:t>
      </w:r>
      <w:r>
        <w:rPr>
          <w:rFonts w:hint="eastAsia" w:ascii="宋体" w:hAnsi="宋体" w:cs="宋体"/>
          <w:color w:val="FF0000"/>
          <w:kern w:val="0"/>
          <w:sz w:val="21"/>
          <w:szCs w:val="21"/>
          <w:shd w:val="clear" w:color="auto" w:fill="FFFFFF"/>
          <w:lang w:val="en-US" w:eastAsia="zh-CN" w:bidi="ar-SA"/>
        </w:rPr>
        <w:t>1</w:t>
      </w:r>
      <w:r>
        <w:rPr>
          <w:rFonts w:hint="eastAsia" w:ascii="宋体" w:hAnsi="宋体" w:eastAsia="宋体" w:cs="宋体"/>
          <w:color w:val="FF0000"/>
          <w:kern w:val="0"/>
          <w:sz w:val="21"/>
          <w:szCs w:val="21"/>
          <w:highlight w:val="none"/>
          <w:shd w:val="clear" w:color="auto" w:fill="FFFFFF"/>
          <w:lang w:val="en-US" w:eastAsia="zh-CN" w:bidi="ar-SA"/>
        </w:rPr>
        <w:t>日</w:t>
      </w:r>
    </w:p>
    <w:bookmarkEnd w:id="91"/>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0000FF"/>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驻马店市中心医院三号楼地下室至门诊楼地下室安装10KV高压电缆采购项目。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二、项目用途说明：门诊楼地下室高低压配电室从三号楼提供的高压电缆出现故障，经专业技术人员检测无法修复，造成一号楼、二号楼供电只有一路高压，存在安全隐患，为确保一号楼、二号楼用电安全，需要重新安装线路。                                                                  </w:t>
      </w:r>
    </w:p>
    <w:p>
      <w:pPr>
        <w:pageBreakBefore w:val="0"/>
        <w:widowControl/>
        <w:kinsoku/>
        <w:wordWrap/>
        <w:overflowPunct/>
        <w:topLinePunct w:val="0"/>
        <w:bidi w:val="0"/>
        <w:snapToGrid w:val="0"/>
        <w:spacing w:before="0" w:beforeAutospacing="0" w:after="0" w:afterAutospacing="0" w:line="500" w:lineRule="exact"/>
        <w:ind w:left="420" w:hanging="420" w:hanging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三、配置规格、附件及零配件（包括专用工具）：</w:t>
      </w:r>
    </w:p>
    <w:tbl>
      <w:tblPr>
        <w:tblStyle w:val="3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851"/>
        <w:gridCol w:w="1821"/>
        <w:gridCol w:w="154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序号</w:t>
            </w: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项目名称</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数量或规模</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资金预算</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三号楼地下室至门诊楼地下室安装10KV高压电缆采购项目</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见清单</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58000</w:t>
            </w:r>
            <w:r>
              <w:rPr>
                <w:rFonts w:hint="eastAsia" w:ascii="宋体" w:hAnsi="宋体" w:cs="宋体"/>
                <w:b w:val="0"/>
                <w:bCs w:val="0"/>
                <w:i w:val="0"/>
                <w:iCs w:val="0"/>
                <w:color w:val="auto"/>
                <w:kern w:val="0"/>
                <w:sz w:val="21"/>
                <w:szCs w:val="21"/>
                <w:u w:val="none"/>
                <w:lang w:val="en-US" w:eastAsia="zh-CN" w:bidi="ar"/>
              </w:rPr>
              <w:t>.00</w:t>
            </w:r>
            <w:r>
              <w:rPr>
                <w:rFonts w:hint="eastAsia" w:ascii="宋体" w:hAnsi="宋体" w:eastAsia="宋体" w:cs="宋体"/>
                <w:b w:val="0"/>
                <w:bCs w:val="0"/>
                <w:i w:val="0"/>
                <w:iCs w:val="0"/>
                <w:color w:val="auto"/>
                <w:kern w:val="0"/>
                <w:sz w:val="21"/>
                <w:szCs w:val="21"/>
                <w:u w:val="none"/>
                <w:lang w:val="en-US" w:eastAsia="zh-CN" w:bidi="ar"/>
              </w:rPr>
              <w:t>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合计</w:t>
            </w: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58000</w:t>
            </w:r>
            <w:r>
              <w:rPr>
                <w:rFonts w:hint="eastAsia" w:ascii="宋体" w:hAnsi="宋体" w:cs="宋体"/>
                <w:b w:val="0"/>
                <w:bCs w:val="0"/>
                <w:i w:val="0"/>
                <w:iCs w:val="0"/>
                <w:color w:val="auto"/>
                <w:kern w:val="0"/>
                <w:sz w:val="21"/>
                <w:szCs w:val="21"/>
                <w:u w:val="none"/>
                <w:lang w:val="en-US" w:eastAsia="zh-CN" w:bidi="ar"/>
              </w:rPr>
              <w:t>.00</w:t>
            </w:r>
            <w:r>
              <w:rPr>
                <w:rFonts w:hint="eastAsia" w:ascii="宋体" w:hAnsi="宋体" w:eastAsia="宋体" w:cs="宋体"/>
                <w:b w:val="0"/>
                <w:bCs w:val="0"/>
                <w:i w:val="0"/>
                <w:iCs w:val="0"/>
                <w:color w:val="auto"/>
                <w:kern w:val="0"/>
                <w:sz w:val="21"/>
                <w:szCs w:val="21"/>
                <w:u w:val="none"/>
                <w:lang w:val="en-US" w:eastAsia="zh-CN" w:bidi="ar"/>
              </w:rPr>
              <w:t>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r>
    </w:tbl>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投标人需具备条件：</w:t>
      </w:r>
    </w:p>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①、满足《中华人民共和国政府采购法》第二十二条规定；</w:t>
      </w:r>
    </w:p>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②、注册于中华人民共和国境内，具有独立承担民事责任能力；</w:t>
      </w:r>
    </w:p>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③、投标人须具有良好的商业信誉和完善的售后服务体系，并具有承担本项目的供货及服务能力（出具承诺书，格式自拟）；</w:t>
      </w:r>
    </w:p>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④、本项目不允许联合体投标。</w:t>
      </w:r>
    </w:p>
    <w:p>
      <w:pPr>
        <w:spacing w:line="4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四</w:t>
      </w:r>
      <w:r>
        <w:rPr>
          <w:rFonts w:hint="eastAsia" w:ascii="宋体" w:hAnsi="宋体" w:eastAsia="宋体" w:cs="宋体"/>
          <w:b w:val="0"/>
          <w:bCs w:val="0"/>
          <w:color w:val="auto"/>
          <w:kern w:val="2"/>
          <w:sz w:val="21"/>
          <w:szCs w:val="21"/>
          <w:lang w:val="en-US" w:eastAsia="zh-CN" w:bidi="ar-SA"/>
        </w:rPr>
        <w:t>、详细技术要求、参数及产品资料等：</w:t>
      </w:r>
    </w:p>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①、税务登记证、营业执照、组织机构代码或三证合一的营业执照；</w:t>
      </w:r>
    </w:p>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②、法人签字并加盖公章的委托书；</w:t>
      </w:r>
    </w:p>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③、投标人的身份证及复印件；</w:t>
      </w:r>
    </w:p>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④失信被执行人、</w:t>
      </w:r>
      <w:r>
        <w:rPr>
          <w:rFonts w:hint="eastAsia" w:ascii="宋体" w:hAnsi="宋体" w:cs="宋体"/>
          <w:b w:val="0"/>
          <w:bCs w:val="0"/>
          <w:color w:val="auto"/>
          <w:kern w:val="2"/>
          <w:sz w:val="21"/>
          <w:szCs w:val="21"/>
          <w:lang w:val="en-US" w:eastAsia="zh-CN" w:bidi="ar-SA"/>
        </w:rPr>
        <w:t>税收违法黑名单</w:t>
      </w:r>
      <w:r>
        <w:rPr>
          <w:rFonts w:hint="eastAsia" w:ascii="宋体" w:hAnsi="宋体" w:eastAsia="宋体" w:cs="宋体"/>
          <w:b w:val="0"/>
          <w:bCs w:val="0"/>
          <w:color w:val="auto"/>
          <w:kern w:val="2"/>
          <w:sz w:val="21"/>
          <w:szCs w:val="21"/>
          <w:lang w:val="en-US" w:eastAsia="zh-CN" w:bidi="ar-SA"/>
        </w:rPr>
        <w:t>、政府采购严重违法失信行为记录名单查询记录（“信用中国”及“中国政府采购网”查询记录）；</w:t>
      </w:r>
    </w:p>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⑤近三年内参加招投标活动在经营活动中没有重大违法违纪记录的书面声明。开标时，投标企业需提供上述证件的原件或复印件加公章由评委审验。 </w:t>
      </w:r>
    </w:p>
    <w:bookmarkEnd w:id="35"/>
    <w:bookmarkEnd w:id="36"/>
    <w:p>
      <w:pPr>
        <w:spacing w:line="460" w:lineRule="exact"/>
        <w:ind w:firstLine="420" w:firstLineChars="200"/>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⑥中心医院病房楼至门诊楼10KV高压电缆采购清单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5095"/>
        <w:gridCol w:w="1047"/>
        <w:gridCol w:w="918"/>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509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104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91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16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5095" w:type="dxa"/>
            <w:vAlign w:val="center"/>
          </w:tcPr>
          <w:p>
            <w:pPr>
              <w:jc w:val="center"/>
              <w:rPr>
                <w:rFonts w:hint="eastAsia" w:ascii="宋体" w:hAnsi="宋体" w:eastAsia="宋体" w:cs="宋体"/>
                <w:sz w:val="21"/>
                <w:szCs w:val="21"/>
                <w:vertAlign w:val="baseline"/>
              </w:rPr>
            </w:pPr>
            <w:r>
              <w:rPr>
                <w:rFonts w:hint="eastAsia" w:ascii="宋体" w:hAnsi="宋体" w:eastAsia="宋体" w:cs="宋体"/>
                <w:w w:val="90"/>
                <w:sz w:val="21"/>
                <w:szCs w:val="21"/>
              </w:rPr>
              <w:t>ZC-YJLV22-10KV-3×150高压电缆</w:t>
            </w:r>
          </w:p>
        </w:tc>
        <w:tc>
          <w:tcPr>
            <w:tcW w:w="104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米</w:t>
            </w:r>
          </w:p>
        </w:tc>
        <w:tc>
          <w:tcPr>
            <w:tcW w:w="91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235</w:t>
            </w:r>
          </w:p>
        </w:tc>
        <w:tc>
          <w:tcPr>
            <w:tcW w:w="1169" w:type="dxa"/>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509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rPr>
              <w:t>定向钻非开挖顶管</w:t>
            </w:r>
          </w:p>
        </w:tc>
        <w:tc>
          <w:tcPr>
            <w:tcW w:w="104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米</w:t>
            </w:r>
          </w:p>
        </w:tc>
        <w:tc>
          <w:tcPr>
            <w:tcW w:w="91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180</w:t>
            </w:r>
          </w:p>
        </w:tc>
        <w:tc>
          <w:tcPr>
            <w:tcW w:w="1169" w:type="dxa"/>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509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rPr>
              <w:t>150高压电缆终端接头</w:t>
            </w:r>
          </w:p>
        </w:tc>
        <w:tc>
          <w:tcPr>
            <w:tcW w:w="104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91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69" w:type="dxa"/>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5095"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rPr>
              <w:t>150高压电缆中间接头</w:t>
            </w:r>
          </w:p>
        </w:tc>
        <w:tc>
          <w:tcPr>
            <w:tcW w:w="104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91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69" w:type="dxa"/>
            <w:vAlign w:val="center"/>
          </w:tcPr>
          <w:p>
            <w:p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509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安装费及辅材</w:t>
            </w:r>
          </w:p>
        </w:tc>
        <w:tc>
          <w:tcPr>
            <w:tcW w:w="104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w:t>
            </w:r>
          </w:p>
        </w:tc>
        <w:tc>
          <w:tcPr>
            <w:tcW w:w="91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69" w:type="dxa"/>
            <w:vAlign w:val="center"/>
          </w:tcPr>
          <w:p>
            <w:pPr>
              <w:jc w:val="center"/>
              <w:rPr>
                <w:rFonts w:hint="eastAsia" w:ascii="宋体" w:hAnsi="宋体" w:eastAsia="宋体" w:cs="宋体"/>
                <w:sz w:val="21"/>
                <w:szCs w:val="21"/>
                <w:vertAlign w:val="baseline"/>
              </w:rPr>
            </w:pPr>
          </w:p>
        </w:tc>
      </w:tr>
    </w:tbl>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五、</w:t>
      </w:r>
      <w:r>
        <w:rPr>
          <w:rFonts w:hint="eastAsia"/>
          <w:b w:val="0"/>
          <w:bCs w:val="0"/>
          <w:color w:val="auto"/>
          <w:sz w:val="21"/>
          <w:szCs w:val="21"/>
          <w:highlight w:val="none"/>
        </w:rPr>
        <w:t>服务条件及交货日期（或工期）：</w:t>
      </w:r>
    </w:p>
    <w:p>
      <w:pPr>
        <w:spacing w:line="46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①、质量承诺：质保期一年</w:t>
      </w:r>
      <w:r>
        <w:rPr>
          <w:rFonts w:hint="eastAsia" w:ascii="宋体" w:hAnsi="宋体" w:cs="宋体"/>
          <w:b w:val="0"/>
          <w:bCs w:val="0"/>
          <w:color w:val="auto"/>
          <w:kern w:val="2"/>
          <w:sz w:val="21"/>
          <w:szCs w:val="21"/>
          <w:lang w:val="en-US" w:eastAsia="zh-CN" w:bidi="ar-SA"/>
        </w:rPr>
        <w:t>。</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b w:val="0"/>
                <w:bCs w:val="0"/>
                <w:sz w:val="21"/>
                <w:szCs w:val="21"/>
              </w:rPr>
              <w:t>自验收合格之日起设备质保期不低于</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 w:val="0"/>
                <w:bCs w:val="0"/>
                <w:sz w:val="21"/>
                <w:szCs w:val="21"/>
                <w:lang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val="en-US" w:eastAsia="zh-CN"/>
              </w:rPr>
              <w:t>驻马店市中心医院三号楼地下室至门诊楼地下室安装10KV高压电缆采购项目。</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58000.00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58000.00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4.2 </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kern w:val="2"/>
          <w:sz w:val="21"/>
          <w:szCs w:val="24"/>
          <w:lang w:val="en-US" w:eastAsia="zh-CN" w:bidi="ar-SA"/>
        </w:rPr>
        <w:t>4.3</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482"/>
      <w:bookmarkStart w:id="47" w:name="_Toc1947"/>
      <w:bookmarkStart w:id="48" w:name="_Toc256519703"/>
      <w:bookmarkStart w:id="49" w:name="_Toc326786897"/>
    </w:p>
    <w:p>
      <w:pPr>
        <w:jc w:val="cente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1"/>
      </w:pPr>
    </w:p>
    <w:p>
      <w:pPr>
        <w:jc w:val="center"/>
        <w:rPr>
          <w:rFonts w:hint="eastAsia" w:ascii="黑体" w:hAnsi="宋体" w:eastAsia="黑体" w:cs="宋体"/>
          <w:b/>
          <w:bCs/>
          <w:color w:val="auto"/>
          <w:kern w:val="0"/>
          <w:sz w:val="32"/>
          <w:szCs w:val="32"/>
          <w:highlight w:val="none"/>
        </w:rPr>
      </w:pPr>
      <w:bookmarkStart w:id="51" w:name="_Toc2638"/>
      <w:r>
        <w:rPr>
          <w:rFonts w:hint="eastAsia" w:ascii="黑体" w:hAnsi="宋体" w:eastAsia="黑体" w:cs="宋体"/>
          <w:b/>
          <w:bCs/>
          <w:color w:val="auto"/>
          <w:kern w:val="0"/>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4"/>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26"/>
        <w:rPr>
          <w:color w:val="auto"/>
          <w:highlight w:val="none"/>
        </w:rPr>
      </w:pPr>
    </w:p>
    <w:p>
      <w:pPr>
        <w:pStyle w:val="6"/>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6"/>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6"/>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8" w:name="_Toc29960"/>
      <w:bookmarkStart w:id="79" w:name="_Toc20420"/>
      <w:r>
        <w:rPr>
          <w:rFonts w:hint="eastAsia" w:ascii="Arial" w:hAnsi="Arial" w:eastAsia="新宋体"/>
          <w:b/>
          <w:color w:val="auto"/>
          <w:sz w:val="28"/>
          <w:highlight w:val="none"/>
        </w:rPr>
        <w:t>附件6               商务响应表（格式）</w:t>
      </w:r>
      <w:bookmarkEnd w:id="78"/>
      <w:bookmarkEnd w:id="79"/>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1"/>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default"/>
        <w:lang w:val="en-US" w:eastAsia="zh-CN"/>
      </w:rPr>
    </w:pPr>
    <w:r>
      <w:rPr>
        <w:rFonts w:hint="eastAsia"/>
        <w:lang w:val="en-US" w:eastAsia="zh-CN"/>
      </w:rPr>
      <w:t>驻马店市中心医院三号楼地下室至门诊楼地下室安装10KV高压电缆采购项目采购文件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default"/>
        <w:lang w:val="en-US" w:eastAsia="zh-CN"/>
      </w:rPr>
    </w:pPr>
    <w:r>
      <w:rPr>
        <w:rFonts w:hint="eastAsia"/>
        <w:lang w:val="en-US" w:eastAsia="zh-CN"/>
      </w:rPr>
      <w:t>驻马店市中心医院三号楼地下室至门诊楼地下室安装10KV高压电缆采购项目采购文件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D5F19"/>
    <w:rsid w:val="07CE3FA1"/>
    <w:rsid w:val="07EC2ECB"/>
    <w:rsid w:val="07FE66CB"/>
    <w:rsid w:val="080B4D47"/>
    <w:rsid w:val="080D1802"/>
    <w:rsid w:val="081A5D66"/>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D0646E7"/>
    <w:rsid w:val="0D0C38CA"/>
    <w:rsid w:val="0D350DE1"/>
    <w:rsid w:val="0D94268A"/>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254EC2"/>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8A6398"/>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507C3"/>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2B751B"/>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B760CA"/>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9B1E55"/>
    <w:rsid w:val="54AD4386"/>
    <w:rsid w:val="54CC6227"/>
    <w:rsid w:val="54D10F9B"/>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5B6AA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7C3F11"/>
    <w:rsid w:val="5D9D49E0"/>
    <w:rsid w:val="5DDF1821"/>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81795C"/>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widowControl/>
      <w:spacing w:beforeAutospacing="1" w:afterAutospacing="1"/>
      <w:jc w:val="left"/>
    </w:pPr>
    <w:rPr>
      <w:rFonts w:ascii="宋体" w:hAnsi="宋体" w:cs="宋体"/>
      <w:kern w:val="0"/>
      <w:sz w:val="24"/>
    </w:rPr>
  </w:style>
  <w:style w:type="paragraph" w:customStyle="1" w:styleId="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w:basedOn w:val="1"/>
    <w:next w:val="1"/>
    <w:link w:val="73"/>
    <w:qFormat/>
    <w:uiPriority w:val="0"/>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Body Text 2"/>
    <w:basedOn w:val="1"/>
    <w:next w:val="14"/>
    <w:qFormat/>
    <w:uiPriority w:val="0"/>
    <w:pPr>
      <w:spacing w:line="480" w:lineRule="auto"/>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14"/>
    <w:next w:val="2"/>
    <w:qFormat/>
    <w:uiPriority w:val="0"/>
    <w:pPr>
      <w:spacing w:line="360" w:lineRule="auto"/>
      <w:ind w:firstLine="420" w:firstLineChars="100"/>
    </w:pPr>
    <w:rPr>
      <w:szCs w:val="21"/>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2"/>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4"/>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4"/>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character" w:customStyle="1" w:styleId="89">
    <w:name w:val="font41"/>
    <w:basedOn w:val="34"/>
    <w:qFormat/>
    <w:uiPriority w:val="0"/>
    <w:rPr>
      <w:rFonts w:hint="eastAsia" w:ascii="宋体" w:hAnsi="宋体" w:eastAsia="宋体" w:cs="宋体"/>
      <w:color w:val="000000"/>
      <w:sz w:val="21"/>
      <w:szCs w:val="21"/>
      <w:u w:val="none"/>
    </w:rPr>
  </w:style>
  <w:style w:type="character" w:customStyle="1" w:styleId="90">
    <w:name w:val="font51"/>
    <w:basedOn w:val="34"/>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15147</Words>
  <Characters>15882</Characters>
  <Lines>50</Lines>
  <Paragraphs>68</Paragraphs>
  <TotalTime>4</TotalTime>
  <ScaleCrop>false</ScaleCrop>
  <LinksUpToDate>false</LinksUpToDate>
  <CharactersWithSpaces>16882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2022-06-01T00:14:17Z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E876F2C6B36340DF9F3C53F3B9DBF31F</vt:lpwstr>
  </property>
  <property fmtid="{D5CDD505-2E9C-101B-9397-08002B2CF9AE}" pid="4" name="commondata">
    <vt:lpwstr>eyJoZGlkIjoiYzIwMjRmYTY4OTJhZjc1NTA1MGQwNDc0NzZhNTkwMmUifQ==</vt:lpwstr>
  </property>
</Properties>
</file>