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驻马店市中心医院超声科医师专用椅设备采购项目</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bookmarkStart w:id="91" w:name="_GoBack"/>
      <w:r>
        <w:rPr>
          <w:rFonts w:hint="eastAsia" w:ascii="黑体" w:hAnsi="黑体" w:eastAsia="黑体" w:cs="宋体"/>
          <w:bCs/>
          <w:color w:val="auto"/>
          <w:kern w:val="0"/>
          <w:sz w:val="28"/>
          <w:szCs w:val="28"/>
          <w:u w:val="none"/>
          <w:lang w:val="en-US" w:eastAsia="zh-CN"/>
        </w:rPr>
        <w:t>驻马店市中心医院超声科医师专用椅设备采购项目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bookmarkEnd w:id="91"/>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超声科医师专用椅设备采购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驻马店市中心医院超声科医师专用椅设备采购项目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149100.00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6079"/>
      <w:bookmarkStart w:id="5" w:name="_Toc24040"/>
      <w:bookmarkStart w:id="6" w:name="_Toc27913"/>
      <w:bookmarkStart w:id="7" w:name="_Toc21071"/>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23626"/>
      <w:bookmarkStart w:id="11" w:name="_Toc18607"/>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3、供应商须为设备生产商或经销商，投标人若为设备生产商，则应具有医疗器械生产许可证；投标人若为设备经销商，则应具有医疗器械经营许可证或备案凭证；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9562"/>
      <w:bookmarkStart w:id="14" w:name="_Toc23395"/>
      <w:bookmarkStart w:id="15" w:name="_Toc30643"/>
      <w:bookmarkStart w:id="16" w:name="_Toc30971"/>
      <w:bookmarkStart w:id="17" w:name="_Toc782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0738"/>
      <w:bookmarkStart w:id="19" w:name="_Toc15111"/>
      <w:bookmarkStart w:id="20" w:name="_Toc25869"/>
      <w:bookmarkStart w:id="21" w:name="_Toc15135"/>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29784"/>
      <w:bookmarkStart w:id="25" w:name="_Toc20287"/>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604"/>
      <w:bookmarkStart w:id="30" w:name="_Toc24274"/>
      <w:bookmarkStart w:id="31" w:name="_Toc27370"/>
      <w:bookmarkStart w:id="32" w:name="_Toc16291"/>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2022年0</w:t>
      </w:r>
      <w:r>
        <w:rPr>
          <w:rFonts w:hint="eastAsia" w:ascii="宋体" w:hAnsi="宋体" w:cs="宋体"/>
          <w:color w:val="FF0000"/>
          <w:kern w:val="0"/>
          <w:sz w:val="21"/>
          <w:szCs w:val="21"/>
          <w:shd w:val="clear" w:color="auto" w:fill="FFFFFF"/>
          <w:lang w:val="en-US" w:eastAsia="zh-CN" w:bidi="ar-SA"/>
        </w:rPr>
        <w:t>5</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23</w:t>
      </w:r>
      <w:r>
        <w:rPr>
          <w:rFonts w:hint="eastAsia" w:ascii="宋体" w:hAnsi="宋体" w:eastAsia="宋体" w:cs="宋体"/>
          <w:color w:val="FF0000"/>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驻马店市中心医院超声科医师专用椅设备采购项目。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二、项目用途说明：为改善我院超声科医师职业损伤，减轻超声科医师工作压力，提高检查效率，优化科检查环境，提高医疗服务水平，需配备医师专用椅。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三、配置规格、附件及零配件（包括专用工具）：                                                      </w:t>
      </w:r>
    </w:p>
    <w:tbl>
      <w:tblPr>
        <w:tblStyle w:val="32"/>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33"/>
        <w:gridCol w:w="1604"/>
        <w:gridCol w:w="1679"/>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16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数量或规模</w:t>
            </w:r>
          </w:p>
        </w:tc>
        <w:tc>
          <w:tcPr>
            <w:tcW w:w="16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5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4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color w:val="auto"/>
                <w:kern w:val="0"/>
                <w:sz w:val="21"/>
                <w:szCs w:val="21"/>
                <w:shd w:val="clear" w:color="auto" w:fill="FFFFFF"/>
                <w:lang w:val="en-US" w:eastAsia="zh-CN" w:bidi="ar-SA"/>
              </w:rPr>
              <w:t>驻马店市中心医院</w:t>
            </w:r>
            <w:r>
              <w:rPr>
                <w:rFonts w:hint="eastAsia" w:ascii="宋体" w:hAnsi="宋体" w:eastAsia="宋体" w:cs="宋体"/>
                <w:b w:val="0"/>
                <w:bCs w:val="0"/>
                <w:i w:val="0"/>
                <w:iCs w:val="0"/>
                <w:color w:val="000000"/>
                <w:kern w:val="0"/>
                <w:sz w:val="21"/>
                <w:szCs w:val="21"/>
                <w:u w:val="none"/>
                <w:lang w:val="en-US" w:eastAsia="zh-CN" w:bidi="ar"/>
              </w:rPr>
              <w:t>超声科医师专用椅设备采购</w:t>
            </w:r>
          </w:p>
        </w:tc>
        <w:tc>
          <w:tcPr>
            <w:tcW w:w="16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见清单</w:t>
            </w:r>
          </w:p>
        </w:tc>
        <w:tc>
          <w:tcPr>
            <w:tcW w:w="16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149100.00元</w:t>
            </w:r>
          </w:p>
        </w:tc>
        <w:tc>
          <w:tcPr>
            <w:tcW w:w="15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34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149100.00元</w:t>
            </w:r>
          </w:p>
        </w:tc>
        <w:tc>
          <w:tcPr>
            <w:tcW w:w="15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spacing w:line="46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四</w:t>
      </w:r>
      <w:r>
        <w:rPr>
          <w:rFonts w:hint="eastAsia" w:ascii="宋体" w:hAnsi="宋体" w:eastAsia="宋体" w:cs="宋体"/>
          <w:b w:val="0"/>
          <w:bCs w:val="0"/>
          <w:kern w:val="2"/>
          <w:sz w:val="21"/>
          <w:szCs w:val="21"/>
          <w:lang w:val="en-US" w:eastAsia="zh-CN" w:bidi="ar-SA"/>
        </w:rPr>
        <w:t>、详细技术要求、参数及产品资料等：</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①、税务登记证、营业执照、组织机构代码或三证合一的营业执照；</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②、法人签字并加盖公章的委托书；</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③、投标人的身份证及复印件；</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④、失信被执行人、重大税收违法案件当事人名单、政府采购严重违法失信行为记录名单查询记录（“信用中国”及“中国政府采购网”查询记录）；</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⑤、近三年内参加招投标活动在经营活动中没有重大违法违纪记录的书面声明。</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开标时，投标企业需提供上述证件的原件或复印件加公章由评委审验。</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⑥采购清单：</w:t>
      </w:r>
    </w:p>
    <w:tbl>
      <w:tblPr>
        <w:tblStyle w:val="33"/>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347"/>
        <w:gridCol w:w="1249"/>
        <w:gridCol w:w="1171"/>
        <w:gridCol w:w="186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347"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249"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171"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868"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1655"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超声科医师专用椅</w:t>
            </w:r>
          </w:p>
        </w:tc>
        <w:tc>
          <w:tcPr>
            <w:tcW w:w="1249"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171"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把</w:t>
            </w:r>
          </w:p>
        </w:tc>
        <w:tc>
          <w:tcPr>
            <w:tcW w:w="1868"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4970</w:t>
            </w:r>
          </w:p>
        </w:tc>
        <w:tc>
          <w:tcPr>
            <w:tcW w:w="1655" w:type="dxa"/>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149100</w:t>
            </w:r>
          </w:p>
        </w:tc>
      </w:tr>
    </w:tbl>
    <w:p>
      <w:pPr>
        <w:spacing w:line="360" w:lineRule="auto"/>
        <w:ind w:firstLine="360" w:firstLineChars="200"/>
        <w:jc w:val="both"/>
        <w:rPr>
          <w:rFonts w:hint="eastAsia"/>
          <w:sz w:val="18"/>
          <w:szCs w:val="21"/>
          <w:lang w:val="en-US" w:eastAsia="zh-CN"/>
        </w:rPr>
      </w:pPr>
      <w:r>
        <w:rPr>
          <w:rFonts w:hint="eastAsia"/>
          <w:sz w:val="18"/>
          <w:szCs w:val="21"/>
          <w:lang w:val="en-US" w:eastAsia="zh-CN"/>
        </w:rPr>
        <w:t>注：本单价含税运、安装费</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⑦技术参数：</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医师专用椅（PC1）技术要求：</w:t>
      </w:r>
    </w:p>
    <w:p>
      <w:pPr>
        <w:numPr>
          <w:ilvl w:val="0"/>
          <w:numId w:val="0"/>
        </w:numPr>
        <w:spacing w:line="360" w:lineRule="auto"/>
        <w:ind w:leftChars="0" w:firstLine="420" w:firstLineChars="200"/>
        <w:rPr>
          <w:rFonts w:hint="eastAsia" w:ascii="宋体" w:hAnsi="宋体"/>
        </w:rPr>
      </w:pPr>
      <w:r>
        <w:rPr>
          <w:rFonts w:hint="eastAsia" w:ascii="宋体" w:hAnsi="宋体"/>
          <w:lang w:val="en-US" w:eastAsia="zh-CN"/>
        </w:rPr>
        <w:t>1、</w:t>
      </w:r>
      <w:r>
        <w:rPr>
          <w:rFonts w:hint="eastAsia" w:ascii="宋体" w:hAnsi="宋体"/>
        </w:rPr>
        <w:t>符合人体工程学设计，缓解腰肌劳损，减少疲劳及神经压迫，预防肩周炎、腕管及脉管综合症等职业病症；</w:t>
      </w:r>
    </w:p>
    <w:p>
      <w:pPr>
        <w:numPr>
          <w:ilvl w:val="0"/>
          <w:numId w:val="0"/>
        </w:numPr>
        <w:spacing w:line="360" w:lineRule="auto"/>
        <w:ind w:leftChars="0"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椅面、椅背采用防水、防腐防紫外线、抗菌耐磨防皮</w:t>
      </w:r>
      <w:r>
        <w:rPr>
          <w:rFonts w:hint="eastAsia" w:ascii="宋体" w:hAnsi="宋体"/>
          <w:szCs w:val="21"/>
          <w:lang w:eastAsia="zh-CN"/>
        </w:rPr>
        <w:t>；</w:t>
      </w:r>
    </w:p>
    <w:p>
      <w:pPr>
        <w:numPr>
          <w:ilvl w:val="0"/>
          <w:numId w:val="0"/>
        </w:numPr>
        <w:spacing w:line="360" w:lineRule="auto"/>
        <w:ind w:leftChars="0" w:firstLine="420" w:firstLineChars="200"/>
        <w:rPr>
          <w:rFonts w:hint="eastAsia" w:ascii="宋体" w:hAnsi="宋体" w:eastAsia="宋体"/>
          <w:szCs w:val="21"/>
          <w:lang w:eastAsia="zh-CN"/>
        </w:rPr>
      </w:pPr>
      <w:r>
        <w:rPr>
          <w:rFonts w:hint="eastAsia" w:ascii="宋体" w:hAnsi="宋体" w:cs="宋体"/>
          <w:b w:val="0"/>
          <w:bCs/>
          <w:kern w:val="0"/>
          <w:szCs w:val="21"/>
          <w:lang w:val="en-US" w:eastAsia="zh-CN"/>
        </w:rPr>
        <w:t>3、</w:t>
      </w:r>
      <w:r>
        <w:rPr>
          <w:rFonts w:hint="eastAsia" w:ascii="宋体" w:hAnsi="宋体" w:cs="宋体"/>
          <w:b/>
          <w:kern w:val="0"/>
          <w:szCs w:val="21"/>
        </w:rPr>
        <w:t xml:space="preserve">* </w:t>
      </w:r>
      <w:r>
        <w:rPr>
          <w:rFonts w:hint="eastAsia" w:ascii="宋体" w:hAnsi="宋体"/>
          <w:szCs w:val="21"/>
        </w:rPr>
        <w:t>椅面、椅背内部</w:t>
      </w:r>
      <w:r>
        <w:rPr>
          <w:rFonts w:hint="eastAsia" w:ascii="宋体" w:hAnsi="宋体" w:cs="宋体"/>
          <w:kern w:val="0"/>
          <w:szCs w:val="21"/>
        </w:rPr>
        <w:t>坐（靠）垫</w:t>
      </w:r>
      <w:r>
        <w:rPr>
          <w:rFonts w:hint="eastAsia" w:ascii="宋体" w:hAnsi="宋体"/>
          <w:szCs w:val="21"/>
        </w:rPr>
        <w:t>使用高密度泡沬</w:t>
      </w:r>
      <w:r>
        <w:rPr>
          <w:rFonts w:hint="eastAsia" w:ascii="宋体" w:hAnsi="宋体" w:cs="宋体"/>
          <w:kern w:val="0"/>
          <w:szCs w:val="21"/>
        </w:rPr>
        <w:t>软垫</w:t>
      </w:r>
      <w:r>
        <w:rPr>
          <w:rFonts w:hint="eastAsia" w:ascii="宋体" w:hAnsi="宋体" w:cs="宋体"/>
          <w:kern w:val="0"/>
          <w:szCs w:val="21"/>
          <w:lang w:eastAsia="zh-CN"/>
        </w:rPr>
        <w:t>；</w:t>
      </w:r>
    </w:p>
    <w:p>
      <w:pPr>
        <w:numPr>
          <w:ilvl w:val="0"/>
          <w:numId w:val="0"/>
        </w:numPr>
        <w:spacing w:line="360" w:lineRule="auto"/>
        <w:ind w:leftChars="0" w:firstLine="420" w:firstLineChars="200"/>
        <w:rPr>
          <w:rFonts w:hint="eastAsia" w:ascii="宋体" w:hAnsi="宋体"/>
        </w:rPr>
      </w:pPr>
      <w:r>
        <w:rPr>
          <w:rFonts w:hint="eastAsia" w:ascii="宋体" w:hAnsi="宋体"/>
          <w:lang w:val="en-US" w:eastAsia="zh-CN"/>
        </w:rPr>
        <w:t>4、</w:t>
      </w:r>
      <w:r>
        <w:rPr>
          <w:rFonts w:hint="eastAsia" w:ascii="宋体" w:hAnsi="宋体"/>
        </w:rPr>
        <w:t>靠背可适度后倾，最大后倾角度10度，可在最大后倾范围内的任意角度位置锁定，有解锁自动回调功能；</w:t>
      </w:r>
    </w:p>
    <w:p>
      <w:pPr>
        <w:numPr>
          <w:ilvl w:val="0"/>
          <w:numId w:val="0"/>
        </w:numPr>
        <w:spacing w:line="360" w:lineRule="auto"/>
        <w:ind w:leftChars="0" w:firstLine="420" w:firstLineChars="200"/>
        <w:rPr>
          <w:rFonts w:hint="eastAsia" w:ascii="宋体" w:hAnsi="宋体" w:eastAsia="宋体"/>
          <w:lang w:eastAsia="zh-CN"/>
        </w:rPr>
      </w:pPr>
      <w:r>
        <w:rPr>
          <w:rFonts w:hint="eastAsia" w:ascii="宋体" w:hAnsi="宋体"/>
          <w:lang w:val="en-US" w:eastAsia="zh-CN"/>
        </w:rPr>
        <w:t>5、</w:t>
      </w:r>
      <w:r>
        <w:rPr>
          <w:rFonts w:hint="eastAsia" w:ascii="宋体" w:hAnsi="宋体"/>
        </w:rPr>
        <w:t>移动式马鞍形椅面，前后移动范围：5</w:t>
      </w:r>
      <w:r>
        <w:rPr>
          <w:rFonts w:hint="eastAsia" w:ascii="宋体" w:hAnsi="宋体"/>
          <w:szCs w:val="21"/>
        </w:rPr>
        <w:t>±1</w:t>
      </w:r>
      <w:r>
        <w:rPr>
          <w:rFonts w:hint="eastAsia" w:ascii="宋体" w:hAnsi="宋体"/>
        </w:rPr>
        <w:t>cm</w:t>
      </w:r>
      <w:r>
        <w:rPr>
          <w:rFonts w:hint="eastAsia" w:ascii="宋体" w:hAnsi="宋体"/>
          <w:lang w:eastAsia="zh-CN"/>
        </w:rPr>
        <w:t>；</w:t>
      </w:r>
    </w:p>
    <w:p>
      <w:pPr>
        <w:numPr>
          <w:ilvl w:val="0"/>
          <w:numId w:val="0"/>
        </w:numPr>
        <w:spacing w:line="360" w:lineRule="auto"/>
        <w:ind w:leftChars="0" w:firstLine="420" w:firstLineChars="200"/>
        <w:rPr>
          <w:rFonts w:hint="eastAsia" w:ascii="宋体" w:hAnsi="宋体"/>
        </w:rPr>
      </w:pPr>
      <w:r>
        <w:rPr>
          <w:rFonts w:hint="eastAsia" w:ascii="宋体" w:hAnsi="宋体"/>
          <w:lang w:val="en-US" w:eastAsia="zh-CN"/>
        </w:rPr>
        <w:t>6、</w:t>
      </w:r>
      <w:r>
        <w:rPr>
          <w:rFonts w:hint="eastAsia" w:ascii="宋体" w:hAnsi="宋体"/>
        </w:rPr>
        <w:t>椅面可高度调节，最低</w:t>
      </w:r>
      <w:r>
        <w:rPr>
          <w:rFonts w:ascii="宋体" w:hAnsi="宋体"/>
        </w:rPr>
        <w:t>位</w:t>
      </w:r>
      <w:r>
        <w:rPr>
          <w:rFonts w:hint="eastAsia" w:ascii="宋体" w:hAnsi="宋体"/>
        </w:rPr>
        <w:t>5</w:t>
      </w:r>
      <w:r>
        <w:rPr>
          <w:rFonts w:ascii="宋体" w:hAnsi="宋体"/>
        </w:rPr>
        <w:t>0</w:t>
      </w:r>
      <w:r>
        <w:rPr>
          <w:rFonts w:hint="eastAsia" w:ascii="宋体" w:hAnsi="宋体"/>
          <w:szCs w:val="21"/>
        </w:rPr>
        <w:t>±5</w:t>
      </w:r>
      <w:r>
        <w:rPr>
          <w:rFonts w:hint="eastAsia" w:ascii="宋体" w:hAnsi="宋体"/>
        </w:rPr>
        <w:t>cm，最高</w:t>
      </w:r>
      <w:r>
        <w:rPr>
          <w:rFonts w:ascii="宋体" w:hAnsi="宋体"/>
        </w:rPr>
        <w:t>位</w:t>
      </w:r>
      <w:r>
        <w:rPr>
          <w:rFonts w:hint="eastAsia" w:ascii="宋体" w:hAnsi="宋体"/>
        </w:rPr>
        <w:t>65</w:t>
      </w:r>
      <w:r>
        <w:rPr>
          <w:rFonts w:hint="eastAsia" w:ascii="宋体" w:hAnsi="宋体"/>
          <w:szCs w:val="21"/>
        </w:rPr>
        <w:t>±5</w:t>
      </w:r>
      <w:r>
        <w:rPr>
          <w:rFonts w:hint="eastAsia" w:ascii="宋体" w:hAnsi="宋体"/>
        </w:rPr>
        <w:t xml:space="preserve">cm； </w:t>
      </w:r>
    </w:p>
    <w:p>
      <w:pPr>
        <w:numPr>
          <w:ilvl w:val="0"/>
          <w:numId w:val="0"/>
        </w:numPr>
        <w:spacing w:line="360" w:lineRule="auto"/>
        <w:ind w:leftChars="0" w:firstLine="420" w:firstLineChars="200"/>
        <w:rPr>
          <w:rFonts w:hint="eastAsia" w:ascii="宋体" w:hAnsi="宋体" w:eastAsia="宋体"/>
          <w:szCs w:val="21"/>
          <w:lang w:eastAsia="zh-CN"/>
        </w:rPr>
      </w:pPr>
      <w:r>
        <w:rPr>
          <w:rFonts w:hint="eastAsia" w:ascii="宋体" w:hAnsi="宋体" w:cs="宋体"/>
          <w:b w:val="0"/>
          <w:bCs/>
          <w:kern w:val="0"/>
          <w:szCs w:val="21"/>
          <w:lang w:val="en-US" w:eastAsia="zh-CN"/>
        </w:rPr>
        <w:t>7、</w:t>
      </w:r>
      <w:r>
        <w:rPr>
          <w:rFonts w:hint="eastAsia" w:ascii="宋体" w:hAnsi="宋体" w:cs="宋体"/>
          <w:b/>
          <w:kern w:val="0"/>
          <w:szCs w:val="21"/>
        </w:rPr>
        <w:t xml:space="preserve">* </w:t>
      </w:r>
      <w:r>
        <w:rPr>
          <w:rFonts w:hint="eastAsia" w:ascii="宋体" w:hAnsi="宋体"/>
          <w:szCs w:val="21"/>
        </w:rPr>
        <w:t>椅面坐垫托盘采用钢板固定件</w:t>
      </w:r>
      <w:r>
        <w:rPr>
          <w:rFonts w:hint="eastAsia" w:ascii="宋体" w:hAnsi="宋体"/>
          <w:szCs w:val="21"/>
          <w:lang w:eastAsia="zh-CN"/>
        </w:rPr>
        <w:t>；</w:t>
      </w:r>
    </w:p>
    <w:p>
      <w:pPr>
        <w:numPr>
          <w:ilvl w:val="0"/>
          <w:numId w:val="0"/>
        </w:numPr>
        <w:spacing w:line="360" w:lineRule="auto"/>
        <w:ind w:leftChars="0" w:firstLine="420" w:firstLineChars="200"/>
        <w:rPr>
          <w:rFonts w:hint="eastAsia" w:ascii="宋体" w:hAnsi="宋体"/>
          <w:szCs w:val="21"/>
        </w:rPr>
      </w:pPr>
      <w:r>
        <w:rPr>
          <w:rFonts w:hint="eastAsia" w:ascii="宋体" w:hAnsi="宋体" w:cs="宋体"/>
          <w:kern w:val="0"/>
          <w:szCs w:val="21"/>
          <w:lang w:val="en-US" w:eastAsia="zh-CN"/>
        </w:rPr>
        <w:t>8、</w:t>
      </w:r>
      <w:r>
        <w:rPr>
          <w:rFonts w:hint="eastAsia" w:ascii="宋体" w:hAnsi="宋体" w:cs="宋体"/>
          <w:kern w:val="0"/>
          <w:szCs w:val="21"/>
        </w:rPr>
        <w:t>高级气动杆，</w:t>
      </w:r>
      <w:r>
        <w:rPr>
          <w:rFonts w:hint="eastAsia" w:ascii="宋体" w:hAnsi="宋体"/>
          <w:szCs w:val="21"/>
        </w:rPr>
        <w:t>气缸承重≥100Kg；</w:t>
      </w:r>
    </w:p>
    <w:p>
      <w:pPr>
        <w:numPr>
          <w:ilvl w:val="0"/>
          <w:numId w:val="0"/>
        </w:numPr>
        <w:spacing w:line="360" w:lineRule="auto"/>
        <w:ind w:leftChars="0"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全方位脚托，优质钢材质，</w:t>
      </w:r>
      <w:r>
        <w:rPr>
          <w:rFonts w:hint="eastAsia" w:ascii="宋体" w:hAnsi="宋体"/>
        </w:rPr>
        <w:t>脚托直径：50cm；上下调节范围：16</w:t>
      </w:r>
      <w:r>
        <w:rPr>
          <w:rFonts w:hint="eastAsia" w:ascii="宋体" w:hAnsi="宋体"/>
          <w:szCs w:val="21"/>
        </w:rPr>
        <w:t>±1</w:t>
      </w:r>
      <w:r>
        <w:rPr>
          <w:rFonts w:hint="eastAsia" w:ascii="宋体" w:hAnsi="宋体"/>
        </w:rPr>
        <w:t>cm</w:t>
      </w:r>
      <w:r>
        <w:rPr>
          <w:rFonts w:hint="eastAsia" w:ascii="宋体" w:hAnsi="宋体"/>
          <w:szCs w:val="21"/>
        </w:rPr>
        <w:t>；</w:t>
      </w:r>
    </w:p>
    <w:p>
      <w:pPr>
        <w:numPr>
          <w:ilvl w:val="0"/>
          <w:numId w:val="0"/>
        </w:numPr>
        <w:spacing w:line="360" w:lineRule="auto"/>
        <w:ind w:leftChars="0" w:firstLine="420" w:firstLineChars="200"/>
        <w:rPr>
          <w:rFonts w:hint="eastAsia" w:ascii="宋体" w:hAnsi="宋体" w:eastAsia="宋体"/>
          <w:lang w:eastAsia="zh-CN"/>
        </w:rPr>
      </w:pPr>
      <w:r>
        <w:rPr>
          <w:rFonts w:hint="eastAsia" w:ascii="宋体" w:hAnsi="宋体"/>
          <w:lang w:val="en-US" w:eastAsia="zh-CN"/>
        </w:rPr>
        <w:t>10、</w:t>
      </w:r>
      <w:r>
        <w:rPr>
          <w:rFonts w:hint="eastAsia" w:ascii="宋体" w:hAnsi="宋体"/>
        </w:rPr>
        <w:t>底座采用吕合金材质</w:t>
      </w:r>
      <w:r>
        <w:rPr>
          <w:rFonts w:hint="eastAsia" w:ascii="宋体" w:hAnsi="宋体"/>
          <w:lang w:eastAsia="zh-CN"/>
        </w:rPr>
        <w:t>；</w:t>
      </w:r>
    </w:p>
    <w:p>
      <w:pPr>
        <w:numPr>
          <w:ilvl w:val="0"/>
          <w:numId w:val="0"/>
        </w:numPr>
        <w:spacing w:line="360" w:lineRule="auto"/>
        <w:ind w:leftChars="0" w:firstLine="420" w:firstLineChars="200"/>
        <w:rPr>
          <w:rFonts w:hint="eastAsia" w:ascii="宋体" w:hAnsi="宋体" w:eastAsia="宋体"/>
          <w:szCs w:val="21"/>
          <w:lang w:eastAsia="zh-CN"/>
        </w:rPr>
      </w:pPr>
      <w:r>
        <w:rPr>
          <w:rFonts w:hint="eastAsia" w:ascii="宋体" w:hAnsi="宋体"/>
          <w:lang w:val="en-US" w:eastAsia="zh-CN"/>
        </w:rPr>
        <w:t>11、</w:t>
      </w:r>
      <w:r>
        <w:rPr>
          <w:rFonts w:hint="eastAsia" w:ascii="宋体" w:hAnsi="宋体" w:cs="宋体"/>
          <w:b/>
          <w:kern w:val="0"/>
          <w:szCs w:val="21"/>
        </w:rPr>
        <w:t xml:space="preserve">* </w:t>
      </w:r>
      <w:r>
        <w:rPr>
          <w:rFonts w:hint="eastAsia" w:ascii="宋体" w:hAnsi="宋体" w:cs="宋体"/>
          <w:kern w:val="0"/>
          <w:szCs w:val="21"/>
        </w:rPr>
        <w:t>进口</w:t>
      </w:r>
      <w:r>
        <w:rPr>
          <w:rFonts w:hint="eastAsia" w:ascii="宋体" w:hAnsi="宋体"/>
          <w:szCs w:val="21"/>
        </w:rPr>
        <w:t>万向轮，</w:t>
      </w:r>
      <w:r>
        <w:rPr>
          <w:rFonts w:hint="eastAsia" w:ascii="宋体" w:hAnsi="宋体"/>
          <w:b w:val="0"/>
          <w:bCs/>
          <w:szCs w:val="21"/>
        </w:rPr>
        <w:t>有重力制动功能，</w:t>
      </w:r>
      <w:r>
        <w:rPr>
          <w:rFonts w:hint="eastAsia" w:ascii="宋体" w:hAnsi="宋体"/>
          <w:szCs w:val="21"/>
        </w:rPr>
        <w:t>负重即自动半锁定</w:t>
      </w:r>
      <w:r>
        <w:rPr>
          <w:rFonts w:hint="eastAsia" w:ascii="宋体" w:hAnsi="宋体"/>
          <w:szCs w:val="21"/>
          <w:lang w:eastAsia="zh-CN"/>
        </w:rPr>
        <w:t>；</w:t>
      </w:r>
    </w:p>
    <w:p>
      <w:pPr>
        <w:numPr>
          <w:ilvl w:val="0"/>
          <w:numId w:val="0"/>
        </w:numPr>
        <w:spacing w:line="360" w:lineRule="auto"/>
        <w:ind w:leftChars="0" w:firstLine="420" w:firstLineChars="200"/>
        <w:rPr>
          <w:rFonts w:hint="eastAsia" w:ascii="宋体" w:hAnsi="宋体" w:eastAsia="宋体"/>
          <w:szCs w:val="21"/>
          <w:lang w:eastAsia="zh-CN"/>
        </w:rPr>
      </w:pPr>
      <w:r>
        <w:rPr>
          <w:rFonts w:hint="eastAsia" w:ascii="宋体" w:hAnsi="宋体"/>
          <w:szCs w:val="21"/>
          <w:lang w:val="en-US" w:eastAsia="zh-CN"/>
        </w:rPr>
        <w:t>12、</w:t>
      </w:r>
      <w:r>
        <w:rPr>
          <w:rFonts w:hint="eastAsia" w:ascii="宋体" w:hAnsi="宋体"/>
          <w:szCs w:val="21"/>
        </w:rPr>
        <w:t>脚轮整体承重≥175公斤，整体安全承重和抗冲击重量≥100Kg</w:t>
      </w:r>
      <w:r>
        <w:rPr>
          <w:rFonts w:hint="eastAsia" w:ascii="宋体" w:hAnsi="宋体"/>
          <w:szCs w:val="21"/>
          <w:lang w:eastAsia="zh-CN"/>
        </w:rPr>
        <w:t>。</w:t>
      </w:r>
    </w:p>
    <w:bookmarkEnd w:id="35"/>
    <w:bookmarkEnd w:id="36"/>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w:t>
      </w:r>
      <w:r>
        <w:rPr>
          <w:rFonts w:hint="eastAsia"/>
          <w:b w:val="0"/>
          <w:bCs w:val="0"/>
          <w:color w:val="auto"/>
          <w:sz w:val="21"/>
          <w:szCs w:val="21"/>
          <w:highlight w:val="none"/>
        </w:rPr>
        <w:t>服务条件及交货日期（或工期）：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驻马店市中心医院超声科医师专用椅设备采购项目</w:t>
      </w:r>
      <w:r>
        <w:rPr>
          <w:rFonts w:hint="eastAsia" w:ascii="宋体" w:hAnsi="宋体" w:eastAsia="宋体" w:cs="宋体"/>
          <w:b w:val="0"/>
          <w:bCs w:val="0"/>
          <w:sz w:val="21"/>
          <w:szCs w:val="21"/>
        </w:rPr>
        <w:t>，包括货物的采购、包装、运输、安装、调试、检测、验收合格交付使用之前及保修期内保修服务、备用物件、系统升级等。</w:t>
      </w:r>
      <w:r>
        <w:rPr>
          <w:rFonts w:hint="eastAsia" w:ascii="宋体" w:hAnsi="宋体" w:eastAsia="宋体" w:cs="宋体"/>
          <w:b w:val="0"/>
          <w:bCs w:val="0"/>
          <w:sz w:val="21"/>
          <w:szCs w:val="21"/>
          <w:lang w:val="en-US" w:eastAsia="zh-CN"/>
        </w:rPr>
        <w:t>以合同约定为准</w:t>
      </w:r>
      <w:r>
        <w:rPr>
          <w:rFonts w:hint="eastAsia" w:ascii="宋体" w:hAnsi="宋体" w:eastAsia="宋体" w:cs="宋体"/>
          <w:b w:val="0"/>
          <w:bCs w:val="0"/>
          <w:sz w:val="21"/>
          <w:szCs w:val="21"/>
        </w:rPr>
        <w:t>交付使用，并对采购方进行人员培训。</w:t>
      </w:r>
    </w:p>
    <w:p>
      <w:pPr>
        <w:pageBreakBefore w:val="0"/>
        <w:kinsoku/>
        <w:wordWrap/>
        <w:overflowPunct/>
        <w:topLinePunct w:val="0"/>
        <w:bidi w:val="0"/>
        <w:spacing w:beforeAutospacing="0" w:afterAutospacing="0" w:line="500" w:lineRule="exact"/>
        <w:ind w:firstLine="420" w:firstLineChars="200"/>
        <w:textAlignment w:val="auto"/>
        <w:rPr>
          <w:rFonts w:hint="eastAsia"/>
        </w:rPr>
      </w:pPr>
      <w:r>
        <w:rPr>
          <w:rFonts w:hint="eastAsia" w:ascii="宋体" w:hAnsi="宋体" w:eastAsia="宋体" w:cs="宋体"/>
          <w:lang w:val="en-US" w:eastAsia="zh-CN"/>
        </w:rPr>
        <w:t>2、</w:t>
      </w:r>
      <w:r>
        <w:rPr>
          <w:rFonts w:hint="eastAsia" w:ascii="宋体" w:hAnsi="宋体" w:eastAsia="宋体" w:cs="宋体"/>
          <w:lang w:val="zh-CN"/>
        </w:rPr>
        <w:t>承诺有驻地服务，提供7*24小时服务，发生故障30分钟内响应到达现场，同时2小时内解决问题，最长不得超过4小时解决问题。</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cs="宋体"/>
                <w:lang w:val="en-US" w:eastAsia="zh-CN"/>
              </w:rPr>
              <w:t>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jc w:val="center"/>
        <w:rPr>
          <w:b/>
          <w:bCs/>
          <w:color w:val="auto"/>
          <w:sz w:val="32"/>
          <w:szCs w:val="32"/>
          <w:highlight w:val="none"/>
        </w:rPr>
      </w:pPr>
      <w:bookmarkStart w:id="40" w:name="_Toc14504"/>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驻马店市中心医院超声科医师专用椅设备采购项目。</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149100.00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149100.00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4.3 供应商须为设备生产商或经销商，投标人若为设备生产商，则应具有医疗器械生产许可证；投标人若为设备经销商，则应具有医疗器械经营许可证或备案凭证；</w:t>
      </w:r>
    </w:p>
    <w:p>
      <w:pPr>
        <w:keepNext w:val="0"/>
        <w:keepLines w:val="0"/>
        <w:pageBreakBefore w:val="0"/>
        <w:widowControl/>
        <w:kinsoku/>
        <w:wordWrap/>
        <w:overflowPunct/>
        <w:topLinePunct w:val="0"/>
        <w:bidi w:val="0"/>
        <w:snapToGrid w:val="0"/>
        <w:spacing w:beforeAutospacing="0"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jc w:val="center"/>
        <w:rPr>
          <w:rFonts w:ascii="宋体" w:hAnsi="宋体" w:cs="宋体"/>
          <w:color w:val="auto"/>
          <w:kern w:val="0"/>
          <w:sz w:val="24"/>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8"/>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8"/>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8"/>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8"/>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8"/>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9960"/>
      <w:bookmarkStart w:id="79" w:name="_Toc2042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驻马店市中心医院超声科医师专用椅设备采购项目采购文件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驻马店市中心医院超声科医师专用椅设备采购项目采购文件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684BA8"/>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D1153D"/>
    <w:rsid w:val="57DC3362"/>
    <w:rsid w:val="57FA3774"/>
    <w:rsid w:val="58084A3C"/>
    <w:rsid w:val="583354EA"/>
    <w:rsid w:val="585D2975"/>
    <w:rsid w:val="587E3341"/>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link w:val="73"/>
    <w:qFormat/>
    <w:uiPriority w:val="0"/>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spacing w:beforeAutospacing="1" w:afterAutospacing="1"/>
      <w:jc w:val="left"/>
    </w:pPr>
    <w:rPr>
      <w:rFonts w:ascii="宋体" w:hAnsi="宋体" w:cs="宋体"/>
      <w:kern w:val="0"/>
      <w:sz w:val="24"/>
    </w:rPr>
  </w:style>
  <w:style w:type="paragraph" w:styleId="12">
    <w:name w:val="Normal Indent"/>
    <w:basedOn w:val="1"/>
    <w:qFormat/>
    <w:uiPriority w:val="0"/>
    <w:pPr>
      <w:widowControl/>
      <w:spacing w:beforeAutospacing="1" w:afterAutospacing="1"/>
      <w:jc w:val="left"/>
    </w:pPr>
    <w:rPr>
      <w:rFonts w:ascii="宋体" w:hAnsi="宋体" w:cs="宋体"/>
      <w:kern w:val="0"/>
      <w:sz w:val="24"/>
    </w:rPr>
  </w:style>
  <w:style w:type="paragraph" w:styleId="13">
    <w:name w:val="Document Map"/>
    <w:basedOn w:val="1"/>
    <w:link w:val="75"/>
    <w:qFormat/>
    <w:uiPriority w:val="0"/>
    <w:rPr>
      <w:rFonts w:ascii="宋体" w:hAnsi="Calibri"/>
      <w:sz w:val="18"/>
      <w:szCs w:val="18"/>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3"/>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15523</Words>
  <Characters>16257</Characters>
  <Lines>50</Lines>
  <Paragraphs>68</Paragraphs>
  <TotalTime>21</TotalTime>
  <ScaleCrop>false</ScaleCrop>
  <LinksUpToDate>false</LinksUpToDate>
  <CharactersWithSpaces>17324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2022-05-23T01:21:21Z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E876F2C6B36340DF9F3C53F3B9DBF31F</vt:lpwstr>
  </property>
  <property fmtid="{D5CDD505-2E9C-101B-9397-08002B2CF9AE}" pid="4" name="commondata">
    <vt:lpwstr>eyJoZGlkIjoiYzIwMjRmYTY4OTJhZjc1NTA1MGQwNDc0NzZhNTkwMmUifQ==</vt:lpwstr>
  </property>
</Properties>
</file>