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驻马店市中心医院病理科常规病理、免疫组织化学及分子病理项目的机器及工作电脑需配备的UPS不间断电源采购项目</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驻马店市中心医院病理科常规病理、免疫组织化学及分子病理项目的机器及工作电脑需配备的UPS不间断电源采购项目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104"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病理科常规病理、免疫组织化学及分子病理项目的机器及工作电脑需配备的UPS不间断电源采购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驻马店市中心医院病理科常规病理、免疫组织化学及分子病理项目的机器及工作电脑需配备的UPS不间断电源采购项目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140000.00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6079"/>
      <w:bookmarkStart w:id="5" w:name="_Toc21071"/>
      <w:bookmarkStart w:id="6" w:name="_Toc24040"/>
      <w:bookmarkStart w:id="7" w:name="_Toc1952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16639"/>
      <w:bookmarkStart w:id="11" w:name="_Toc27704"/>
      <w:bookmarkStart w:id="12"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7823"/>
      <w:bookmarkStart w:id="14" w:name="_Toc30643"/>
      <w:bookmarkStart w:id="15" w:name="_Toc30971"/>
      <w:bookmarkStart w:id="16" w:name="_Toc9562"/>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FF0000"/>
          <w:szCs w:val="21"/>
          <w:highlight w:val="none"/>
          <w:shd w:val="clear" w:color="auto" w:fill="FFFFFF"/>
        </w:rPr>
        <w:t>，</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10738"/>
      <w:bookmarkStart w:id="19" w:name="_Toc25869"/>
      <w:bookmarkStart w:id="20" w:name="_Toc27480"/>
      <w:bookmarkStart w:id="21" w:name="_Toc15111"/>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30918"/>
      <w:bookmarkStart w:id="24" w:name="_Toc6523"/>
      <w:bookmarkStart w:id="25" w:name="_Toc20287"/>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16291"/>
      <w:bookmarkStart w:id="32" w:name="_Toc27370"/>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5</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23</w:t>
      </w:r>
      <w:r>
        <w:rPr>
          <w:rFonts w:hint="eastAsia" w:ascii="宋体" w:hAnsi="宋体" w:eastAsia="宋体" w:cs="宋体"/>
          <w:color w:val="auto"/>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bookmarkEnd w:id="104"/>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驻马店市中心医院病理科常规病理、免疫组织化学及分子病理项目的机器及工作电脑需配备的UPS不间断电源采购项目。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为满足临床检测需求，病理科常规病理、免疫组织化学及分子病理项目的机器及工作电脑需夜间使用。夜间停电会造成试剂浪费，给医院和科室造成很大的经济损失，机器停机有可能导致患者标本损毁、需重新取样并导致迟发报告，有潜在的医患纠纷风险。为应对突发停电情况造成的机器停机及标本损毁，需配备UPS不间断电源。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三、配置规格、附件及零配件（包括专用工具）：                                                      </w:t>
      </w:r>
    </w:p>
    <w:tbl>
      <w:tblPr>
        <w:tblStyle w:val="32"/>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404"/>
        <w:gridCol w:w="1590"/>
        <w:gridCol w:w="166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序号</w:t>
            </w:r>
          </w:p>
        </w:tc>
        <w:tc>
          <w:tcPr>
            <w:tcW w:w="3404"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项目名称</w:t>
            </w:r>
          </w:p>
        </w:tc>
        <w:tc>
          <w:tcPr>
            <w:tcW w:w="159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数量或规模</w:t>
            </w:r>
          </w:p>
        </w:tc>
        <w:tc>
          <w:tcPr>
            <w:tcW w:w="1665"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资金预算</w:t>
            </w:r>
          </w:p>
        </w:tc>
        <w:tc>
          <w:tcPr>
            <w:tcW w:w="153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w:t>
            </w:r>
          </w:p>
        </w:tc>
        <w:tc>
          <w:tcPr>
            <w:tcW w:w="3404"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both"/>
              <w:textAlignment w:val="auto"/>
              <w:rPr>
                <w:rFonts w:hint="eastAsia" w:ascii="宋体" w:hAnsi="宋体" w:eastAsia="宋体" w:cs="宋体"/>
                <w:b w:val="0"/>
                <w:bCs w:val="0"/>
                <w:sz w:val="21"/>
                <w:szCs w:val="21"/>
                <w:lang w:val="en-US" w:eastAsia="zh-CN"/>
              </w:rPr>
            </w:pPr>
            <w:r>
              <w:rPr>
                <w:rFonts w:hint="eastAsia" w:ascii="宋体" w:hAnsi="宋体" w:cs="宋体"/>
                <w:color w:val="auto"/>
                <w:kern w:val="0"/>
                <w:sz w:val="21"/>
                <w:szCs w:val="21"/>
                <w:shd w:val="clear" w:color="auto" w:fill="FFFFFF"/>
                <w:lang w:val="en-US" w:eastAsia="zh-CN" w:bidi="ar-SA"/>
              </w:rPr>
              <w:t>驻马店市中心医院</w:t>
            </w:r>
            <w:r>
              <w:rPr>
                <w:rFonts w:hint="eastAsia" w:ascii="宋体" w:hAnsi="宋体" w:eastAsia="宋体" w:cs="宋体"/>
                <w:b w:val="0"/>
                <w:bCs w:val="0"/>
                <w:sz w:val="21"/>
                <w:szCs w:val="21"/>
                <w:lang w:val="en-US" w:eastAsia="zh-CN"/>
              </w:rPr>
              <w:t>病理科常规病理、免疫组织化学及分子病理项目的机器及工作电脑需配备的UPS不间断电源采购项目</w:t>
            </w:r>
          </w:p>
        </w:tc>
        <w:tc>
          <w:tcPr>
            <w:tcW w:w="159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见清单</w:t>
            </w:r>
          </w:p>
        </w:tc>
        <w:tc>
          <w:tcPr>
            <w:tcW w:w="1665"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140000.00元</w:t>
            </w:r>
          </w:p>
        </w:tc>
        <w:tc>
          <w:tcPr>
            <w:tcW w:w="153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891" w:type="dxa"/>
            <w:tcBorders>
              <w:top w:val="single" w:color="auto" w:sz="4" w:space="0"/>
              <w:left w:val="single" w:color="auto" w:sz="4" w:space="0"/>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b w:val="0"/>
                <w:bCs w:val="0"/>
                <w:sz w:val="21"/>
                <w:szCs w:val="21"/>
              </w:rPr>
              <w:t>合计</w:t>
            </w:r>
          </w:p>
        </w:tc>
        <w:tc>
          <w:tcPr>
            <w:tcW w:w="3404"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59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c>
          <w:tcPr>
            <w:tcW w:w="1665"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ind w:left="0" w:leftChars="0"/>
              <w:jc w:val="center"/>
              <w:textAlignment w:val="auto"/>
              <w:rPr>
                <w:rFonts w:hint="default" w:ascii="宋体" w:hAnsi="宋体" w:eastAsia="宋体" w:cs="宋体"/>
                <w:b w:val="0"/>
                <w:bCs w:val="0"/>
                <w:color w:val="auto"/>
                <w:kern w:val="0"/>
                <w:sz w:val="21"/>
                <w:szCs w:val="21"/>
                <w:shd w:val="clear" w:color="auto" w:fill="FFFFFF"/>
                <w:lang w:val="en-US" w:eastAsia="zh-CN" w:bidi="ar-SA"/>
              </w:rPr>
            </w:pPr>
            <w:r>
              <w:rPr>
                <w:rFonts w:hint="eastAsia"/>
                <w:b w:val="0"/>
                <w:bCs w:val="0"/>
                <w:sz w:val="21"/>
                <w:szCs w:val="21"/>
                <w:lang w:val="en-US" w:eastAsia="zh-CN"/>
              </w:rPr>
              <w:t>140000.00</w:t>
            </w:r>
            <w:r>
              <w:rPr>
                <w:rFonts w:hint="eastAsia" w:ascii="宋体" w:hAnsi="宋体"/>
                <w:b w:val="0"/>
                <w:bCs w:val="0"/>
                <w:sz w:val="21"/>
                <w:szCs w:val="21"/>
              </w:rPr>
              <w:t>元</w:t>
            </w:r>
          </w:p>
        </w:tc>
        <w:tc>
          <w:tcPr>
            <w:tcW w:w="1530" w:type="dxa"/>
            <w:tcBorders>
              <w:top w:val="single" w:color="auto" w:sz="4" w:space="0"/>
              <w:left w:val="nil"/>
              <w:bottom w:val="single" w:color="auto" w:sz="4" w:space="0"/>
              <w:right w:val="single" w:color="auto" w:sz="4" w:space="0"/>
            </w:tcBorders>
            <w:vAlign w:val="center"/>
          </w:tcPr>
          <w:p>
            <w:pPr>
              <w:pStyle w:val="5"/>
              <w:pageBreakBefore w:val="0"/>
              <w:kinsoku/>
              <w:wordWrap/>
              <w:overflowPunct/>
              <w:topLinePunct w:val="0"/>
              <w:bidi w:val="0"/>
              <w:spacing w:beforeAutospacing="0" w:afterAutospacing="0" w:line="500" w:lineRule="exact"/>
              <w:jc w:val="center"/>
              <w:textAlignment w:val="auto"/>
              <w:rPr>
                <w:rFonts w:hint="eastAsia" w:ascii="宋体" w:hAnsi="宋体" w:eastAsia="宋体" w:cs="宋体"/>
                <w:b w:val="0"/>
                <w:bCs w:val="0"/>
                <w:color w:val="auto"/>
                <w:kern w:val="0"/>
                <w:sz w:val="21"/>
                <w:szCs w:val="21"/>
                <w:shd w:val="clear" w:color="auto" w:fill="FFFFFF"/>
                <w:lang w:val="en-US" w:eastAsia="zh-CN" w:bidi="ar-SA"/>
              </w:rPr>
            </w:pPr>
          </w:p>
        </w:tc>
      </w:tr>
    </w:tbl>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投标人需具备条件：</w:t>
      </w:r>
    </w:p>
    <w:p>
      <w:pPr>
        <w:pageBreakBefore w:val="0"/>
        <w:widowControl/>
        <w:kinsoku/>
        <w:wordWrap/>
        <w:overflowPunct/>
        <w:topLinePunct w:val="0"/>
        <w:bidi w:val="0"/>
        <w:snapToGrid w:val="0"/>
        <w:spacing w:before="0" w:beforeAutospacing="0" w:after="0" w:afterAutospacing="0" w:line="500" w:lineRule="exact"/>
        <w:ind w:left="420" w:leftChars="200" w:firstLine="0" w:firstLineChars="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①满足《中华人民共和国政府采购法》第二十二条规定；</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②注册于中华人民共和国境内，具有独立承担民事责任能力；</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③投标人须具有良好的商业信誉和完善的售后服务体系，并具有承担本项目的供货及服务能力（出具承诺书，格式自拟）；</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④具有良好的社会信誉，对列入失信被执行人、重大税收违法案件当事人名单、政府采购严重违法失信行为记录名单的投标人，拒绝参与本项目采购活动，投标人须提供“信用中国”网站的“失信被执行人”和“重大税收违法案件当事人名单”及“中国政府采购网”网站的“政府采购严重违法失信行为记录名单”的网页信用记录查询结果截图并加盖投标单位公章；</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⑤本项目不允许联合体投标。</w:t>
      </w:r>
    </w:p>
    <w:p>
      <w:pPr>
        <w:spacing w:line="46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四</w:t>
      </w:r>
      <w:r>
        <w:rPr>
          <w:rFonts w:hint="eastAsia" w:ascii="宋体" w:hAnsi="宋体" w:eastAsia="宋体" w:cs="宋体"/>
          <w:b w:val="0"/>
          <w:bCs w:val="0"/>
          <w:kern w:val="2"/>
          <w:sz w:val="21"/>
          <w:szCs w:val="21"/>
          <w:lang w:val="en-US" w:eastAsia="zh-CN" w:bidi="ar-SA"/>
        </w:rPr>
        <w:t>、详细技术要求、参数及产品资料等：</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①税务登记证、营业执照、组织机构代码或三证合一的营业执照；</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②法人签字并加盖公章的委托书；</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③投标人的身份证及复印件；</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④投标人须提供所投蓄电池制造商泰尔认证证书（加盖制造商公章）；</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⑤失信被执行人、重大税收违法案件当事人名单、政府采购严重违法失信行为记录名单查询记录（“信用中国”及“中国政府采购网”查询记录）；</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⑥近三年内参加招投标活动在经营活动中没有重大违法违纪记录的书面声明。</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开标时，投标企业需提供上述证件的原件或复印件加公章由评委审验。 </w:t>
      </w:r>
    </w:p>
    <w:p>
      <w:pPr>
        <w:pStyle w:val="8"/>
        <w:pageBreakBefore w:val="0"/>
        <w:kinsoku/>
        <w:wordWrap/>
        <w:overflowPunct/>
        <w:topLinePunct w:val="0"/>
        <w:bidi w:val="0"/>
        <w:spacing w:before="0" w:beforeAutospacing="0" w:afterAutospacing="0" w:line="500" w:lineRule="exact"/>
        <w:ind w:firstLine="420" w:firstLineChars="200"/>
        <w:textAlignment w:val="auto"/>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⑦采购清单：</w:t>
      </w:r>
    </w:p>
    <w:tbl>
      <w:tblPr>
        <w:tblStyle w:val="32"/>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2816"/>
        <w:gridCol w:w="1980"/>
        <w:gridCol w:w="915"/>
        <w:gridCol w:w="1080"/>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76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主机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10K</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蓄电池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12V150AH</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节</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UPS及蓄电池监控管理系统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RC3680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电气安全监控设备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GD-02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kern w:val="0"/>
                <w:sz w:val="21"/>
                <w:szCs w:val="21"/>
              </w:rPr>
              <w:t>电气安全监控软件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numPr>
                <w:ilvl w:val="0"/>
                <w:numId w:val="0"/>
              </w:numPr>
              <w:spacing w:line="360" w:lineRule="auto"/>
              <w:ind w:left="0" w:leftChars="0" w:firstLine="0" w:firstLineChars="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GD2.0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电池柜</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电池连接线</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软铜线50mm²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输入输出线缆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25mm²</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安装调试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次</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r>
    </w:tbl>
    <w:p>
      <w:pPr>
        <w:pStyle w:val="8"/>
        <w:pageBreakBefore w:val="0"/>
        <w:kinsoku/>
        <w:wordWrap/>
        <w:overflowPunct/>
        <w:topLinePunct w:val="0"/>
        <w:bidi w:val="0"/>
        <w:spacing w:before="0" w:beforeAutospacing="0" w:afterAutospacing="0" w:line="50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⑧技术参数：</w:t>
      </w:r>
    </w:p>
    <w:tbl>
      <w:tblPr>
        <w:tblStyle w:val="32"/>
        <w:tblW w:w="9456" w:type="dxa"/>
        <w:jc w:val="center"/>
        <w:shd w:val="clear" w:color="auto" w:fill="auto"/>
        <w:tblLayout w:type="fixed"/>
        <w:tblCellMar>
          <w:top w:w="0" w:type="dxa"/>
          <w:left w:w="0" w:type="dxa"/>
          <w:bottom w:w="0" w:type="dxa"/>
          <w:right w:w="0" w:type="dxa"/>
        </w:tblCellMar>
      </w:tblPr>
      <w:tblGrid>
        <w:gridCol w:w="490"/>
        <w:gridCol w:w="1125"/>
        <w:gridCol w:w="7841"/>
      </w:tblGrid>
      <w:tr>
        <w:tblPrEx>
          <w:shd w:val="clear" w:color="auto" w:fill="auto"/>
          <w:tblCellMar>
            <w:top w:w="0" w:type="dxa"/>
            <w:left w:w="0" w:type="dxa"/>
            <w:bottom w:w="0" w:type="dxa"/>
            <w:right w:w="0" w:type="dxa"/>
          </w:tblCellMar>
        </w:tblPrEx>
        <w:trPr>
          <w:trHeight w:val="684" w:hRule="atLeast"/>
          <w:jc w:val="center"/>
        </w:trPr>
        <w:tc>
          <w:tcPr>
            <w:tcW w:w="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rPr>
              <w:t>序号</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产品</w:t>
            </w:r>
          </w:p>
          <w:p>
            <w:pPr>
              <w:widowControl/>
              <w:jc w:val="center"/>
              <w:textAlignment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kern w:val="0"/>
                <w:sz w:val="21"/>
                <w:szCs w:val="21"/>
                <w:highlight w:val="none"/>
              </w:rPr>
              <w:t>名称</w:t>
            </w:r>
          </w:p>
        </w:tc>
        <w:tc>
          <w:tcPr>
            <w:tcW w:w="7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kern w:val="0"/>
                <w:sz w:val="21"/>
                <w:szCs w:val="21"/>
                <w:highlight w:val="none"/>
              </w:rPr>
              <w:t>技术参数</w:t>
            </w:r>
            <w:r>
              <w:rPr>
                <w:rFonts w:hint="eastAsia" w:ascii="宋体" w:hAnsi="宋体" w:eastAsia="宋体" w:cs="宋体"/>
                <w:b w:val="0"/>
                <w:bCs w:val="0"/>
                <w:color w:val="000000"/>
                <w:kern w:val="0"/>
                <w:sz w:val="21"/>
                <w:szCs w:val="21"/>
                <w:highlight w:val="none"/>
                <w:lang w:val="en-US" w:eastAsia="zh-CN"/>
              </w:rPr>
              <w:t>要求</w:t>
            </w:r>
          </w:p>
        </w:tc>
      </w:tr>
      <w:tr>
        <w:tblPrEx>
          <w:shd w:val="clear" w:color="auto" w:fill="auto"/>
          <w:tblCellMar>
            <w:top w:w="0" w:type="dxa"/>
            <w:left w:w="0" w:type="dxa"/>
            <w:bottom w:w="0" w:type="dxa"/>
            <w:right w:w="0" w:type="dxa"/>
          </w:tblCellMar>
        </w:tblPrEx>
        <w:trPr>
          <w:trHeight w:val="90" w:hRule="atLeast"/>
          <w:jc w:val="center"/>
        </w:trPr>
        <w:tc>
          <w:tcPr>
            <w:tcW w:w="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1</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val="0"/>
                <w:i w:val="0"/>
                <w:iCs w:val="0"/>
                <w:color w:val="003366"/>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主机</w:t>
            </w:r>
          </w:p>
        </w:tc>
        <w:tc>
          <w:tcPr>
            <w:tcW w:w="78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1、UPS采用可控硅整流+PFC设计，适应恶劣电网环境，以便于维修，缩短维护时间。</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2、UPS内置滤波器输入电抗浪涌保护器（5-30，依UPS功率确定）分钟电池组；内置输入输出隔离变压器。</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3、UPS符合IEC 62040-3标准的双变换电路结构；UPS相关功能组件和相应开关，必须使用断路器或负荷开关而不是熔断器，以利于可靠的保护和快速的恢复。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4、UPS必须包含1个整流器和1个逆变器，1个静态旁路、1个主输入开关，1个静态旁路输入开关，1个输出开关和1个维修旁路开关。</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bookmarkStart w:id="40" w:name="_Toc35502108"/>
            <w:bookmarkStart w:id="41" w:name="_Toc37833788"/>
            <w:bookmarkStart w:id="42" w:name="_Toc39045467"/>
            <w:r>
              <w:rPr>
                <w:rFonts w:hint="eastAsia" w:ascii="宋体" w:hAnsi="宋体" w:eastAsia="宋体" w:cs="宋体"/>
                <w:b w:val="0"/>
                <w:bCs w:val="0"/>
                <w:sz w:val="21"/>
                <w:szCs w:val="21"/>
                <w:highlight w:val="none"/>
                <w:lang w:val="en-US" w:eastAsia="zh-CN"/>
              </w:rPr>
              <w:t>5、设备需实现全数化控制，输出电压和电流应用复合控制策略，实现动态调节，减小输出电压失真，输出波形质量高，负载特性好；IGBT调制应用SVPWM技术，提高直流电压利用率和减小谐波含量，同容量电池后备时间更长。</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6、采用工业级强力高速离心风机散热，智能化调速，噪声低。优化散热结构，机箱结构紧凑。</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★7、功率器件和滤波电容等主部件均通过金属汇流排连接，减小连接电路的寄生电感，减少连接电缆，功率器件损耗降低，安装方便，抗震能力强。</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★8、具有输入、输出的过压和欠压保护、相序检测、电池过充过放保护、输出过载短路保护和温度过高保护等保护和报警功能，并设有EPO紧急关断按钮。</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9、具备Wi-Fi功能，使用手机或平板电脑进行操控，可调整整流和逆变等相关参数，操作与控制范围在距本机≤100m。</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10、ECO节能模式下效率≥97%。</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11、6脉冲整流若加配功率因数校正模块，输入功率因数≥0.95。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12、具备电池无线监控模块，对电池电压值、充电/放电电流、工作温度、容量和内阻等参数进行实时监控，对电池的故障和报警可远程处理。</w:t>
            </w:r>
          </w:p>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★13、具备GCI并网运行功能，设计与电网并联的PWM逆变器(Grid connected inverter)控制系统，采用电流瞬时值反馈控制技术，直接以电网电压同步信号为逆变器输出电流跟踪指令，通过对网侧电流的闭环跟随控制，实现以单位功率因数向电网馈送电能；同时，UPS并网功能使UPS本身可以作为老化负载，无需外加负载进行老化，可以作为微网储能站，可逆电能储备。</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14、人机界面采用液晶（中英文）双语触摸屏。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15、平均无故障工作时间≥45万小时。</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16、落地式，底部含360度方向轮（可以拆装）；运输维护方便简洁。</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17、操作开关：整流开关、电池开关、旁路开关、输出开关维修开关均采用断路器。</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18、输入特性</w:t>
            </w:r>
            <w:bookmarkEnd w:id="40"/>
            <w:bookmarkEnd w:id="41"/>
            <w:bookmarkEnd w:id="42"/>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（1）电压范围，不低于(-15%~+20%)，可适应恶劣电力环境；</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（2）宽频率输入范围(50Hz±10%)，保证发电机供电时UPS稳定运行；</w:t>
            </w:r>
            <w:bookmarkStart w:id="43" w:name="OLE_LINK1"/>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（3）PFC技术，无须附加外接设备</w:t>
            </w:r>
            <w:bookmarkEnd w:id="43"/>
            <w:r>
              <w:rPr>
                <w:rFonts w:hint="eastAsia" w:ascii="宋体" w:hAnsi="宋体" w:eastAsia="宋体" w:cs="宋体"/>
                <w:b w:val="0"/>
                <w:bCs w:val="0"/>
                <w:sz w:val="21"/>
                <w:szCs w:val="21"/>
                <w:highlight w:val="none"/>
                <w:lang w:val="en-US" w:eastAsia="zh-CN"/>
              </w:rPr>
              <w:t>，输入功率因数≥0.98；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（4）PFC技术，无须附加外接设备，输入电流谐波(THDI&lt;5%)，功率100KVA以上时，为&lt;3%</w:t>
            </w:r>
            <w:bookmarkStart w:id="44" w:name="_Toc39045468"/>
            <w:bookmarkStart w:id="45" w:name="_Toc35502109"/>
            <w:bookmarkStart w:id="46" w:name="_Toc37833789"/>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19、输出特性</w:t>
            </w:r>
            <w:bookmarkEnd w:id="44"/>
            <w:bookmarkEnd w:id="45"/>
            <w:bookmarkEnd w:id="46"/>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（1）输出功率因数≥0.8, 功率对应以上时；</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（2）输出电压稳压精度高，动态响应快，且畸变率低，输出THDU≥2%，≤5%；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（3）具有带三相100%不平衡负载的能力；</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（4）过载能力及抗冲击能力；150%时10秒钟，125%时2分钟</w:t>
            </w:r>
            <w:bookmarkStart w:id="47" w:name="_Toc39045470"/>
            <w:bookmarkStart w:id="48" w:name="_Toc37833791"/>
            <w:bookmarkStart w:id="49" w:name="_Toc35502111"/>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20、监控管理</w:t>
            </w:r>
            <w:bookmarkEnd w:id="47"/>
            <w:bookmarkEnd w:id="48"/>
            <w:bookmarkEnd w:id="49"/>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（1）支持无线监控功能RS232、RS485、R244、MODEM多种后台通讯方式；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（2）UPS标配SNMP网络管理卡；</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（3）系统具有电池放电终止预告警和自动安全关机功能；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（4）兼容10M/100M以太网，支持SNMP、HTTP、等协议，监控软件具备电源事件记录和分析功能，组网方案，可实现在Internet/Intranet上的远程监控</w:t>
            </w:r>
            <w:bookmarkStart w:id="50" w:name="_Toc35502113"/>
            <w:bookmarkStart w:id="51" w:name="_Toc39045472"/>
            <w:bookmarkStart w:id="52" w:name="_Toc37833793"/>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21、人机界面，便于操作和维护</w:t>
            </w:r>
            <w:bookmarkEnd w:id="50"/>
            <w:bookmarkEnd w:id="51"/>
            <w:bookmarkEnd w:id="52"/>
            <w:r>
              <w:rPr>
                <w:rFonts w:hint="eastAsia" w:ascii="宋体" w:hAnsi="宋体" w:eastAsia="宋体" w:cs="宋体"/>
                <w:b w:val="0"/>
                <w:bCs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（1）采用彩色触摸屏组合键（中英文）双语文液晶显示的操作界面，存储功能，能随时查阅故障信息记录，历史记录≥10000条，方便售后服务解决查找问题；</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（2）操作简单，在面板操作提示失效情况下仍能通过按钮正常开关机；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（3）同时具有LED、LCD、图形界面，显示形象直观，方便管理。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sz w:val="21"/>
                <w:szCs w:val="21"/>
                <w:highlight w:val="none"/>
              </w:rPr>
              <w:t>★</w:t>
            </w:r>
            <w:r>
              <w:rPr>
                <w:rFonts w:hint="eastAsia" w:ascii="宋体" w:hAnsi="宋体" w:eastAsia="宋体" w:cs="宋体"/>
                <w:b w:val="0"/>
                <w:bCs w:val="0"/>
                <w:color w:val="auto"/>
                <w:kern w:val="0"/>
                <w:sz w:val="21"/>
                <w:szCs w:val="21"/>
                <w:highlight w:val="none"/>
              </w:rPr>
              <w:t>投标人须提供所投主机设备制造商如下证书：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提供复印件并加盖制造商公章</w:t>
            </w:r>
            <w:r>
              <w:rPr>
                <w:rFonts w:hint="eastAsia" w:ascii="宋体" w:hAnsi="宋体" w:eastAsia="宋体" w:cs="宋体"/>
                <w:b w:val="0"/>
                <w:bCs w:val="0"/>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auto"/>
                <w:kern w:val="0"/>
                <w:sz w:val="21"/>
                <w:szCs w:val="21"/>
                <w:highlight w:val="none"/>
              </w:rPr>
              <w:t>①节能认证证书</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②ROHS环保测试报告</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③IQNET证书</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④</w:t>
            </w:r>
            <w:r>
              <w:rPr>
                <w:rFonts w:hint="eastAsia" w:ascii="宋体" w:hAnsi="宋体" w:eastAsia="宋体" w:cs="宋体"/>
                <w:b w:val="0"/>
                <w:bCs w:val="0"/>
                <w:color w:val="auto"/>
                <w:sz w:val="21"/>
                <w:szCs w:val="21"/>
                <w:highlight w:val="none"/>
              </w:rPr>
              <w:t>产品检测报告</w:t>
            </w:r>
          </w:p>
        </w:tc>
      </w:tr>
      <w:tr>
        <w:tblPrEx>
          <w:shd w:val="clear" w:color="auto" w:fill="auto"/>
          <w:tblCellMar>
            <w:top w:w="0" w:type="dxa"/>
            <w:left w:w="0" w:type="dxa"/>
            <w:bottom w:w="0" w:type="dxa"/>
            <w:right w:w="0" w:type="dxa"/>
          </w:tblCellMar>
        </w:tblPrEx>
        <w:trPr>
          <w:trHeight w:val="3917"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蓄电池</w:t>
            </w:r>
          </w:p>
        </w:tc>
        <w:tc>
          <w:tcPr>
            <w:tcW w:w="7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、设计浮充使用寿命：</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12年（25℃）</w:t>
            </w:r>
            <w:r>
              <w:rPr>
                <w:rFonts w:hint="eastAsia" w:ascii="宋体" w:hAnsi="宋体" w:cs="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、额定电压：12V</w:t>
            </w:r>
            <w:r>
              <w:rPr>
                <w:rFonts w:hint="eastAsia" w:ascii="宋体" w:hAnsi="宋体" w:cs="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、额定容量 (10 小时率)：</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0A</w:t>
            </w:r>
            <w:r>
              <w:rPr>
                <w:rFonts w:hint="eastAsia" w:ascii="宋体" w:hAnsi="宋体" w:cs="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、比重为1.280d 的低密度电解液，降低极板腐蚀速率，延长电池寿命；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、高强度并达到UL94 V-0 阻燃等级的ABS 阻燃壳体；</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、电池密封反应效率≥98%；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、在25℃环境下，电池自放电＜3%/月；电池循环寿命较普通电池提升15%以上，25%DOD 循环1200 次以上</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投标人须提供</w:t>
            </w:r>
            <w:r>
              <w:rPr>
                <w:rFonts w:hint="eastAsia" w:ascii="宋体" w:hAnsi="宋体" w:eastAsia="宋体" w:cs="宋体"/>
                <w:b w:val="0"/>
                <w:bCs w:val="0"/>
                <w:color w:val="auto"/>
                <w:kern w:val="0"/>
                <w:sz w:val="21"/>
                <w:szCs w:val="21"/>
                <w:highlight w:val="none"/>
                <w:lang w:eastAsia="zh-CN"/>
              </w:rPr>
              <w:t>所投</w:t>
            </w:r>
            <w:r>
              <w:rPr>
                <w:rFonts w:hint="eastAsia" w:ascii="宋体" w:hAnsi="宋体" w:eastAsia="宋体" w:cs="宋体"/>
                <w:b w:val="0"/>
                <w:bCs w:val="0"/>
                <w:color w:val="auto"/>
                <w:kern w:val="0"/>
                <w:sz w:val="21"/>
                <w:szCs w:val="21"/>
                <w:highlight w:val="none"/>
              </w:rPr>
              <w:t>蓄电池制造商如下证书：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提供复印件并加盖制造商公章</w:t>
            </w:r>
            <w:r>
              <w:rPr>
                <w:rFonts w:hint="eastAsia" w:ascii="宋体" w:hAnsi="宋体" w:eastAsia="宋体" w:cs="宋体"/>
                <w:b w:val="0"/>
                <w:bCs w:val="0"/>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rPr>
              <w:t>①泰尔认证证书</w:t>
            </w:r>
            <w:r>
              <w:rPr>
                <w:rFonts w:hint="eastAsia" w:ascii="宋体" w:hAnsi="宋体" w:eastAsia="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②工业生产许可证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4580" w:hRule="atLeast"/>
          <w:jc w:val="center"/>
        </w:trPr>
        <w:tc>
          <w:tcPr>
            <w:tcW w:w="490" w:type="dxa"/>
            <w:tcBorders>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125" w:type="dxa"/>
            <w:tcBorders>
              <w:left w:val="nil"/>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UPS及蓄电池监控管理系统</w:t>
            </w:r>
          </w:p>
        </w:tc>
        <w:tc>
          <w:tcPr>
            <w:tcW w:w="7841" w:type="dxa"/>
            <w:tcBorders>
              <w:lef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1、完整实时监测功能：采集单体蓄电池以及整组的相关数据。数据采集快速准确，并可记录蓄电池充放电过程全时段的变化；</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2、单元热插方式：在线快速更换故障部件，不影响电池检测系统其他部分的正常工作，也不影响UPS供电系统的安全运行；</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3、无损测量算法；</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4、环网组网拓扑结构，通讯环内出现断路自动形成双链结构，保证通讯稳定性；</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5、分布式部署与以太网网络化管理，可适应任何现场环境无缝对接；</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6、具备历史数据记录，告警事件管理，提供电池维护、失效分析、生成报表的数据支持；</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ascii="宋体" w:hAnsi="宋体" w:eastAsia="宋体" w:cs="宋体"/>
                <w:sz w:val="21"/>
                <w:szCs w:val="21"/>
                <w:highlight w:val="none"/>
                <w:lang w:val="en-US" w:eastAsia="zh-CN"/>
              </w:rPr>
            </w:pPr>
            <w:r>
              <w:rPr>
                <w:rStyle w:val="89"/>
                <w:rFonts w:hint="eastAsia" w:ascii="宋体" w:hAnsi="宋体" w:eastAsia="宋体" w:cs="宋体"/>
                <w:sz w:val="21"/>
                <w:szCs w:val="21"/>
                <w:highlight w:val="none"/>
                <w:lang w:val="en-US" w:eastAsia="zh-CN"/>
              </w:rPr>
              <w:t>7、具备一键设地址功能，无需人工过多干预和配置，减少工程工作量；</w:t>
            </w:r>
          </w:p>
          <w:p>
            <w:pPr>
              <w:pStyle w:val="4"/>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rPr>
              <w:t>★</w:t>
            </w:r>
            <w:r>
              <w:rPr>
                <w:rStyle w:val="89"/>
                <w:rFonts w:hint="eastAsia" w:ascii="宋体" w:hAnsi="宋体" w:eastAsia="宋体" w:cs="宋体"/>
                <w:b/>
                <w:bCs/>
                <w:kern w:val="2"/>
                <w:sz w:val="21"/>
                <w:szCs w:val="21"/>
                <w:highlight w:val="none"/>
                <w:lang w:val="en-US" w:eastAsia="zh-CN" w:bidi="ar-SA"/>
              </w:rPr>
              <w:t>8、须</w:t>
            </w:r>
            <w:r>
              <w:rPr>
                <w:rFonts w:hint="eastAsia" w:ascii="宋体" w:hAnsi="宋体" w:eastAsia="宋体" w:cs="宋体"/>
                <w:b/>
                <w:bCs/>
                <w:sz w:val="21"/>
                <w:szCs w:val="21"/>
                <w:highlight w:val="none"/>
                <w:lang w:val="en-US" w:eastAsia="zh-CN"/>
              </w:rPr>
              <w:t>与院现有监控管理系统无缝对接，</w:t>
            </w:r>
            <w:r>
              <w:rPr>
                <w:rStyle w:val="90"/>
                <w:rFonts w:hint="eastAsia" w:ascii="宋体" w:hAnsi="宋体" w:eastAsia="宋体" w:cs="宋体"/>
                <w:b/>
                <w:bCs/>
                <w:sz w:val="21"/>
                <w:szCs w:val="21"/>
                <w:highlight w:val="none"/>
                <w:lang w:val="en-US" w:eastAsia="zh-CN"/>
              </w:rPr>
              <w:t>方便</w:t>
            </w:r>
            <w:r>
              <w:rPr>
                <w:rStyle w:val="90"/>
                <w:rFonts w:hint="eastAsia" w:ascii="宋体" w:hAnsi="宋体" w:eastAsia="宋体" w:cs="宋体"/>
                <w:b/>
                <w:bCs/>
                <w:sz w:val="21"/>
                <w:szCs w:val="21"/>
                <w:highlight w:val="none"/>
              </w:rPr>
              <w:t>监管维护</w:t>
            </w:r>
            <w:r>
              <w:rPr>
                <w:rStyle w:val="90"/>
                <w:rFonts w:hint="eastAsia" w:ascii="宋体" w:hAnsi="宋体" w:eastAsia="宋体" w:cs="宋体"/>
                <w:b/>
                <w:bCs/>
                <w:sz w:val="21"/>
                <w:szCs w:val="21"/>
                <w:highlight w:val="none"/>
                <w:lang w:eastAsia="zh-CN"/>
              </w:rPr>
              <w:t>，</w:t>
            </w:r>
            <w:r>
              <w:rPr>
                <w:rStyle w:val="90"/>
                <w:rFonts w:hint="eastAsia" w:ascii="宋体" w:hAnsi="宋体" w:eastAsia="宋体" w:cs="宋体"/>
                <w:b/>
                <w:bCs/>
                <w:sz w:val="21"/>
                <w:szCs w:val="21"/>
                <w:highlight w:val="none"/>
              </w:rPr>
              <w:t>实现统一管理</w:t>
            </w:r>
            <w:r>
              <w:rPr>
                <w:rFonts w:hint="eastAsia" w:ascii="宋体" w:hAnsi="宋体" w:eastAsia="宋体" w:cs="宋体"/>
                <w:b w:val="0"/>
                <w:bCs w:val="0"/>
                <w:sz w:val="21"/>
                <w:szCs w:val="21"/>
                <w:highlight w:val="none"/>
                <w:lang w:val="en-US" w:eastAsia="zh-CN"/>
              </w:rPr>
              <w:t>。</w:t>
            </w:r>
          </w:p>
        </w:tc>
      </w:tr>
      <w:tr>
        <w:tblPrEx>
          <w:shd w:val="clear" w:color="auto" w:fill="auto"/>
          <w:tblCellMar>
            <w:top w:w="0" w:type="dxa"/>
            <w:left w:w="0" w:type="dxa"/>
            <w:bottom w:w="0" w:type="dxa"/>
            <w:right w:w="0" w:type="dxa"/>
          </w:tblCellMar>
        </w:tblPrEx>
        <w:trPr>
          <w:trHeight w:val="1585" w:hRule="atLeast"/>
          <w:jc w:val="center"/>
        </w:trPr>
        <w:tc>
          <w:tcPr>
            <w:tcW w:w="49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电气安全监控系统</w:t>
            </w:r>
          </w:p>
        </w:tc>
        <w:tc>
          <w:tcPr>
            <w:tcW w:w="784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1、一体化设计，多功能主机，应同时具备剩余电流（漏电）、电流、温度、短路、故障电弧、功率、电量等多种功能，并支持自动断电；</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设备应能同时对电气线路剩余电流（漏电）、电压、电流、温度、短路、故障电弧功率、电量进行在线实时监测，统计分析，汇总为电气安全数据实时传送管理平台，具有传感器自检功能、探测器故障自动报警功能，支持系统自检功能，电源检查、报警检查，自检耗时小于2s；</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3、设备采用非入侵式智能识别技术，可实现线路内全部用电器的类型识别及运行状态监测；</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4、设备支持电器级别的用电量统计，可实时统计线路上每个电器的用电情况；</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5、设备配置报警功能，报警信号能手动解除，故障消除后，可自动复位到初始监控状态；</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210" w:firstLineChars="10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6、设备支持存储历史报警、历史故障、历史操作记录≥1000条；</w:t>
            </w:r>
          </w:p>
          <w:p>
            <w:pPr>
              <w:keepNext w:val="0"/>
              <w:keepLines w:val="0"/>
              <w:pageBreakBefore w:val="0"/>
              <w:widowControl/>
              <w:kinsoku/>
              <w:wordWrap/>
              <w:overflowPunct/>
              <w:topLinePunct w:val="0"/>
              <w:autoSpaceDE/>
              <w:autoSpaceDN/>
              <w:bidi w:val="0"/>
              <w:adjustRightInd/>
              <w:snapToGrid/>
              <w:spacing w:line="288" w:lineRule="auto"/>
              <w:ind w:firstLine="210" w:firstLineChars="100"/>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信息转发，支持APP、短信、电话、邮件等多种转发方式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APP和WEB可查看通知记录信息（通知人员，通知方式、监测点名称、报警类型、报警时间），可筛选开始时间至结束时间、通知人、监测点名称、报警类型、报警时间；</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须与院现有的电</w:t>
            </w:r>
            <w:r>
              <w:rPr>
                <w:rFonts w:hint="eastAsia" w:ascii="宋体" w:hAnsi="宋体" w:eastAsia="宋体" w:cs="宋体"/>
                <w:b/>
                <w:bCs/>
                <w:sz w:val="21"/>
                <w:szCs w:val="21"/>
                <w:highlight w:val="none"/>
                <w:lang w:val="en-US" w:eastAsia="zh-CN"/>
              </w:rPr>
              <w:t>气</w:t>
            </w:r>
            <w:r>
              <w:rPr>
                <w:rFonts w:hint="eastAsia" w:ascii="宋体" w:hAnsi="宋体" w:eastAsia="宋体" w:cs="宋体"/>
                <w:b/>
                <w:bCs/>
                <w:sz w:val="21"/>
                <w:szCs w:val="21"/>
                <w:highlight w:val="none"/>
              </w:rPr>
              <w:t>安全</w:t>
            </w:r>
            <w:r>
              <w:rPr>
                <w:rFonts w:hint="eastAsia" w:ascii="宋体" w:hAnsi="宋体" w:eastAsia="宋体" w:cs="宋体"/>
                <w:b/>
                <w:bCs/>
                <w:sz w:val="21"/>
                <w:szCs w:val="21"/>
                <w:highlight w:val="none"/>
                <w:lang w:val="en-US" w:eastAsia="zh-CN"/>
              </w:rPr>
              <w:t>监控</w:t>
            </w:r>
            <w:r>
              <w:rPr>
                <w:rFonts w:hint="eastAsia" w:ascii="宋体" w:hAnsi="宋体" w:eastAsia="宋体" w:cs="宋体"/>
                <w:b/>
                <w:bCs/>
                <w:sz w:val="21"/>
                <w:szCs w:val="21"/>
                <w:highlight w:val="none"/>
              </w:rPr>
              <w:t>系统</w:t>
            </w:r>
            <w:r>
              <w:rPr>
                <w:rFonts w:hint="eastAsia" w:ascii="宋体" w:hAnsi="宋体" w:eastAsia="宋体" w:cs="宋体"/>
                <w:b/>
                <w:bCs/>
                <w:sz w:val="21"/>
                <w:szCs w:val="21"/>
                <w:highlight w:val="none"/>
                <w:lang w:val="en-US" w:eastAsia="zh-CN"/>
              </w:rPr>
              <w:t>无缝对接</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方便</w:t>
            </w:r>
            <w:r>
              <w:rPr>
                <w:rFonts w:hint="eastAsia" w:ascii="宋体" w:hAnsi="宋体" w:eastAsia="宋体" w:cs="宋体"/>
                <w:b/>
                <w:bCs/>
                <w:sz w:val="21"/>
                <w:szCs w:val="21"/>
                <w:highlight w:val="none"/>
              </w:rPr>
              <w:t>监管维护</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实现统一管理。</w:t>
            </w:r>
          </w:p>
          <w:p>
            <w:pPr>
              <w:pStyle w:val="4"/>
              <w:keepNext w:val="0"/>
              <w:keepLines w:val="0"/>
              <w:pageBreakBefore w:val="0"/>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bCs/>
                <w:sz w:val="21"/>
                <w:szCs w:val="21"/>
                <w:highlight w:val="none"/>
              </w:rPr>
              <w:t>★</w:t>
            </w:r>
            <w:r>
              <w:rPr>
                <w:rFonts w:hint="eastAsia" w:ascii="宋体" w:hAnsi="宋体" w:eastAsia="宋体" w:cs="宋体"/>
                <w:b w:val="0"/>
                <w:bCs w:val="0"/>
                <w:color w:val="auto"/>
                <w:kern w:val="0"/>
                <w:sz w:val="21"/>
                <w:szCs w:val="21"/>
                <w:highlight w:val="none"/>
              </w:rPr>
              <w:t>投标人</w:t>
            </w:r>
            <w:r>
              <w:rPr>
                <w:rFonts w:hint="eastAsia" w:ascii="宋体" w:hAnsi="宋体" w:eastAsia="宋体" w:cs="宋体"/>
                <w:b w:val="0"/>
                <w:bCs w:val="0"/>
                <w:color w:val="auto"/>
                <w:kern w:val="0"/>
                <w:sz w:val="21"/>
                <w:szCs w:val="21"/>
                <w:highlight w:val="none"/>
                <w:lang w:val="en-US" w:eastAsia="zh-CN" w:bidi="ar-SA"/>
              </w:rPr>
              <w:t>须提供电气安全监控设备制造商如下证书：（提供复印件并加盖</w:t>
            </w:r>
            <w:r>
              <w:rPr>
                <w:rFonts w:hint="eastAsia" w:ascii="宋体" w:hAnsi="宋体" w:eastAsia="宋体" w:cs="宋体"/>
                <w:b w:val="0"/>
                <w:bCs w:val="0"/>
                <w:color w:val="auto"/>
                <w:kern w:val="0"/>
                <w:sz w:val="21"/>
                <w:szCs w:val="21"/>
                <w:highlight w:val="none"/>
              </w:rPr>
              <w:t>制造商</w:t>
            </w:r>
            <w:r>
              <w:rPr>
                <w:rFonts w:hint="eastAsia" w:ascii="宋体" w:hAnsi="宋体" w:eastAsia="宋体" w:cs="宋体"/>
                <w:b w:val="0"/>
                <w:bCs w:val="0"/>
                <w:color w:val="auto"/>
                <w:kern w:val="0"/>
                <w:sz w:val="21"/>
                <w:szCs w:val="21"/>
                <w:highlight w:val="none"/>
                <w:lang w:val="en-US" w:eastAsia="zh-CN" w:bidi="ar-SA"/>
              </w:rPr>
              <w:t>公章）</w:t>
            </w:r>
          </w:p>
          <w:p>
            <w:pPr>
              <w:pStyle w:val="4"/>
              <w:keepNext w:val="0"/>
              <w:keepLines w:val="0"/>
              <w:pageBreakBefore w:val="0"/>
              <w:tabs>
                <w:tab w:val="left" w:pos="945"/>
                <w:tab w:val="left" w:pos="1155"/>
              </w:tabs>
              <w:kinsoku/>
              <w:wordWrap/>
              <w:overflowPunct/>
              <w:topLinePunct w:val="0"/>
              <w:autoSpaceDE/>
              <w:autoSpaceDN/>
              <w:bidi w:val="0"/>
              <w:adjustRightInd/>
              <w:snapToGrid/>
              <w:spacing w:line="288" w:lineRule="auto"/>
              <w:ind w:left="0" w:leftChars="0" w:firstLine="210" w:firstLineChars="100"/>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①消防部门检测报告 ②3C认证</w:t>
            </w:r>
          </w:p>
        </w:tc>
      </w:tr>
      <w:tr>
        <w:tblPrEx>
          <w:shd w:val="clear" w:color="auto" w:fill="auto"/>
          <w:tblCellMar>
            <w:top w:w="0" w:type="dxa"/>
            <w:left w:w="0" w:type="dxa"/>
            <w:bottom w:w="0" w:type="dxa"/>
            <w:right w:w="0" w:type="dxa"/>
          </w:tblCellMar>
        </w:tblPrEx>
        <w:trPr>
          <w:trHeight w:val="413" w:hRule="atLeast"/>
          <w:jc w:val="center"/>
        </w:trPr>
        <w:tc>
          <w:tcPr>
            <w:tcW w:w="49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2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电池柜</w:t>
            </w:r>
          </w:p>
        </w:tc>
        <w:tc>
          <w:tcPr>
            <w:tcW w:w="784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r>
      <w:tr>
        <w:tblPrEx>
          <w:shd w:val="clear" w:color="auto" w:fill="auto"/>
          <w:tblCellMar>
            <w:top w:w="0" w:type="dxa"/>
            <w:left w:w="0" w:type="dxa"/>
            <w:bottom w:w="0" w:type="dxa"/>
            <w:right w:w="0" w:type="dxa"/>
          </w:tblCellMar>
        </w:tblPrEx>
        <w:trPr>
          <w:trHeight w:val="551" w:hRule="atLeast"/>
          <w:jc w:val="center"/>
        </w:trPr>
        <w:tc>
          <w:tcPr>
            <w:tcW w:w="49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2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电池连接线</w:t>
            </w:r>
          </w:p>
        </w:tc>
        <w:tc>
          <w:tcPr>
            <w:tcW w:w="7841"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25mm²国标</w:t>
            </w:r>
          </w:p>
        </w:tc>
      </w:tr>
      <w:tr>
        <w:tblPrEx>
          <w:shd w:val="clear" w:color="auto" w:fill="auto"/>
          <w:tblCellMar>
            <w:top w:w="0" w:type="dxa"/>
            <w:left w:w="0" w:type="dxa"/>
            <w:bottom w:w="0" w:type="dxa"/>
            <w:right w:w="0" w:type="dxa"/>
          </w:tblCellMar>
        </w:tblPrEx>
        <w:trPr>
          <w:trHeight w:val="669"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11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输入输出线缆</w:t>
            </w:r>
          </w:p>
        </w:tc>
        <w:tc>
          <w:tcPr>
            <w:tcW w:w="784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25mm²国标</w:t>
            </w:r>
          </w:p>
        </w:tc>
      </w:tr>
      <w:tr>
        <w:tblPrEx>
          <w:shd w:val="clear" w:color="auto" w:fill="auto"/>
          <w:tblCellMar>
            <w:top w:w="0" w:type="dxa"/>
            <w:left w:w="0" w:type="dxa"/>
            <w:bottom w:w="0" w:type="dxa"/>
            <w:right w:w="0" w:type="dxa"/>
          </w:tblCellMar>
        </w:tblPrEx>
        <w:trPr>
          <w:trHeight w:val="669" w:hRule="atLeast"/>
          <w:jc w:val="center"/>
        </w:trPr>
        <w:tc>
          <w:tcPr>
            <w:tcW w:w="49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2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安装</w:t>
            </w:r>
          </w:p>
          <w:p>
            <w:pPr>
              <w:keepNext w:val="0"/>
              <w:keepLines w:val="0"/>
              <w:widowControl/>
              <w:suppressLineNumbers w:val="0"/>
              <w:spacing w:line="240" w:lineRule="auto"/>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调试</w:t>
            </w:r>
          </w:p>
        </w:tc>
        <w:tc>
          <w:tcPr>
            <w:tcW w:w="7841"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shd w:val="clear"/>
                <w:lang w:val="en-US" w:eastAsia="zh-CN" w:bidi="ar"/>
              </w:rPr>
              <w:t>按国家电力标准</w:t>
            </w:r>
            <w:r>
              <w:rPr>
                <w:rFonts w:hint="eastAsia" w:ascii="宋体" w:hAnsi="宋体" w:eastAsia="宋体" w:cs="宋体"/>
                <w:i w:val="0"/>
                <w:iCs w:val="0"/>
                <w:color w:val="000000"/>
                <w:kern w:val="0"/>
                <w:sz w:val="21"/>
                <w:szCs w:val="21"/>
                <w:highlight w:val="none"/>
                <w:u w:val="none"/>
                <w:lang w:val="en-US" w:eastAsia="zh-CN" w:bidi="ar"/>
              </w:rPr>
              <w:t>进行安装调试</w:t>
            </w:r>
          </w:p>
        </w:tc>
      </w:tr>
      <w:tr>
        <w:tblPrEx>
          <w:tblCellMar>
            <w:top w:w="0" w:type="dxa"/>
            <w:left w:w="0" w:type="dxa"/>
            <w:bottom w:w="0" w:type="dxa"/>
            <w:right w:w="0" w:type="dxa"/>
          </w:tblCellMar>
        </w:tblPrEx>
        <w:trPr>
          <w:trHeight w:val="413" w:hRule="atLeast"/>
          <w:jc w:val="center"/>
        </w:trPr>
        <w:tc>
          <w:tcPr>
            <w:tcW w:w="1615" w:type="dxa"/>
            <w:gridSpan w:val="2"/>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质量标准</w:t>
            </w:r>
          </w:p>
        </w:tc>
        <w:tc>
          <w:tcPr>
            <w:tcW w:w="7841"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符合现行国家质量要求和行业有关标准。</w:t>
            </w:r>
          </w:p>
        </w:tc>
      </w:tr>
      <w:tr>
        <w:tblPrEx>
          <w:tblCellMar>
            <w:top w:w="0" w:type="dxa"/>
            <w:left w:w="0" w:type="dxa"/>
            <w:bottom w:w="0" w:type="dxa"/>
            <w:right w:w="0" w:type="dxa"/>
          </w:tblCellMar>
        </w:tblPrEx>
        <w:trPr>
          <w:trHeight w:val="717" w:hRule="atLeast"/>
          <w:jc w:val="center"/>
        </w:trPr>
        <w:tc>
          <w:tcPr>
            <w:tcW w:w="945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8" w:lineRule="auto"/>
              <w:ind w:left="1054" w:hanging="1054" w:hangingChars="500"/>
              <w:jc w:val="left"/>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br w:type="page"/>
            </w:r>
            <w:r>
              <w:rPr>
                <w:rFonts w:hint="eastAsia" w:ascii="宋体" w:hAnsi="宋体" w:eastAsia="宋体" w:cs="宋体"/>
                <w:b/>
                <w:bCs/>
                <w:sz w:val="21"/>
                <w:szCs w:val="21"/>
                <w:highlight w:val="none"/>
              </w:rPr>
              <w:br w:type="page"/>
            </w:r>
            <w:r>
              <w:rPr>
                <w:rFonts w:hint="eastAsia" w:ascii="宋体" w:hAnsi="宋体" w:eastAsia="宋体" w:cs="宋体"/>
                <w:b/>
                <w:bCs/>
                <w:sz w:val="21"/>
                <w:szCs w:val="21"/>
                <w:highlight w:val="none"/>
              </w:rPr>
              <w:t>备注：</w:t>
            </w:r>
            <w:r>
              <w:rPr>
                <w:rFonts w:hint="eastAsia" w:ascii="宋体" w:hAnsi="宋体" w:eastAsia="宋体" w:cs="宋体"/>
                <w:b/>
                <w:bCs/>
                <w:sz w:val="21"/>
                <w:szCs w:val="21"/>
                <w:highlight w:val="none"/>
                <w:u w:val="none"/>
                <w:lang w:val="en-US" w:eastAsia="zh-CN"/>
              </w:rPr>
              <w:t xml:space="preserve">1.  </w:t>
            </w:r>
            <w:r>
              <w:rPr>
                <w:rFonts w:hint="eastAsia" w:ascii="宋体" w:hAnsi="宋体" w:eastAsia="宋体" w:cs="宋体"/>
                <w:b/>
                <w:bCs/>
                <w:color w:val="auto"/>
                <w:kern w:val="0"/>
                <w:sz w:val="21"/>
                <w:szCs w:val="21"/>
                <w:highlight w:val="none"/>
                <w:u w:val="none"/>
              </w:rPr>
              <w:t>以上加</w:t>
            </w:r>
            <w:r>
              <w:rPr>
                <w:rFonts w:hint="eastAsia" w:ascii="宋体" w:hAnsi="宋体" w:eastAsia="宋体" w:cs="宋体"/>
                <w:b/>
                <w:bCs/>
                <w:color w:val="auto"/>
                <w:sz w:val="21"/>
                <w:szCs w:val="21"/>
                <w:highlight w:val="none"/>
                <w:u w:val="none"/>
              </w:rPr>
              <w:t>★技术参数为产品主要参数，必须满足,</w:t>
            </w:r>
            <w:r>
              <w:rPr>
                <w:rFonts w:hint="eastAsia" w:ascii="宋体" w:hAnsi="宋体" w:eastAsia="宋体" w:cs="宋体"/>
                <w:b/>
                <w:bCs/>
                <w:color w:val="auto"/>
                <w:sz w:val="21"/>
                <w:szCs w:val="21"/>
                <w:highlight w:val="none"/>
                <w:u w:val="none"/>
                <w:lang w:eastAsia="zh-CN"/>
              </w:rPr>
              <w:t>否则</w:t>
            </w:r>
            <w:r>
              <w:rPr>
                <w:rFonts w:hint="eastAsia" w:ascii="宋体" w:hAnsi="宋体" w:eastAsia="宋体" w:cs="宋体"/>
                <w:b/>
                <w:bCs/>
                <w:color w:val="auto"/>
                <w:sz w:val="21"/>
                <w:szCs w:val="21"/>
                <w:highlight w:val="none"/>
                <w:u w:val="none"/>
              </w:rPr>
              <w:t>视为不响应招标文件要求，不加★</w:t>
            </w:r>
            <w:r>
              <w:rPr>
                <w:rFonts w:hint="eastAsia" w:ascii="宋体" w:hAnsi="宋体" w:eastAsia="宋体" w:cs="宋体"/>
                <w:b/>
                <w:bCs/>
                <w:color w:val="auto"/>
                <w:sz w:val="21"/>
                <w:szCs w:val="21"/>
                <w:highlight w:val="none"/>
                <w:u w:val="none"/>
                <w:lang w:val="en-US" w:eastAsia="zh-CN"/>
              </w:rPr>
              <w:t>技术参数</w:t>
            </w:r>
            <w:r>
              <w:rPr>
                <w:rFonts w:hint="eastAsia" w:ascii="宋体" w:hAnsi="宋体" w:eastAsia="宋体" w:cs="宋体"/>
                <w:b/>
                <w:bCs/>
                <w:color w:val="auto"/>
                <w:sz w:val="21"/>
                <w:szCs w:val="21"/>
                <w:highlight w:val="none"/>
                <w:u w:val="none"/>
              </w:rPr>
              <w:t>为次要参数，超过三项（含）以上不满足视为不响应招标文件要求。</w:t>
            </w:r>
          </w:p>
        </w:tc>
      </w:tr>
      <w:bookmarkEnd w:id="35"/>
      <w:bookmarkEnd w:id="36"/>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w:t>
      </w:r>
      <w:r>
        <w:rPr>
          <w:rFonts w:hint="eastAsia"/>
          <w:b w:val="0"/>
          <w:bCs w:val="0"/>
          <w:color w:val="auto"/>
          <w:sz w:val="21"/>
          <w:szCs w:val="21"/>
          <w:highlight w:val="none"/>
        </w:rPr>
        <w:t>服务条件及交货日期（或工期）：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驻马店市中心医院病理科常规病理、免疫组织化学及分子病理项目的机器及工作电脑需配备的UPS不间断电源采购项目</w:t>
      </w:r>
      <w:r>
        <w:rPr>
          <w:rFonts w:hint="eastAsia" w:ascii="宋体" w:hAnsi="宋体" w:eastAsia="宋体" w:cs="宋体"/>
          <w:b w:val="0"/>
          <w:bCs w:val="0"/>
          <w:sz w:val="21"/>
          <w:szCs w:val="21"/>
        </w:rPr>
        <w:t>，包括货物的采购、包装、运输、安装、调试、检测、验收合格交付使用之前及保修期内保修服务、备用物件、系统升级等。</w:t>
      </w:r>
      <w:r>
        <w:rPr>
          <w:rFonts w:hint="eastAsia" w:ascii="宋体" w:hAnsi="宋体" w:cs="宋体"/>
          <w:bCs/>
          <w:color w:val="auto"/>
          <w:szCs w:val="21"/>
          <w:highlight w:val="none"/>
          <w:shd w:val="clear" w:color="auto" w:fill="FFFFFF"/>
          <w:lang w:val="en-US" w:eastAsia="zh-CN"/>
        </w:rPr>
        <w:t>以合同约定为准</w:t>
      </w:r>
      <w:r>
        <w:rPr>
          <w:rFonts w:hint="eastAsia" w:ascii="宋体" w:hAnsi="宋体" w:eastAsia="宋体" w:cs="宋体"/>
          <w:b w:val="0"/>
          <w:bCs w:val="0"/>
          <w:sz w:val="21"/>
          <w:szCs w:val="21"/>
        </w:rPr>
        <w:t>交付使用，并对采购方进行人员培训。</w:t>
      </w:r>
    </w:p>
    <w:p>
      <w:pPr>
        <w:pageBreakBefore w:val="0"/>
        <w:kinsoku/>
        <w:wordWrap/>
        <w:overflowPunct/>
        <w:topLinePunct w:val="0"/>
        <w:bidi w:val="0"/>
        <w:spacing w:beforeAutospacing="0" w:afterAutospacing="0" w:line="500" w:lineRule="exact"/>
        <w:ind w:firstLine="420" w:firstLineChars="200"/>
        <w:textAlignment w:val="auto"/>
        <w:rPr>
          <w:rFonts w:hint="eastAsia"/>
        </w:rPr>
      </w:pPr>
      <w:r>
        <w:rPr>
          <w:rFonts w:hint="eastAsia" w:ascii="宋体" w:hAnsi="宋体" w:eastAsia="宋体" w:cs="宋体"/>
          <w:lang w:val="en-US" w:eastAsia="zh-CN"/>
        </w:rPr>
        <w:t>2、</w:t>
      </w:r>
      <w:r>
        <w:rPr>
          <w:rFonts w:hint="eastAsia" w:ascii="宋体" w:hAnsi="宋体" w:eastAsia="宋体" w:cs="宋体"/>
          <w:lang w:val="zh-CN"/>
        </w:rPr>
        <w:t>承诺有驻地服务，提供7*24小时服务，发生故障30分钟内响应到达现场，同时2小时内解决问题，最长不得超过4小时解决问题。</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至少三年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53" w:name="_Toc14504"/>
    </w:p>
    <w:p>
      <w:pPr>
        <w:jc w:val="center"/>
        <w:rPr>
          <w:b/>
          <w:bCs/>
          <w:color w:val="auto"/>
          <w:sz w:val="32"/>
          <w:szCs w:val="32"/>
          <w:highlight w:val="none"/>
        </w:rPr>
      </w:pPr>
      <w:r>
        <w:rPr>
          <w:rFonts w:hint="eastAsia"/>
          <w:b/>
          <w:bCs/>
          <w:color w:val="auto"/>
          <w:sz w:val="32"/>
          <w:szCs w:val="32"/>
          <w:highlight w:val="none"/>
        </w:rPr>
        <w:t>第三章  投标人须知</w:t>
      </w:r>
      <w:bookmarkEnd w:id="53"/>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驻马店市中心医院病理科常规病理、免疫组织化学及分子病理项目的机器及工作电脑需配备的UPS不间断电源采购项目。</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140000.00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140000.00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8"/>
        <w:pageBreakBefore w:val="0"/>
        <w:kinsoku/>
        <w:wordWrap/>
        <w:overflowPunct/>
        <w:topLinePunct w:val="0"/>
        <w:bidi w:val="0"/>
        <w:spacing w:before="0" w:beforeAutospacing="0" w:after="0" w:afterAutospacing="0" w:line="480" w:lineRule="exact"/>
        <w:ind w:firstLine="420" w:firstLineChars="200"/>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4.3参加本采购活动前三年内，在经营活动中没有重大违法记录的书面声明函；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b w:val="0"/>
          <w:bCs w:val="0"/>
          <w:color w:val="auto"/>
          <w:kern w:val="2"/>
          <w:sz w:val="21"/>
          <w:szCs w:val="24"/>
          <w:lang w:val="en-US" w:eastAsia="zh-CN" w:bidi="ar-SA"/>
        </w:rPr>
      </w:pPr>
      <w:r>
        <w:rPr>
          <w:rFonts w:hint="eastAsia" w:ascii="宋体" w:hAnsi="宋体" w:eastAsia="宋体" w:cs="宋体"/>
          <w:b w:val="0"/>
          <w:bCs w:val="0"/>
          <w:color w:val="auto"/>
          <w:kern w:val="2"/>
          <w:sz w:val="21"/>
          <w:szCs w:val="24"/>
          <w:lang w:val="en-US" w:eastAsia="zh-CN" w:bidi="ar-SA"/>
        </w:rPr>
        <w:t>4.</w:t>
      </w:r>
      <w:r>
        <w:rPr>
          <w:rFonts w:hint="eastAsia" w:ascii="宋体" w:hAnsi="宋体" w:cs="宋体"/>
          <w:b w:val="0"/>
          <w:bCs w:val="0"/>
          <w:color w:val="auto"/>
          <w:kern w:val="2"/>
          <w:sz w:val="21"/>
          <w:szCs w:val="24"/>
          <w:lang w:val="en-US" w:eastAsia="zh-CN" w:bidi="ar-SA"/>
        </w:rPr>
        <w:t>4</w:t>
      </w:r>
      <w:r>
        <w:rPr>
          <w:rFonts w:hint="eastAsia" w:ascii="宋体" w:hAnsi="宋体" w:eastAsia="宋体" w:cs="宋体"/>
          <w:b w:val="0"/>
          <w:bCs w:val="0"/>
          <w:color w:val="auto"/>
          <w:kern w:val="2"/>
          <w:sz w:val="21"/>
          <w:szCs w:val="24"/>
          <w:lang w:val="en-US" w:eastAsia="zh-CN" w:bidi="ar-SA"/>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eastAsia="宋体" w:cs="宋体"/>
          <w:b w:val="0"/>
          <w:bCs w:val="0"/>
          <w:color w:val="auto"/>
          <w:kern w:val="2"/>
          <w:sz w:val="21"/>
          <w:szCs w:val="24"/>
          <w:lang w:val="en-US" w:eastAsia="zh-CN" w:bidi="ar-SA"/>
        </w:rPr>
        <w:t>4.</w:t>
      </w:r>
      <w:r>
        <w:rPr>
          <w:rFonts w:hint="eastAsia" w:ascii="宋体" w:hAnsi="宋体" w:cs="宋体"/>
          <w:b w:val="0"/>
          <w:bCs w:val="0"/>
          <w:color w:val="auto"/>
          <w:kern w:val="2"/>
          <w:sz w:val="21"/>
          <w:szCs w:val="24"/>
          <w:lang w:val="en-US" w:eastAsia="zh-CN" w:bidi="ar-SA"/>
        </w:rPr>
        <w:t>5</w:t>
      </w:r>
      <w:r>
        <w:rPr>
          <w:rFonts w:hint="eastAsia" w:ascii="宋体" w:hAnsi="宋体" w:eastAsia="宋体" w:cs="宋体"/>
          <w:b w:val="0"/>
          <w:bCs w:val="0"/>
          <w:color w:val="auto"/>
          <w:kern w:val="2"/>
          <w:sz w:val="21"/>
          <w:szCs w:val="24"/>
          <w:lang w:val="en-US" w:eastAsia="zh-CN" w:bidi="ar-SA"/>
        </w:rPr>
        <w:t xml:space="preserve"> 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w:t>
      </w:r>
      <w:r>
        <w:rPr>
          <w:rFonts w:hint="eastAsia"/>
          <w:lang w:val="en-US" w:eastAsia="zh-CN"/>
        </w:rPr>
        <w:t>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54"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54"/>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55"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55"/>
    <w:p>
      <w:pPr>
        <w:jc w:val="center"/>
        <w:rPr>
          <w:rFonts w:ascii="宋体" w:hAnsi="宋体" w:cs="宋体"/>
          <w:color w:val="auto"/>
          <w:kern w:val="0"/>
          <w:sz w:val="24"/>
          <w:highlight w:val="none"/>
        </w:rPr>
      </w:pPr>
      <w:bookmarkStart w:id="56" w:name="_Toc4700"/>
      <w:bookmarkStart w:id="57" w:name="_Toc9022"/>
      <w:bookmarkStart w:id="58" w:name="_Toc16669"/>
      <w:r>
        <w:rPr>
          <w:rFonts w:hint="eastAsia" w:ascii="黑体" w:hAnsi="宋体" w:eastAsia="黑体" w:cs="宋体"/>
          <w:b/>
          <w:bCs/>
          <w:color w:val="auto"/>
          <w:kern w:val="0"/>
          <w:sz w:val="32"/>
          <w:szCs w:val="32"/>
          <w:highlight w:val="none"/>
        </w:rPr>
        <w:t>第四章  评标办法及评分标准</w:t>
      </w:r>
      <w:bookmarkEnd w:id="56"/>
      <w:bookmarkEnd w:id="57"/>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58"/>
    <w:p>
      <w:pPr>
        <w:jc w:val="center"/>
        <w:rPr>
          <w:rFonts w:hint="eastAsia" w:ascii="黑体" w:hAnsi="宋体" w:eastAsia="黑体" w:cs="宋体"/>
          <w:b/>
          <w:bCs/>
          <w:color w:val="auto"/>
          <w:kern w:val="0"/>
          <w:sz w:val="32"/>
          <w:szCs w:val="32"/>
          <w:highlight w:val="none"/>
        </w:rPr>
      </w:pPr>
      <w:bookmarkStart w:id="59" w:name="_Toc28988"/>
      <w:bookmarkStart w:id="60" w:name="_Toc1947"/>
      <w:bookmarkStart w:id="61" w:name="_Toc1482"/>
      <w:bookmarkStart w:id="62" w:name="_Toc256519703"/>
      <w:bookmarkStart w:id="63" w:name="_Toc326786897"/>
      <w:r>
        <w:rPr>
          <w:rFonts w:hint="eastAsia" w:ascii="黑体" w:hAnsi="宋体" w:eastAsia="黑体" w:cs="宋体"/>
          <w:b/>
          <w:bCs/>
          <w:color w:val="auto"/>
          <w:kern w:val="0"/>
          <w:sz w:val="32"/>
          <w:szCs w:val="32"/>
          <w:highlight w:val="none"/>
        </w:rPr>
        <w:t>第五章  采购合同</w:t>
      </w:r>
      <w:bookmarkEnd w:id="59"/>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jc w:val="center"/>
        <w:rPr>
          <w:rFonts w:hint="eastAsia" w:ascii="黑体" w:hAnsi="宋体" w:eastAsia="黑体" w:cs="宋体"/>
          <w:b/>
          <w:bCs/>
          <w:color w:val="auto"/>
          <w:kern w:val="0"/>
          <w:sz w:val="32"/>
          <w:szCs w:val="32"/>
          <w:highlight w:val="none"/>
        </w:rPr>
      </w:pPr>
      <w:bookmarkStart w:id="64" w:name="_Toc2638"/>
      <w:r>
        <w:rPr>
          <w:rFonts w:hint="eastAsia" w:ascii="黑体" w:hAnsi="宋体" w:eastAsia="黑体" w:cs="宋体"/>
          <w:b/>
          <w:bCs/>
          <w:color w:val="auto"/>
          <w:kern w:val="0"/>
          <w:sz w:val="32"/>
          <w:szCs w:val="32"/>
          <w:highlight w:val="none"/>
        </w:rPr>
        <w:t>第六章  投标文件格式</w:t>
      </w:r>
      <w:bookmarkEnd w:id="60"/>
      <w:bookmarkEnd w:id="61"/>
      <w:bookmarkEnd w:id="64"/>
    </w:p>
    <w:p>
      <w:pPr>
        <w:spacing w:line="440" w:lineRule="exact"/>
        <w:rPr>
          <w:color w:val="auto"/>
          <w:sz w:val="24"/>
          <w:highlight w:val="none"/>
        </w:rPr>
      </w:pPr>
    </w:p>
    <w:p>
      <w:pPr>
        <w:jc w:val="center"/>
        <w:rPr>
          <w:b/>
          <w:bCs/>
          <w:color w:val="auto"/>
          <w:sz w:val="32"/>
          <w:szCs w:val="32"/>
          <w:highlight w:val="none"/>
        </w:rPr>
      </w:pPr>
      <w:bookmarkStart w:id="65" w:name="_Toc13604"/>
      <w:r>
        <w:rPr>
          <w:rFonts w:hint="eastAsia"/>
          <w:b/>
          <w:bCs/>
          <w:color w:val="auto"/>
          <w:sz w:val="32"/>
          <w:szCs w:val="32"/>
          <w:highlight w:val="none"/>
        </w:rPr>
        <w:t>目    录</w:t>
      </w:r>
      <w:bookmarkEnd w:id="65"/>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6" w:name="_Toc11308"/>
      <w:r>
        <w:rPr>
          <w:rFonts w:hint="eastAsia"/>
          <w:color w:val="auto"/>
          <w:sz w:val="24"/>
          <w:highlight w:val="none"/>
        </w:rPr>
        <w:t>附件1投标文件封面（格式）</w:t>
      </w:r>
      <w:bookmarkEnd w:id="66"/>
    </w:p>
    <w:p>
      <w:pPr>
        <w:snapToGrid w:val="0"/>
        <w:spacing w:line="360" w:lineRule="auto"/>
        <w:ind w:firstLine="480" w:firstLineChars="200"/>
        <w:rPr>
          <w:color w:val="auto"/>
          <w:sz w:val="24"/>
          <w:highlight w:val="none"/>
        </w:rPr>
      </w:pPr>
      <w:bookmarkStart w:id="67" w:name="_Toc25345"/>
      <w:r>
        <w:rPr>
          <w:rFonts w:hint="eastAsia"/>
          <w:color w:val="auto"/>
          <w:sz w:val="24"/>
          <w:highlight w:val="none"/>
        </w:rPr>
        <w:t>附件2 投标书（格式）</w:t>
      </w:r>
      <w:bookmarkEnd w:id="67"/>
    </w:p>
    <w:p>
      <w:pPr>
        <w:snapToGrid w:val="0"/>
        <w:spacing w:line="360" w:lineRule="auto"/>
        <w:ind w:firstLine="480" w:firstLineChars="200"/>
        <w:rPr>
          <w:color w:val="auto"/>
          <w:sz w:val="24"/>
          <w:highlight w:val="none"/>
        </w:rPr>
      </w:pPr>
      <w:bookmarkStart w:id="68" w:name="_Toc10217"/>
      <w:r>
        <w:rPr>
          <w:rFonts w:hint="eastAsia"/>
          <w:color w:val="auto"/>
          <w:sz w:val="24"/>
          <w:highlight w:val="none"/>
        </w:rPr>
        <w:t>附件3 开标一览表（格式）</w:t>
      </w:r>
      <w:bookmarkEnd w:id="68"/>
    </w:p>
    <w:p>
      <w:pPr>
        <w:snapToGrid w:val="0"/>
        <w:spacing w:line="360" w:lineRule="auto"/>
        <w:ind w:firstLine="480" w:firstLineChars="200"/>
        <w:rPr>
          <w:color w:val="auto"/>
          <w:sz w:val="24"/>
          <w:highlight w:val="none"/>
        </w:rPr>
      </w:pPr>
      <w:bookmarkStart w:id="69" w:name="_Toc9579"/>
      <w:r>
        <w:rPr>
          <w:rFonts w:hint="eastAsia"/>
          <w:color w:val="auto"/>
          <w:sz w:val="24"/>
          <w:highlight w:val="none"/>
        </w:rPr>
        <w:t>附件4 投标报价明细表（格式）</w:t>
      </w:r>
      <w:bookmarkEnd w:id="69"/>
    </w:p>
    <w:p>
      <w:pPr>
        <w:snapToGrid w:val="0"/>
        <w:spacing w:line="360" w:lineRule="auto"/>
        <w:ind w:firstLine="480" w:firstLineChars="200"/>
        <w:rPr>
          <w:color w:val="auto"/>
          <w:sz w:val="24"/>
          <w:highlight w:val="none"/>
        </w:rPr>
      </w:pPr>
      <w:bookmarkStart w:id="70" w:name="_Toc28392"/>
      <w:r>
        <w:rPr>
          <w:rFonts w:hint="eastAsia"/>
          <w:color w:val="auto"/>
          <w:sz w:val="24"/>
          <w:highlight w:val="none"/>
        </w:rPr>
        <w:t>附件5技术响应表（格式）</w:t>
      </w:r>
      <w:bookmarkEnd w:id="70"/>
    </w:p>
    <w:p>
      <w:pPr>
        <w:snapToGrid w:val="0"/>
        <w:spacing w:line="360" w:lineRule="auto"/>
        <w:ind w:firstLine="480" w:firstLineChars="200"/>
        <w:rPr>
          <w:color w:val="auto"/>
          <w:sz w:val="24"/>
          <w:highlight w:val="none"/>
        </w:rPr>
      </w:pPr>
      <w:bookmarkStart w:id="71" w:name="_Toc6234"/>
      <w:r>
        <w:rPr>
          <w:rFonts w:hint="eastAsia"/>
          <w:color w:val="auto"/>
          <w:sz w:val="24"/>
          <w:highlight w:val="none"/>
        </w:rPr>
        <w:t>附件6 商务响应表（格式）</w:t>
      </w:r>
      <w:bookmarkEnd w:id="71"/>
    </w:p>
    <w:p>
      <w:pPr>
        <w:snapToGrid w:val="0"/>
        <w:spacing w:line="360" w:lineRule="auto"/>
        <w:ind w:firstLine="480" w:firstLineChars="200"/>
        <w:rPr>
          <w:color w:val="auto"/>
          <w:sz w:val="24"/>
          <w:highlight w:val="none"/>
        </w:rPr>
      </w:pPr>
      <w:bookmarkStart w:id="72"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72"/>
    </w:p>
    <w:p>
      <w:pPr>
        <w:snapToGrid w:val="0"/>
        <w:spacing w:line="360" w:lineRule="auto"/>
        <w:ind w:firstLine="480" w:firstLineChars="200"/>
        <w:rPr>
          <w:color w:val="auto"/>
          <w:sz w:val="24"/>
          <w:highlight w:val="none"/>
        </w:rPr>
      </w:pPr>
      <w:bookmarkStart w:id="73"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73"/>
    </w:p>
    <w:p>
      <w:pPr>
        <w:snapToGrid w:val="0"/>
        <w:spacing w:line="360" w:lineRule="auto"/>
        <w:ind w:firstLine="480" w:firstLineChars="200"/>
        <w:rPr>
          <w:color w:val="auto"/>
          <w:sz w:val="24"/>
          <w:highlight w:val="none"/>
        </w:rPr>
      </w:pPr>
      <w:bookmarkStart w:id="74" w:name="_Toc31857"/>
      <w:r>
        <w:rPr>
          <w:rFonts w:hint="eastAsia"/>
          <w:color w:val="auto"/>
          <w:sz w:val="24"/>
          <w:highlight w:val="none"/>
        </w:rPr>
        <w:t>附件9 证明文件</w:t>
      </w:r>
      <w:bookmarkEnd w:id="74"/>
    </w:p>
    <w:p>
      <w:pPr>
        <w:snapToGrid w:val="0"/>
        <w:spacing w:line="360" w:lineRule="auto"/>
        <w:ind w:firstLine="480" w:firstLineChars="200"/>
        <w:rPr>
          <w:rFonts w:hint="eastAsia"/>
          <w:color w:val="auto"/>
          <w:sz w:val="24"/>
          <w:highlight w:val="none"/>
        </w:rPr>
      </w:pPr>
      <w:bookmarkStart w:id="75" w:name="_Toc23116"/>
      <w:r>
        <w:rPr>
          <w:rFonts w:hint="eastAsia"/>
          <w:color w:val="auto"/>
          <w:sz w:val="24"/>
          <w:highlight w:val="none"/>
        </w:rPr>
        <w:t>附件10 供应商承诺书（格式）</w:t>
      </w:r>
      <w:bookmarkEnd w:id="75"/>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8"/>
        <w:rPr>
          <w:color w:val="auto"/>
          <w:highlight w:val="none"/>
        </w:rPr>
      </w:pPr>
      <w:bookmarkStart w:id="76" w:name="_Toc31798"/>
      <w:bookmarkStart w:id="77" w:name="_Toc24743"/>
      <w:r>
        <w:rPr>
          <w:rFonts w:hint="eastAsia"/>
          <w:color w:val="auto"/>
          <w:highlight w:val="none"/>
        </w:rPr>
        <w:t>附件1               投标文件封面（格式）</w:t>
      </w:r>
      <w:bookmarkEnd w:id="76"/>
      <w:bookmarkEnd w:id="77"/>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8"/>
        <w:rPr>
          <w:color w:val="auto"/>
          <w:highlight w:val="none"/>
        </w:rPr>
      </w:pPr>
      <w:bookmarkStart w:id="78" w:name="_Toc14560"/>
      <w:bookmarkStart w:id="79" w:name="_Toc8818"/>
      <w:r>
        <w:rPr>
          <w:rFonts w:hint="eastAsia"/>
          <w:color w:val="auto"/>
          <w:highlight w:val="none"/>
        </w:rPr>
        <w:t>附件2               投  标  书（格式）</w:t>
      </w:r>
      <w:bookmarkEnd w:id="78"/>
      <w:bookmarkEnd w:id="79"/>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8"/>
        <w:spacing w:before="20" w:after="20"/>
        <w:rPr>
          <w:color w:val="auto"/>
          <w:highlight w:val="none"/>
        </w:rPr>
      </w:pPr>
      <w:bookmarkStart w:id="80" w:name="_Toc7838"/>
      <w:r>
        <w:rPr>
          <w:rFonts w:hint="eastAsia"/>
          <w:color w:val="auto"/>
          <w:highlight w:val="none"/>
        </w:rPr>
        <w:t>附件3               开标一览表</w:t>
      </w:r>
      <w:bookmarkEnd w:id="80"/>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81" w:name="_Toc20877"/>
      <w:bookmarkStart w:id="82" w:name="_Toc11620"/>
      <w:r>
        <w:rPr>
          <w:rFonts w:hint="eastAsia" w:ascii="宋体" w:hAnsi="宋体"/>
          <w:color w:val="auto"/>
          <w:szCs w:val="21"/>
          <w:highlight w:val="none"/>
        </w:rPr>
        <w:t>投标人（全称并加盖公章）：</w:t>
      </w:r>
      <w:bookmarkEnd w:id="81"/>
      <w:bookmarkEnd w:id="8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83" w:name="_Toc12222"/>
      <w:bookmarkStart w:id="84" w:name="_Toc625"/>
      <w:r>
        <w:rPr>
          <w:rFonts w:hint="eastAsia" w:ascii="宋体" w:hAnsi="宋体"/>
          <w:color w:val="auto"/>
          <w:szCs w:val="21"/>
          <w:highlight w:val="none"/>
        </w:rPr>
        <w:t>法定代表人或其委托代理人（签字）：</w:t>
      </w:r>
      <w:bookmarkEnd w:id="83"/>
      <w:bookmarkEnd w:id="8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85" w:name="_Toc9950"/>
      <w:bookmarkStart w:id="86" w:name="_Toc1330"/>
      <w:r>
        <w:rPr>
          <w:rFonts w:hint="eastAsia" w:ascii="宋体" w:hAnsi="宋体"/>
          <w:color w:val="auto"/>
          <w:szCs w:val="21"/>
          <w:highlight w:val="none"/>
        </w:rPr>
        <w:t>年  月  日</w:t>
      </w:r>
      <w:bookmarkEnd w:id="85"/>
      <w:bookmarkEnd w:id="86"/>
    </w:p>
    <w:p>
      <w:pPr>
        <w:rPr>
          <w:color w:val="auto"/>
          <w:highlight w:val="none"/>
        </w:rPr>
      </w:pPr>
      <w:r>
        <w:rPr>
          <w:color w:val="auto"/>
          <w:highlight w:val="none"/>
        </w:rPr>
        <w:br w:type="page"/>
      </w:r>
    </w:p>
    <w:p>
      <w:pPr>
        <w:rPr>
          <w:color w:val="auto"/>
          <w:highlight w:val="none"/>
        </w:rPr>
      </w:pPr>
    </w:p>
    <w:bookmarkEnd w:id="62"/>
    <w:bookmarkEnd w:id="63"/>
    <w:p>
      <w:pPr>
        <w:pStyle w:val="8"/>
        <w:spacing w:before="20" w:after="20"/>
        <w:rPr>
          <w:color w:val="auto"/>
          <w:highlight w:val="none"/>
        </w:rPr>
      </w:pPr>
      <w:bookmarkStart w:id="87" w:name="_Toc24984"/>
      <w:bookmarkStart w:id="88" w:name="_Toc22004"/>
      <w:r>
        <w:rPr>
          <w:rFonts w:hint="eastAsia"/>
          <w:color w:val="auto"/>
          <w:highlight w:val="none"/>
        </w:rPr>
        <w:t>附件4               报价明细表</w:t>
      </w:r>
      <w:bookmarkEnd w:id="87"/>
      <w:bookmarkEnd w:id="88"/>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8"/>
        <w:rPr>
          <w:color w:val="auto"/>
          <w:highlight w:val="none"/>
        </w:rPr>
      </w:pPr>
      <w:r>
        <w:rPr>
          <w:rFonts w:hint="eastAsia"/>
          <w:color w:val="auto"/>
          <w:highlight w:val="none"/>
        </w:rPr>
        <w:br w:type="page"/>
      </w:r>
      <w:bookmarkStart w:id="89" w:name="_Toc226"/>
      <w:bookmarkStart w:id="90" w:name="_Toc15804"/>
      <w:r>
        <w:rPr>
          <w:rFonts w:hint="eastAsia"/>
          <w:color w:val="auto"/>
          <w:highlight w:val="none"/>
        </w:rPr>
        <w:t>附件5               技术响应表（格式）</w:t>
      </w:r>
      <w:bookmarkEnd w:id="89"/>
      <w:bookmarkEnd w:id="90"/>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91" w:name="_Toc29960"/>
      <w:bookmarkStart w:id="92" w:name="_Toc20420"/>
      <w:r>
        <w:rPr>
          <w:rFonts w:hint="eastAsia" w:ascii="Arial" w:hAnsi="Arial" w:eastAsia="新宋体"/>
          <w:b/>
          <w:color w:val="auto"/>
          <w:sz w:val="28"/>
          <w:highlight w:val="none"/>
        </w:rPr>
        <w:t>附件6               商务响应表（格式）</w:t>
      </w:r>
      <w:bookmarkEnd w:id="91"/>
      <w:bookmarkEnd w:id="92"/>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2"/>
      </w:pPr>
    </w:p>
    <w:p>
      <w:pPr>
        <w:widowControl/>
        <w:wordWrap w:val="0"/>
        <w:spacing w:line="460" w:lineRule="exact"/>
        <w:jc w:val="left"/>
        <w:outlineLvl w:val="0"/>
        <w:rPr>
          <w:rFonts w:ascii="Arial" w:hAnsi="Arial" w:eastAsia="新宋体"/>
          <w:b/>
          <w:color w:val="auto"/>
          <w:sz w:val="28"/>
          <w:highlight w:val="none"/>
        </w:rPr>
      </w:pPr>
      <w:bookmarkStart w:id="93" w:name="_Toc28621"/>
      <w:bookmarkStart w:id="94" w:name="_Toc31526"/>
      <w:r>
        <w:rPr>
          <w:rFonts w:hint="eastAsia" w:ascii="Arial" w:hAnsi="Arial" w:eastAsia="新宋体"/>
          <w:b/>
          <w:color w:val="auto"/>
          <w:sz w:val="28"/>
          <w:highlight w:val="none"/>
        </w:rPr>
        <w:t>附件7               法定代表人身份证明（格式）</w:t>
      </w:r>
      <w:bookmarkEnd w:id="93"/>
      <w:bookmarkEnd w:id="94"/>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95" w:name="_Toc30519"/>
      <w:bookmarkStart w:id="96" w:name="_Toc13976"/>
      <w:r>
        <w:rPr>
          <w:rFonts w:hint="eastAsia" w:ascii="Arial" w:hAnsi="Arial" w:eastAsia="新宋体"/>
          <w:b/>
          <w:color w:val="auto"/>
          <w:sz w:val="28"/>
          <w:highlight w:val="none"/>
        </w:rPr>
        <w:t>附件8               法定代表人授权书（格式）</w:t>
      </w:r>
      <w:bookmarkEnd w:id="95"/>
      <w:bookmarkEnd w:id="96"/>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7" w:name="_Toc18105"/>
      <w:bookmarkStart w:id="98" w:name="_Toc24693"/>
      <w:r>
        <w:rPr>
          <w:rFonts w:hint="eastAsia" w:ascii="Arial" w:hAnsi="Arial" w:eastAsia="新宋体"/>
          <w:b/>
          <w:color w:val="auto"/>
          <w:sz w:val="28"/>
          <w:highlight w:val="none"/>
        </w:rPr>
        <w:t>附件9               证明文件</w:t>
      </w:r>
      <w:bookmarkEnd w:id="97"/>
      <w:bookmarkEnd w:id="98"/>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99" w:name="_Toc17966"/>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100" w:name="_Toc13726"/>
      <w:bookmarkStart w:id="101" w:name="_Toc12888"/>
      <w:r>
        <w:rPr>
          <w:rFonts w:hint="eastAsia" w:ascii="宋体" w:hAnsi="宋体" w:cs="Lucida Sans Unicode"/>
          <w:b/>
          <w:color w:val="auto"/>
          <w:kern w:val="0"/>
          <w:sz w:val="28"/>
          <w:szCs w:val="28"/>
          <w:highlight w:val="none"/>
        </w:rPr>
        <w:t xml:space="preserve">附件10        </w:t>
      </w:r>
      <w:bookmarkEnd w:id="99"/>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100"/>
      <w:bookmarkEnd w:id="101"/>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102" w:name="_Toc25094"/>
      <w:bookmarkStart w:id="103" w:name="_Toc23394"/>
      <w:r>
        <w:rPr>
          <w:rFonts w:hint="eastAsia" w:ascii="宋体" w:hAnsi="宋体" w:cs="Lucida Sans Unicode"/>
          <w:b/>
          <w:color w:val="auto"/>
          <w:kern w:val="0"/>
          <w:sz w:val="24"/>
          <w:highlight w:val="none"/>
        </w:rPr>
        <w:t>投标人认为有必要的其他资料</w:t>
      </w:r>
      <w:bookmarkEnd w:id="102"/>
      <w:bookmarkEnd w:id="103"/>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驻马店市中心医院病理科常规病理、免疫组织化学及分子病理项目的机器及工作电脑需配备的UPS不间断电源采购项目采购文件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驻马店市中心医院病理科常规病理、免疫组织化学及分子病理项目的机器及工作电脑需配备的UPS不间断电源采购项目采购文件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6A009A"/>
    <w:rsid w:val="03844805"/>
    <w:rsid w:val="03845791"/>
    <w:rsid w:val="03A011E9"/>
    <w:rsid w:val="03AE7F27"/>
    <w:rsid w:val="03BD2BCD"/>
    <w:rsid w:val="040B7160"/>
    <w:rsid w:val="04416C20"/>
    <w:rsid w:val="047968B1"/>
    <w:rsid w:val="04870542"/>
    <w:rsid w:val="04B844FD"/>
    <w:rsid w:val="04C72531"/>
    <w:rsid w:val="05376505"/>
    <w:rsid w:val="05545DD3"/>
    <w:rsid w:val="055D2434"/>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D15B7E"/>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DF2705"/>
    <w:rsid w:val="17E0618F"/>
    <w:rsid w:val="17EE4314"/>
    <w:rsid w:val="18097740"/>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254B0"/>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003CA"/>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5175E2"/>
    <w:rsid w:val="3F56276A"/>
    <w:rsid w:val="3F6C10E0"/>
    <w:rsid w:val="3F870779"/>
    <w:rsid w:val="3F963015"/>
    <w:rsid w:val="3F964D35"/>
    <w:rsid w:val="3FA327ED"/>
    <w:rsid w:val="3FB11738"/>
    <w:rsid w:val="3FB5581B"/>
    <w:rsid w:val="3FC33D05"/>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63697D"/>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D1153D"/>
    <w:rsid w:val="57DC3362"/>
    <w:rsid w:val="57FA3774"/>
    <w:rsid w:val="58084A3C"/>
    <w:rsid w:val="583354EA"/>
    <w:rsid w:val="585D2975"/>
    <w:rsid w:val="587E3341"/>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7C3DC5"/>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149F7"/>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026ACA"/>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249EA"/>
    <w:rsid w:val="6B554C72"/>
    <w:rsid w:val="6B824366"/>
    <w:rsid w:val="6B847AD7"/>
    <w:rsid w:val="6B9A2DF9"/>
    <w:rsid w:val="6BAC4619"/>
    <w:rsid w:val="6BBF2306"/>
    <w:rsid w:val="6BCD2823"/>
    <w:rsid w:val="6BDD15DD"/>
    <w:rsid w:val="6BDF2966"/>
    <w:rsid w:val="6BE86A5F"/>
    <w:rsid w:val="6C0528A2"/>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4D24B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link w:val="73"/>
    <w:qFormat/>
    <w:uiPriority w:val="0"/>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spacing w:beforeAutospacing="1" w:afterAutospacing="1"/>
      <w:jc w:val="left"/>
    </w:pPr>
    <w:rPr>
      <w:rFonts w:ascii="宋体" w:hAnsi="宋体" w:cs="宋体"/>
      <w:kern w:val="0"/>
      <w:sz w:val="24"/>
    </w:rPr>
  </w:style>
  <w:style w:type="paragraph" w:styleId="12">
    <w:name w:val="Normal Indent"/>
    <w:basedOn w:val="1"/>
    <w:qFormat/>
    <w:uiPriority w:val="0"/>
    <w:pPr>
      <w:widowControl/>
      <w:spacing w:beforeAutospacing="1" w:afterAutospacing="1"/>
      <w:jc w:val="left"/>
    </w:pPr>
    <w:rPr>
      <w:rFonts w:ascii="宋体" w:hAnsi="宋体" w:cs="宋体"/>
      <w:kern w:val="0"/>
      <w:sz w:val="24"/>
    </w:rPr>
  </w:style>
  <w:style w:type="paragraph" w:styleId="13">
    <w:name w:val="Document Map"/>
    <w:basedOn w:val="1"/>
    <w:link w:val="75"/>
    <w:qFormat/>
    <w:uiPriority w:val="0"/>
    <w:rPr>
      <w:rFonts w:ascii="宋体" w:hAnsi="Calibri"/>
      <w:sz w:val="18"/>
      <w:szCs w:val="18"/>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3"/>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18388</Words>
  <Characters>19408</Characters>
  <Lines>50</Lines>
  <Paragraphs>68</Paragraphs>
  <TotalTime>8</TotalTime>
  <ScaleCrop>false</ScaleCrop>
  <LinksUpToDate>false</LinksUpToDate>
  <CharactersWithSpaces>20489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2022-05-23T01:15:07Z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36F67B911EFE4BCC8707140988937917</vt:lpwstr>
  </property>
  <property fmtid="{D5CDD505-2E9C-101B-9397-08002B2CF9AE}" pid="4" name="commondata">
    <vt:lpwstr>eyJoZGlkIjoiYzIwMjRmYTY4OTJhZjc1NTA1MGQwNDc0NzZhNTkwMmUifQ==</vt:lpwstr>
  </property>
</Properties>
</file>