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驻马店市中心医院安检设施采购项目</w:t>
      </w: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驻马店市中心医院安检设施采购项目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安检设施采购 </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驻马店市中心医院安检设施采购项目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240000.00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6079"/>
      <w:bookmarkStart w:id="5" w:name="_Toc27913"/>
      <w:bookmarkStart w:id="6" w:name="_Toc21071"/>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合同签订后20日内</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23626"/>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sz w:val="21"/>
          <w:lang w:val="en-US" w:eastAsia="zh-CN"/>
        </w:rPr>
      </w:pPr>
      <w:r>
        <w:rPr>
          <w:rFonts w:hint="eastAsia" w:ascii="宋体" w:hAnsi="宋体" w:cs="宋体"/>
          <w:sz w:val="21"/>
          <w:lang w:val="en-US" w:eastAsia="zh-CN"/>
        </w:rPr>
        <w:t>3、</w:t>
      </w:r>
      <w:r>
        <w:rPr>
          <w:rFonts w:hint="eastAsia" w:ascii="宋体" w:hAnsi="宋体" w:eastAsia="宋体" w:cs="宋体"/>
          <w:color w:val="auto"/>
          <w:kern w:val="2"/>
          <w:sz w:val="21"/>
          <w:szCs w:val="24"/>
          <w:lang w:val="en-US" w:eastAsia="zh-CN" w:bidi="ar-SA"/>
        </w:rPr>
        <w:t>供应商</w:t>
      </w:r>
      <w:r>
        <w:rPr>
          <w:rFonts w:hint="eastAsia" w:ascii="宋体" w:hAnsi="宋体" w:cs="宋体"/>
          <w:sz w:val="21"/>
          <w:lang w:val="en-US" w:eastAsia="zh-CN"/>
        </w:rPr>
        <w:t>须提供安检机的省级环保部门出具的《辐射安全许可证》；</w:t>
      </w:r>
      <w:r>
        <w:rPr>
          <w:rFonts w:hint="eastAsia" w:ascii="宋体" w:hAnsi="宋体" w:eastAsia="宋体" w:cs="宋体"/>
          <w:color w:val="auto"/>
          <w:kern w:val="2"/>
          <w:sz w:val="21"/>
          <w:szCs w:val="24"/>
          <w:lang w:val="en-US" w:eastAsia="zh-CN" w:bidi="ar-SA"/>
        </w:rPr>
        <w:t>供应商</w:t>
      </w:r>
      <w:r>
        <w:rPr>
          <w:rFonts w:hint="eastAsia" w:ascii="宋体" w:hAnsi="宋体" w:cs="宋体"/>
          <w:sz w:val="21"/>
          <w:lang w:val="en-US" w:eastAsia="zh-CN"/>
        </w:rPr>
        <w:t>须提供安检机国内权威机构出具的第三方检测报告、省级职业病防治机构出具的检测报告。</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7823"/>
      <w:bookmarkStart w:id="14" w:name="_Toc30643"/>
      <w:bookmarkStart w:id="15" w:name="_Toc30971"/>
      <w:bookmarkStart w:id="16" w:name="_Toc23395"/>
      <w:bookmarkStart w:id="17" w:name="_Toc9562"/>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ZMDDCZX@163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5135"/>
      <w:bookmarkStart w:id="19" w:name="_Toc15111"/>
      <w:bookmarkStart w:id="20" w:name="_Toc25869"/>
      <w:bookmarkStart w:id="21" w:name="_Toc27480"/>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29784"/>
      <w:bookmarkStart w:id="25" w:name="_Toc20287"/>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4274"/>
      <w:bookmarkStart w:id="30" w:name="_Toc16291"/>
      <w:bookmarkStart w:id="31" w:name="_Toc31928"/>
      <w:bookmarkStart w:id="32" w:name="_Toc27370"/>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4</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24</w:t>
      </w:r>
      <w:bookmarkStart w:id="91" w:name="_GoBack"/>
      <w:bookmarkEnd w:id="91"/>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jc w:val="center"/>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一、项目名称、数量：驻马店市中心医院安检设施采购项目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二、项目用途说明：使用具有智能识别功能的安检系统，对进入医院的人员及携带的物品进行全面、详细的筛查，防止不法人员携带匕首、管制刀具、武器等违法物品进入医院，实现医院的安全防护。                                                                       </w:t>
      </w:r>
    </w:p>
    <w:p>
      <w:pPr>
        <w:pageBreakBefore w:val="0"/>
        <w:widowControl/>
        <w:kinsoku/>
        <w:wordWrap/>
        <w:overflowPunct/>
        <w:topLinePunct w:val="0"/>
        <w:bidi w:val="0"/>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r>
        <w:rPr>
          <w:rFonts w:hint="eastAsia" w:ascii="宋体" w:hAnsi="宋体" w:cs="宋体"/>
          <w:color w:val="auto"/>
          <w:kern w:val="0"/>
          <w:sz w:val="21"/>
          <w:szCs w:val="21"/>
          <w:shd w:val="clear" w:color="auto" w:fill="FFFFFF"/>
          <w:lang w:val="en-US" w:eastAsia="zh-CN" w:bidi="ar-SA"/>
        </w:rPr>
        <w:t>无</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四、详细技术要求、参数及产品资料等：</w:t>
      </w:r>
    </w:p>
    <w:tbl>
      <w:tblPr>
        <w:tblStyle w:val="3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04"/>
        <w:gridCol w:w="1590"/>
        <w:gridCol w:w="166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序号</w:t>
            </w:r>
          </w:p>
        </w:tc>
        <w:tc>
          <w:tcPr>
            <w:tcW w:w="3404"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项目名称</w:t>
            </w:r>
          </w:p>
        </w:tc>
        <w:tc>
          <w:tcPr>
            <w:tcW w:w="159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数量或规模</w:t>
            </w:r>
          </w:p>
        </w:tc>
        <w:tc>
          <w:tcPr>
            <w:tcW w:w="166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资金预算</w:t>
            </w:r>
          </w:p>
        </w:tc>
        <w:tc>
          <w:tcPr>
            <w:tcW w:w="153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1</w:t>
            </w:r>
          </w:p>
        </w:tc>
        <w:tc>
          <w:tcPr>
            <w:tcW w:w="3404"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安检设施采购</w:t>
            </w:r>
          </w:p>
        </w:tc>
        <w:tc>
          <w:tcPr>
            <w:tcW w:w="159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2台X光机</w:t>
            </w:r>
          </w:p>
        </w:tc>
        <w:tc>
          <w:tcPr>
            <w:tcW w:w="166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34" w:leftChars="16"/>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24万元</w:t>
            </w:r>
          </w:p>
        </w:tc>
        <w:tc>
          <w:tcPr>
            <w:tcW w:w="153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firstLine="210" w:firstLineChars="10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合计</w:t>
            </w:r>
          </w:p>
        </w:tc>
        <w:tc>
          <w:tcPr>
            <w:tcW w:w="3404"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59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66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default"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24万元</w:t>
            </w:r>
          </w:p>
        </w:tc>
        <w:tc>
          <w:tcPr>
            <w:tcW w:w="153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r>
    </w:tbl>
    <w:p>
      <w:pPr>
        <w:pStyle w:val="2"/>
        <w:pageBreakBefore w:val="0"/>
        <w:kinsoku/>
        <w:wordWrap/>
        <w:overflowPunct/>
        <w:topLinePunct w:val="0"/>
        <w:bidi w:val="0"/>
        <w:spacing w:before="0" w:beforeAutospacing="0" w:afterAutospacing="0" w:line="500" w:lineRule="exact"/>
        <w:textAlignment w:val="auto"/>
        <w:rPr>
          <w:rFonts w:hint="default"/>
          <w:lang w:val="en-US" w:eastAsia="zh-CN"/>
        </w:rPr>
      </w:pPr>
      <w:r>
        <w:rPr>
          <w:rFonts w:hint="eastAsia" w:ascii="宋体" w:hAnsi="宋体" w:eastAsia="宋体" w:cs="宋体"/>
          <w:b/>
          <w:bCs/>
          <w:color w:val="auto"/>
          <w:kern w:val="0"/>
          <w:sz w:val="21"/>
          <w:szCs w:val="21"/>
          <w:shd w:val="clear" w:color="auto" w:fill="FFFFFF"/>
          <w:lang w:val="en-US" w:eastAsia="zh-CN" w:bidi="ar-SA"/>
        </w:rPr>
        <w:t>产品参数：</w:t>
      </w:r>
    </w:p>
    <w:bookmarkEnd w:id="35"/>
    <w:bookmarkEnd w:id="36"/>
    <w:tbl>
      <w:tblPr>
        <w:tblStyle w:val="33"/>
        <w:tblW w:w="8970" w:type="dxa"/>
        <w:tblInd w:w="110" w:type="dxa"/>
        <w:tblLayout w:type="fixed"/>
        <w:tblCellMar>
          <w:top w:w="0" w:type="dxa"/>
          <w:left w:w="108" w:type="dxa"/>
          <w:bottom w:w="0" w:type="dxa"/>
          <w:right w:w="108" w:type="dxa"/>
        </w:tblCellMar>
      </w:tblPr>
      <w:tblGrid>
        <w:gridCol w:w="780"/>
        <w:gridCol w:w="1751"/>
        <w:gridCol w:w="6439"/>
      </w:tblGrid>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r>
      <w:tr>
        <w:tblPrEx>
          <w:tblCellMar>
            <w:top w:w="0" w:type="dxa"/>
            <w:left w:w="108" w:type="dxa"/>
            <w:bottom w:w="0" w:type="dxa"/>
            <w:right w:w="108" w:type="dxa"/>
          </w:tblCellMar>
        </w:tblPrEx>
        <w:tc>
          <w:tcPr>
            <w:tcW w:w="780" w:type="dxa"/>
            <w:vMerge w:val="restart"/>
            <w:tcBorders>
              <w:top w:val="single" w:color="auto" w:sz="4" w:space="0"/>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安检机</w:t>
            </w: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通道尺寸</w:t>
            </w:r>
          </w:p>
        </w:tc>
        <w:tc>
          <w:tcPr>
            <w:tcW w:w="6439"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hint="eastAsia" w:ascii="宋体" w:hAnsi="宋体" w:eastAsia="宋体" w:cs="宋体"/>
                <w:bCs/>
                <w:sz w:val="21"/>
                <w:szCs w:val="21"/>
              </w:rPr>
            </w:pPr>
            <w:r>
              <w:rPr>
                <w:rFonts w:hint="eastAsia" w:ascii="宋体" w:hAnsi="宋体" w:eastAsia="宋体" w:cs="宋体"/>
                <w:bCs/>
                <w:sz w:val="21"/>
                <w:szCs w:val="21"/>
              </w:rPr>
              <w:t>600×500㎜（W×H）</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线分辨力</w:t>
            </w:r>
          </w:p>
        </w:tc>
        <w:tc>
          <w:tcPr>
            <w:tcW w:w="6439"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hint="eastAsia" w:ascii="宋体" w:hAnsi="宋体" w:eastAsia="宋体" w:cs="宋体"/>
                <w:bCs/>
                <w:sz w:val="21"/>
                <w:szCs w:val="21"/>
              </w:rPr>
            </w:pPr>
            <w:r>
              <w:rPr>
                <w:rFonts w:hint="eastAsia" w:ascii="宋体" w:hAnsi="宋体" w:eastAsia="宋体" w:cs="宋体"/>
                <w:bCs/>
                <w:sz w:val="21"/>
                <w:szCs w:val="21"/>
              </w:rPr>
              <w:t>0.0787mm</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穿透力</w:t>
            </w:r>
          </w:p>
        </w:tc>
        <w:tc>
          <w:tcPr>
            <w:tcW w:w="6439" w:type="dxa"/>
            <w:tcBorders>
              <w:top w:val="single" w:color="auto" w:sz="4" w:space="0"/>
              <w:left w:val="single" w:color="auto" w:sz="4" w:space="0"/>
              <w:bottom w:val="single" w:color="auto" w:sz="4" w:space="0"/>
              <w:right w:val="single" w:color="auto" w:sz="4" w:space="0"/>
            </w:tcBorders>
            <w:vAlign w:val="bottom"/>
          </w:tcPr>
          <w:p>
            <w:pPr>
              <w:tabs>
                <w:tab w:val="left" w:pos="0"/>
                <w:tab w:val="left" w:pos="420"/>
              </w:tabs>
              <w:autoSpaceDE w:val="0"/>
              <w:autoSpaceDN w:val="0"/>
              <w:adjustRightInd w:val="0"/>
              <w:spacing w:line="360" w:lineRule="auto"/>
              <w:rPr>
                <w:rFonts w:hint="eastAsia" w:ascii="宋体" w:hAnsi="宋体" w:eastAsia="宋体" w:cs="宋体"/>
                <w:bCs/>
                <w:sz w:val="21"/>
                <w:szCs w:val="21"/>
              </w:rPr>
            </w:pPr>
            <w:r>
              <w:rPr>
                <w:rFonts w:hint="eastAsia" w:ascii="宋体" w:hAnsi="宋体" w:eastAsia="宋体" w:cs="宋体"/>
                <w:bCs/>
                <w:sz w:val="21"/>
                <w:szCs w:val="21"/>
              </w:rPr>
              <w:t>≥40㎜钢板</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穿透分辨力</w:t>
            </w:r>
          </w:p>
        </w:tc>
        <w:tc>
          <w:tcPr>
            <w:tcW w:w="6439" w:type="dxa"/>
            <w:tcBorders>
              <w:top w:val="single" w:color="auto" w:sz="4" w:space="0"/>
              <w:left w:val="single" w:color="auto" w:sz="4" w:space="0"/>
              <w:bottom w:val="single" w:color="auto" w:sz="4" w:space="0"/>
              <w:right w:val="single" w:color="auto" w:sz="4" w:space="0"/>
            </w:tcBorders>
            <w:vAlign w:val="center"/>
          </w:tcPr>
          <w:p>
            <w:pPr>
              <w:tabs>
                <w:tab w:val="left" w:pos="0"/>
                <w:tab w:val="left" w:pos="420"/>
              </w:tabs>
              <w:autoSpaceDE w:val="0"/>
              <w:autoSpaceDN w:val="0"/>
              <w:adjustRightInd w:val="0"/>
              <w:spacing w:line="360" w:lineRule="auto"/>
              <w:rPr>
                <w:rFonts w:hint="eastAsia" w:ascii="宋体" w:hAnsi="宋体" w:eastAsia="宋体" w:cs="宋体"/>
                <w:bCs/>
                <w:sz w:val="21"/>
                <w:szCs w:val="21"/>
              </w:rPr>
            </w:pPr>
            <w:r>
              <w:rPr>
                <w:rFonts w:hint="eastAsia" w:ascii="宋体" w:hAnsi="宋体" w:eastAsia="宋体" w:cs="宋体"/>
                <w:bCs/>
                <w:sz w:val="21"/>
                <w:szCs w:val="21"/>
              </w:rPr>
              <w:t>≥0.127mm</w:t>
            </w:r>
            <w:r>
              <w:rPr>
                <w:rFonts w:hint="eastAsia" w:ascii="宋体" w:hAnsi="宋体" w:eastAsia="宋体" w:cs="宋体"/>
                <w:sz w:val="21"/>
                <w:szCs w:val="21"/>
              </w:rPr>
              <w:t xml:space="preserve"> </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空间分辨力</w:t>
            </w:r>
          </w:p>
        </w:tc>
        <w:tc>
          <w:tcPr>
            <w:tcW w:w="6439"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hint="eastAsia" w:ascii="宋体" w:hAnsi="宋体" w:eastAsia="宋体" w:cs="宋体"/>
                <w:bCs/>
                <w:sz w:val="21"/>
                <w:szCs w:val="21"/>
              </w:rPr>
            </w:pPr>
            <w:r>
              <w:rPr>
                <w:rFonts w:hint="eastAsia" w:ascii="宋体" w:hAnsi="宋体" w:eastAsia="宋体" w:cs="宋体"/>
                <w:bCs/>
                <w:sz w:val="21"/>
                <w:szCs w:val="21"/>
              </w:rPr>
              <w:t>水平：≤1.0MM，垂直：≤1.0MM</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食品、药品及磁带</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多次照射无影响</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主机噪音</w:t>
            </w:r>
          </w:p>
        </w:tc>
        <w:tc>
          <w:tcPr>
            <w:tcW w:w="6439" w:type="dxa"/>
            <w:tcBorders>
              <w:top w:val="single" w:color="auto" w:sz="4" w:space="0"/>
              <w:left w:val="single" w:color="auto" w:sz="4" w:space="0"/>
              <w:bottom w:val="single" w:color="auto" w:sz="4" w:space="0"/>
              <w:right w:val="single" w:color="auto" w:sz="4" w:space="0"/>
            </w:tcBorders>
          </w:tcPr>
          <w:p>
            <w:pPr>
              <w:tabs>
                <w:tab w:val="left" w:pos="0"/>
                <w:tab w:val="left" w:pos="420"/>
              </w:tabs>
              <w:autoSpaceDE w:val="0"/>
              <w:autoSpaceDN w:val="0"/>
              <w:adjustRightInd w:val="0"/>
              <w:spacing w:line="360" w:lineRule="auto"/>
              <w:rPr>
                <w:rFonts w:hint="eastAsia" w:ascii="宋体" w:hAnsi="宋体" w:eastAsia="宋体" w:cs="宋体"/>
                <w:bCs/>
                <w:sz w:val="21"/>
                <w:szCs w:val="21"/>
              </w:rPr>
            </w:pPr>
            <w:r>
              <w:rPr>
                <w:rFonts w:hint="eastAsia" w:ascii="宋体" w:hAnsi="宋体" w:eastAsia="宋体" w:cs="宋体"/>
                <w:bCs/>
                <w:sz w:val="21"/>
                <w:szCs w:val="21"/>
              </w:rPr>
              <w:t>≤ 52dB(A)</w:t>
            </w:r>
            <w:r>
              <w:rPr>
                <w:rFonts w:hint="eastAsia" w:ascii="宋体" w:hAnsi="宋体" w:eastAsia="宋体" w:cs="宋体"/>
                <w:color w:val="FF0000"/>
                <w:sz w:val="21"/>
                <w:szCs w:val="21"/>
                <w:lang w:val="zh-CN"/>
              </w:rPr>
              <w:t xml:space="preserve"> </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单次检查剂量检验</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X光光源的单次检查照射量应≤1uGy</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泄露射线剂量率检验</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在距设备外表面5cm的任意处，X光机的泄露射线的照射量率≤0.1uGy/h</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★超薄物</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被测物过薄而无法遮挡光障时，按下相应的功能键后可对超薄物进行探测,可探测最薄金属厚度</w:t>
            </w:r>
            <m:oMath>
              <m:r>
                <m:rPr>
                  <m:sty m:val="p"/>
                </m:rPr>
                <w:rPr>
                  <w:rFonts w:ascii="Cambria Math" w:hAnsi="Cambria Math" w:cs="宋体"/>
                  <w:sz w:val="21"/>
                  <w:szCs w:val="21"/>
                  <w:lang w:val="en-US"/>
                </w:rPr>
                <m:t>≤</m:t>
              </m:r>
            </m:oMath>
            <w:r>
              <w:rPr>
                <w:rFonts w:hint="eastAsia" w:ascii="宋体" w:hAnsi="宋体" w:eastAsia="宋体" w:cs="宋体"/>
                <w:bCs/>
                <w:sz w:val="21"/>
                <w:szCs w:val="21"/>
              </w:rPr>
              <w:t>0.06mm</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有机物分辨检验</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设备应能分辨厚度1mm-120mm的聚甲基丙烯酸甲酯，并赋予不同饱和度的橙色</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有效材料分辨检验</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设备应能分辨具有相同X射线衰减能力、不同等效原子序数的三种材料样本，并赋予PVC板绿色，赋予模拟物板和尼龙6板橙色</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数据传输功能检测</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可通过TCP/IP方式将包裹扫描图像以JPG、BMP、PNG、GIF图像格式传输到指定客户端或服务器</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泄漏电流</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 xml:space="preserve">≤0.08mA        </w:t>
            </w:r>
            <w:r>
              <w:rPr>
                <w:rFonts w:hint="eastAsia" w:ascii="宋体" w:hAnsi="宋体" w:eastAsia="宋体" w:cs="宋体"/>
                <w:bCs/>
                <w:color w:val="FF0000"/>
                <w:sz w:val="21"/>
                <w:szCs w:val="21"/>
              </w:rPr>
              <w:t xml:space="preserve">  </w:t>
            </w:r>
            <w:r>
              <w:rPr>
                <w:rFonts w:hint="eastAsia" w:ascii="宋体" w:hAnsi="宋体" w:eastAsia="宋体" w:cs="宋体"/>
                <w:bCs/>
                <w:sz w:val="21"/>
                <w:szCs w:val="21"/>
              </w:rPr>
              <w:t xml:space="preserve"> </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绝缘电阻</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 xml:space="preserve">≥1000MΩ          </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★通过率检验</w:t>
            </w:r>
          </w:p>
        </w:tc>
        <w:tc>
          <w:tcPr>
            <w:tcW w:w="6439" w:type="dxa"/>
            <w:tcBorders>
              <w:top w:val="single" w:color="auto" w:sz="4" w:space="0"/>
              <w:left w:val="single" w:color="auto" w:sz="4" w:space="0"/>
              <w:bottom w:val="single" w:color="auto" w:sz="4" w:space="0"/>
              <w:right w:val="single" w:color="auto" w:sz="4" w:space="0"/>
            </w:tcBorders>
          </w:tcPr>
          <w:p>
            <w:pPr>
              <w:tabs>
                <w:tab w:val="left" w:pos="0"/>
                <w:tab w:val="left" w:pos="420"/>
              </w:tabs>
              <w:autoSpaceDE w:val="0"/>
              <w:autoSpaceDN w:val="0"/>
              <w:adjustRightInd w:val="0"/>
              <w:spacing w:line="360" w:lineRule="auto"/>
              <w:rPr>
                <w:rFonts w:hint="eastAsia" w:ascii="宋体" w:hAnsi="宋体" w:eastAsia="宋体" w:cs="宋体"/>
                <w:bCs/>
                <w:sz w:val="21"/>
                <w:szCs w:val="21"/>
              </w:rPr>
            </w:pPr>
            <w:r>
              <w:rPr>
                <w:rFonts w:hint="eastAsia" w:ascii="宋体" w:hAnsi="宋体" w:eastAsia="宋体" w:cs="宋体"/>
                <w:bCs/>
                <w:sz w:val="21"/>
                <w:szCs w:val="21"/>
              </w:rPr>
              <w:t>≥2100个/h</w:t>
            </w:r>
            <w:r>
              <w:rPr>
                <w:rFonts w:hint="eastAsia" w:ascii="宋体" w:hAnsi="宋体" w:eastAsia="宋体" w:cs="宋体"/>
                <w:sz w:val="21"/>
                <w:szCs w:val="21"/>
              </w:rPr>
              <w:t xml:space="preserve"> </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传送带高度</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＞660㎜</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传送带速度</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≥0.20米∕秒</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传送带最高负荷</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≥150㎏</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运行周期</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100%，不须预热</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X-射线产生器冷却</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密封式油冷</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管电压</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80-160KV（可调）</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X-射线束方向</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底照式</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电源适应性</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电源电压应能在标称电压的+10%～-15%范围内，设备能正常工作。</w:t>
            </w:r>
          </w:p>
        </w:tc>
      </w:tr>
      <w:tr>
        <w:tblPrEx>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★操作系统</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采用嵌入式Linux操作系统</w:t>
            </w:r>
          </w:p>
        </w:tc>
      </w:tr>
      <w:tr>
        <w:tblPrEx>
          <w:tblCellMar>
            <w:top w:w="0" w:type="dxa"/>
            <w:left w:w="108" w:type="dxa"/>
            <w:bottom w:w="0" w:type="dxa"/>
            <w:right w:w="108" w:type="dxa"/>
          </w:tblCellMar>
        </w:tblPrEx>
        <w:tc>
          <w:tcPr>
            <w:tcW w:w="780" w:type="dxa"/>
            <w:vMerge w:val="continue"/>
            <w:tcBorders>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显示器</w:t>
            </w: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高分辨率21英寸彩色显示器</w:t>
            </w:r>
          </w:p>
        </w:tc>
      </w:tr>
      <w:tr>
        <w:tblPrEx>
          <w:tblCellMar>
            <w:top w:w="0" w:type="dxa"/>
            <w:left w:w="108" w:type="dxa"/>
            <w:bottom w:w="0" w:type="dxa"/>
            <w:right w:w="108" w:type="dxa"/>
          </w:tblCellMar>
        </w:tblPrEx>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图像显示</w:t>
            </w:r>
          </w:p>
        </w:tc>
        <w:tc>
          <w:tcPr>
            <w:tcW w:w="6439"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Cs/>
                <w:sz w:val="21"/>
                <w:szCs w:val="21"/>
              </w:rPr>
            </w:pPr>
            <w:r>
              <w:rPr>
                <w:rFonts w:hint="eastAsia" w:ascii="宋体" w:hAnsi="宋体" w:eastAsia="宋体" w:cs="宋体"/>
                <w:bCs/>
                <w:sz w:val="21"/>
                <w:szCs w:val="21"/>
              </w:rPr>
              <w:t>黑白/彩色、</w:t>
            </w:r>
            <w:r>
              <w:rPr>
                <w:rFonts w:hint="eastAsia" w:ascii="宋体" w:hAnsi="宋体" w:eastAsia="宋体" w:cs="宋体"/>
                <w:sz w:val="21"/>
                <w:szCs w:val="21"/>
              </w:rPr>
              <w:t>边缘增强，局增/超增，有机物剔除、无机物剔除，反色，灰扫，加亮、减暗，高穿/低穿，放大/缩小，伪彩，有机物增强、可疑物品报警标记</w:t>
            </w:r>
          </w:p>
        </w:tc>
      </w:tr>
      <w:tr>
        <w:tblPrEx>
          <w:tblCellMar>
            <w:top w:w="0" w:type="dxa"/>
            <w:left w:w="108" w:type="dxa"/>
            <w:bottom w:w="0" w:type="dxa"/>
            <w:right w:w="108" w:type="dxa"/>
          </w:tblCellMar>
        </w:tblPrEx>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宋体" w:hAnsi="宋体" w:eastAsia="宋体" w:cs="宋体"/>
                <w:bCs/>
                <w:sz w:val="21"/>
                <w:szCs w:val="21"/>
              </w:rPr>
            </w:pPr>
          </w:p>
        </w:tc>
        <w:tc>
          <w:tcPr>
            <w:tcW w:w="1751"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工作温、湿度</w:t>
            </w:r>
          </w:p>
          <w:p>
            <w:pPr>
              <w:spacing w:line="360" w:lineRule="atLeast"/>
              <w:jc w:val="center"/>
              <w:rPr>
                <w:rFonts w:hint="eastAsia" w:ascii="宋体" w:hAnsi="宋体" w:eastAsia="宋体" w:cs="宋体"/>
                <w:bCs/>
                <w:sz w:val="21"/>
                <w:szCs w:val="21"/>
              </w:rPr>
            </w:pPr>
          </w:p>
        </w:tc>
        <w:tc>
          <w:tcPr>
            <w:tcW w:w="6439" w:type="dxa"/>
            <w:tcBorders>
              <w:top w:val="single" w:color="auto" w:sz="4" w:space="0"/>
              <w:left w:val="single" w:color="auto" w:sz="4" w:space="0"/>
              <w:bottom w:val="single" w:color="auto" w:sz="4" w:space="0"/>
              <w:right w:val="single" w:color="auto" w:sz="4" w:space="0"/>
            </w:tcBorders>
          </w:tcPr>
          <w:p>
            <w:pPr>
              <w:spacing w:line="360" w:lineRule="atLeast"/>
              <w:rPr>
                <w:rFonts w:hint="eastAsia" w:ascii="宋体" w:hAnsi="宋体" w:eastAsia="宋体" w:cs="宋体"/>
                <w:bCs/>
                <w:sz w:val="21"/>
                <w:szCs w:val="21"/>
              </w:rPr>
            </w:pPr>
            <w:r>
              <w:rPr>
                <w:rFonts w:hint="eastAsia" w:ascii="宋体" w:hAnsi="宋体" w:eastAsia="宋体" w:cs="宋体"/>
                <w:bCs/>
                <w:sz w:val="21"/>
                <w:szCs w:val="21"/>
              </w:rPr>
              <w:t>温度：0至40℃-20至50℃∕</w:t>
            </w:r>
          </w:p>
          <w:p>
            <w:pPr>
              <w:spacing w:line="360" w:lineRule="atLeast"/>
              <w:jc w:val="left"/>
              <w:rPr>
                <w:rFonts w:hint="eastAsia" w:ascii="宋体" w:hAnsi="宋体" w:eastAsia="宋体" w:cs="宋体"/>
                <w:bCs/>
                <w:sz w:val="21"/>
                <w:szCs w:val="21"/>
              </w:rPr>
            </w:pPr>
            <w:r>
              <w:rPr>
                <w:rFonts w:hint="eastAsia" w:ascii="宋体" w:hAnsi="宋体" w:eastAsia="宋体" w:cs="宋体"/>
                <w:bCs/>
                <w:sz w:val="21"/>
                <w:szCs w:val="21"/>
              </w:rPr>
              <w:t>湿度：5%-90%（不冷凝）</w:t>
            </w:r>
          </w:p>
        </w:tc>
      </w:tr>
    </w:tbl>
    <w:p>
      <w:pPr>
        <w:pageBreakBefore w:val="0"/>
        <w:numPr>
          <w:ilvl w:val="0"/>
          <w:numId w:val="1"/>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rPr>
        <w:t>服务条件及交货日期（或工期）：</w:t>
      </w:r>
    </w:p>
    <w:p>
      <w:pPr>
        <w:pStyle w:val="2"/>
        <w:pageBreakBefore w:val="0"/>
        <w:numPr>
          <w:ilvl w:val="0"/>
          <w:numId w:val="0"/>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驻马店市中心医院安检机采购项目，包括货物的采购、包装、运输、安装、调试、检测、验收合格交付使用之前及保修期内保修服务、备用物件、系统升级等。自合同签订之日起20日内交付使用，并对采购方进行人员培训。</w:t>
      </w:r>
    </w:p>
    <w:p>
      <w:pPr>
        <w:pageBreakBefore w:val="0"/>
        <w:kinsoku/>
        <w:wordWrap/>
        <w:overflowPunct/>
        <w:topLinePunct w:val="0"/>
        <w:bidi w:val="0"/>
        <w:spacing w:beforeAutospacing="0" w:afterAutospacing="0" w:line="500" w:lineRule="exact"/>
        <w:textAlignment w:val="auto"/>
        <w:rPr>
          <w:rFonts w:hint="eastAsia"/>
        </w:rPr>
      </w:pPr>
      <w:r>
        <w:rPr>
          <w:rFonts w:hint="eastAsia" w:ascii="宋体" w:hAnsi="宋体" w:eastAsia="宋体" w:cs="宋体"/>
          <w:lang w:val="en-US" w:eastAsia="zh-CN"/>
        </w:rPr>
        <w:t>2、</w:t>
      </w:r>
      <w:r>
        <w:rPr>
          <w:rFonts w:hint="eastAsia" w:ascii="宋体" w:hAnsi="宋体" w:eastAsia="宋体" w:cs="宋体"/>
          <w:lang w:val="zh-CN"/>
        </w:rPr>
        <w:t>承诺有驻地服务，提供7*24小时服务，发生故障30分钟内响应到达现场，同时2小时内解决问题，最长不得超过4小时解决问题。</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FF0000"/>
                <w:kern w:val="0"/>
                <w:szCs w:val="21"/>
                <w:highlight w:val="none"/>
              </w:rPr>
            </w:pPr>
            <w:r>
              <w:rPr>
                <w:rFonts w:hint="eastAsia" w:ascii="宋体" w:hAnsi="宋体" w:cs="宋体"/>
                <w:color w:val="auto"/>
                <w:kern w:val="0"/>
                <w:szCs w:val="21"/>
                <w:highlight w:val="none"/>
                <w:lang w:val="en-US" w:eastAsia="zh-CN"/>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40" w:name="_Toc14504"/>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驻马店市中心医院安检设施采购项目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240000.00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2"/>
        <w:pageBreakBefore w:val="0"/>
        <w:kinsoku/>
        <w:wordWrap/>
        <w:overflowPunct/>
        <w:topLinePunct w:val="0"/>
        <w:bidi w:val="0"/>
        <w:spacing w:before="0" w:beforeAutospacing="0" w:after="0" w:afterAutospacing="0" w:line="4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4.3供应商须提供安检机的省级环保部门出具的《辐射安全许可证》；供应商须提供安检机国内权威机构出具的第三方检测报告、省级职业病防治机构出具的检测报告；供应商如是代理商，需要出具制造商针对此项目的专项授权和售后服务承诺函</w:t>
      </w:r>
      <w:r>
        <w:rPr>
          <w:rFonts w:hint="eastAsia" w:ascii="宋体" w:hAnsi="宋体" w:eastAsia="宋体" w:cs="宋体"/>
          <w:b w:val="0"/>
          <w:bCs w:val="0"/>
          <w:sz w:val="21"/>
          <w:szCs w:val="21"/>
        </w:rPr>
        <w:t>；</w:t>
      </w:r>
    </w:p>
    <w:p>
      <w:pPr>
        <w:keepNext w:val="0"/>
        <w:keepLines w:val="0"/>
        <w:pageBreakBefore w:val="0"/>
        <w:widowControl/>
        <w:kinsoku/>
        <w:wordWrap/>
        <w:overflowPunct/>
        <w:topLinePunct w:val="0"/>
        <w:bidi w:val="0"/>
        <w:snapToGrid w:val="0"/>
        <w:spacing w:beforeAutospacing="0"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jc w:val="center"/>
        <w:rPr>
          <w:rFonts w:ascii="宋体" w:hAnsi="宋体" w:cs="宋体"/>
          <w:color w:val="auto"/>
          <w:kern w:val="0"/>
          <w:sz w:val="24"/>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1"/>
        <w:rPr>
          <w:bCs/>
          <w:color w:val="auto"/>
          <w:kern w:val="0"/>
          <w:highlight w:val="none"/>
        </w:rPr>
      </w:pPr>
    </w:p>
    <w:p>
      <w:pPr>
        <w:pStyle w:val="51"/>
        <w:rPr>
          <w:bCs/>
          <w:color w:val="auto"/>
          <w:kern w:val="0"/>
          <w:highlight w:val="none"/>
        </w:rPr>
      </w:pPr>
    </w:p>
    <w:p>
      <w:pPr>
        <w:pStyle w:val="51"/>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0420"/>
      <w:bookmarkStart w:id="79" w:name="_Toc2996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0"/>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驻马店市中心医院安检设施采购项目采购文件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驻马店市中心医院安检设施采购项目采购文件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D20B582"/>
    <w:multiLevelType w:val="singleLevel"/>
    <w:tmpl w:val="7D20B582"/>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E6D2E"/>
    <w:rsid w:val="0AA3501D"/>
    <w:rsid w:val="0AD13A85"/>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9F2E61"/>
    <w:rsid w:val="17B6195E"/>
    <w:rsid w:val="17C227C0"/>
    <w:rsid w:val="17E0618F"/>
    <w:rsid w:val="17EE4314"/>
    <w:rsid w:val="18097740"/>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923660"/>
    <w:rsid w:val="3B9823B7"/>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5175E2"/>
    <w:rsid w:val="3F56276A"/>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DD529D"/>
    <w:rsid w:val="45E57886"/>
    <w:rsid w:val="46003076"/>
    <w:rsid w:val="46177E29"/>
    <w:rsid w:val="46205B7F"/>
    <w:rsid w:val="46476EB4"/>
    <w:rsid w:val="465D501C"/>
    <w:rsid w:val="466060B3"/>
    <w:rsid w:val="466367DB"/>
    <w:rsid w:val="46686D18"/>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D1153D"/>
    <w:rsid w:val="57DC3362"/>
    <w:rsid w:val="57FA3774"/>
    <w:rsid w:val="58084A3C"/>
    <w:rsid w:val="583354EA"/>
    <w:rsid w:val="585D2975"/>
    <w:rsid w:val="587E3341"/>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15532</Words>
  <Characters>16339</Characters>
  <Lines>50</Lines>
  <Paragraphs>68</Paragraphs>
  <TotalTime>2</TotalTime>
  <ScaleCrop>false</ScaleCrop>
  <LinksUpToDate>false</LinksUpToDate>
  <CharactersWithSpaces>17429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2022-04-24T01:32:29Z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36F67B911EFE4BCC8707140988937917</vt:lpwstr>
  </property>
  <property fmtid="{D5CDD505-2E9C-101B-9397-08002B2CF9AE}" pid="4" name="commondata">
    <vt:lpwstr>eyJoZGlkIjoiYzIwMjRmYTY4OTJhZjc1NTA1MGQwNDc0NzZhNTkwMmUifQ==</vt:lpwstr>
  </property>
</Properties>
</file>