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驻马店市中心医院碘[125I]密封籽源采购</w:t>
      </w:r>
      <w:r>
        <w:rPr>
          <w:rFonts w:hint="eastAsia" w:ascii="宋体" w:hAnsi="宋体" w:eastAsia="宋体" w:cs="宋体"/>
          <w:b/>
          <w:bCs/>
          <w:sz w:val="48"/>
          <w:szCs w:val="48"/>
        </w:rPr>
        <w:t>项目</w:t>
      </w:r>
      <w:r>
        <w:rPr>
          <w:rFonts w:hint="eastAsia" w:cs="宋体"/>
          <w:b/>
          <w:bCs/>
          <w:sz w:val="48"/>
          <w:szCs w:val="48"/>
          <w:lang w:eastAsia="zh-CN"/>
        </w:rPr>
        <w:t>（</w:t>
      </w:r>
      <w:r>
        <w:rPr>
          <w:rFonts w:hint="eastAsia" w:cs="宋体"/>
          <w:b/>
          <w:bCs/>
          <w:sz w:val="48"/>
          <w:szCs w:val="48"/>
          <w:lang w:val="en-US" w:eastAsia="zh-CN"/>
        </w:rPr>
        <w:t>二次）</w:t>
      </w: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1"/>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驻马店市中心医院碘[125I]密封籽源</w:t>
      </w:r>
      <w:r>
        <w:rPr>
          <w:rFonts w:hint="eastAsia" w:ascii="黑体" w:hAnsi="黑体" w:eastAsia="黑体" w:cs="宋体"/>
          <w:bCs/>
          <w:color w:val="auto"/>
          <w:kern w:val="0"/>
          <w:sz w:val="28"/>
          <w:szCs w:val="28"/>
          <w:lang w:eastAsia="zh-CN"/>
        </w:rPr>
        <w:t>采购</w:t>
      </w:r>
      <w:r>
        <w:rPr>
          <w:rFonts w:hint="eastAsia" w:ascii="黑体" w:hAnsi="黑体" w:eastAsia="黑体" w:cs="宋体"/>
          <w:bCs/>
          <w:color w:val="auto"/>
          <w:kern w:val="0"/>
          <w:sz w:val="28"/>
          <w:szCs w:val="28"/>
          <w:u w:val="none"/>
          <w:lang w:val="en-US" w:eastAsia="zh-CN"/>
        </w:rPr>
        <w:t>项目（二次）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eastAsia="宋体" w:cs="宋体"/>
          <w:color w:val="auto"/>
          <w:u w:val="single"/>
        </w:rPr>
        <w:t>碘[125I]密封籽源</w:t>
      </w:r>
      <w:r>
        <w:rPr>
          <w:rFonts w:hint="eastAsia" w:ascii="宋体" w:hAnsi="宋体" w:cs="宋体"/>
          <w:color w:val="auto"/>
          <w:u w:val="single"/>
          <w:lang w:val="en-US" w:eastAsia="zh-CN"/>
        </w:rPr>
        <w:t>采购</w:t>
      </w:r>
      <w:r>
        <w:rPr>
          <w:rFonts w:hint="eastAsia" w:ascii="宋体" w:hAnsi="宋体" w:eastAsia="宋体" w:cs="宋体"/>
          <w:i w:val="0"/>
          <w:iCs w:val="0"/>
          <w:color w:val="auto"/>
          <w:u w:val="none"/>
          <w:lang w:val="en-US" w:eastAsia="zh-CN"/>
        </w:rPr>
        <w:t>项目</w:t>
      </w:r>
      <w:r>
        <w:rPr>
          <w:rFonts w:hint="eastAsia" w:ascii="宋体" w:hAnsi="宋体" w:cs="宋体"/>
          <w:i w:val="0"/>
          <w:iCs w:val="0"/>
          <w:color w:val="auto"/>
          <w:u w:val="none"/>
          <w:lang w:val="en-US" w:eastAsia="zh-CN"/>
        </w:rPr>
        <w:t>（二次）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480000.00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1071"/>
      <w:bookmarkStart w:id="6" w:name="_Toc26079"/>
      <w:bookmarkStart w:id="7" w:name="_Toc24040"/>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7704"/>
      <w:bookmarkStart w:id="11" w:name="_Toc23626"/>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6、供应商是生产厂家的须具有《放射性药品生产许可证》；供应商是代理商的须具有《</w:t>
      </w:r>
      <w:r>
        <w:rPr>
          <w:rFonts w:hint="default" w:ascii="宋体" w:hAnsi="宋体" w:eastAsia="宋体" w:cs="宋体"/>
          <w:color w:val="auto"/>
          <w:kern w:val="2"/>
          <w:sz w:val="21"/>
          <w:szCs w:val="24"/>
          <w:lang w:val="en-US" w:eastAsia="zh-CN" w:bidi="ar-SA"/>
        </w:rPr>
        <w:t>放射性药品经营许可证》</w:t>
      </w:r>
      <w:r>
        <w:rPr>
          <w:rFonts w:hint="eastAsia" w:ascii="宋体" w:hAnsi="宋体" w:eastAsia="宋体" w:cs="宋体"/>
          <w:color w:val="auto"/>
          <w:kern w:val="2"/>
          <w:sz w:val="21"/>
          <w:szCs w:val="24"/>
          <w:lang w:val="en-US" w:eastAsia="zh-CN" w:bidi="ar-SA"/>
        </w:rPr>
        <w:t>并提供生产厂家相关证件；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23395"/>
      <w:bookmarkStart w:id="14" w:name="_Toc30971"/>
      <w:bookmarkStart w:id="15" w:name="_Toc7823"/>
      <w:bookmarkStart w:id="16" w:name="_Toc30643"/>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5111"/>
      <w:bookmarkStart w:id="20" w:name="_Toc10738"/>
      <w:bookmarkStart w:id="21" w:name="_Toc15135"/>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7370"/>
      <w:bookmarkStart w:id="31" w:name="_Toc31928"/>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1"/>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9"/>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28</w:t>
      </w:r>
      <w:r>
        <w:rPr>
          <w:rFonts w:hint="eastAsia" w:ascii="宋体" w:hAnsi="宋体" w:eastAsia="宋体" w:cs="宋体"/>
          <w:kern w:val="0"/>
          <w:sz w:val="21"/>
          <w:szCs w:val="21"/>
          <w:highlight w:val="none"/>
          <w:shd w:val="clear" w:color="auto" w:fill="FFFFFF"/>
          <w:lang w:val="en-US" w:eastAsia="zh-CN" w:bidi="ar-SA"/>
        </w:rPr>
        <w:t>日</w:t>
      </w:r>
    </w:p>
    <w:bookmarkEnd w:id="91"/>
    <w:p>
      <w:pPr>
        <w:pStyle w:val="29"/>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adjustRightInd w:val="0"/>
        <w:snapToGrid w:val="0"/>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w:t>
      </w:r>
      <w:r>
        <w:rPr>
          <w:rFonts w:hint="eastAsia" w:ascii="宋体" w:hAnsi="宋体" w:cs="宋体"/>
          <w:color w:val="auto"/>
          <w:szCs w:val="21"/>
          <w:highlight w:val="none"/>
          <w:lang w:val="en-US" w:eastAsia="zh-CN"/>
        </w:rPr>
        <w:t>目（二次）</w:t>
      </w:r>
    </w:p>
    <w:p>
      <w:pPr>
        <w:widowControl/>
        <w:adjustRightInd w:val="0"/>
        <w:snapToGrid w:val="0"/>
        <w:spacing w:line="360" w:lineRule="auto"/>
        <w:jc w:val="left"/>
        <w:rPr>
          <w:rFonts w:hint="eastAsia" w:ascii="宋体" w:hAnsi="宋体" w:eastAsia="宋体" w:cs="宋体"/>
          <w:color w:val="auto"/>
        </w:rPr>
      </w:pPr>
      <w:r>
        <w:rPr>
          <w:rFonts w:hint="eastAsia" w:ascii="宋体" w:hAnsi="宋体" w:cs="宋体"/>
          <w:color w:val="auto"/>
          <w:lang w:val="en-US" w:eastAsia="zh-CN"/>
        </w:rPr>
        <w:t>二、</w:t>
      </w:r>
      <w:r>
        <w:rPr>
          <w:rFonts w:hint="eastAsia" w:ascii="宋体" w:hAnsi="宋体" w:eastAsia="宋体" w:cs="宋体"/>
          <w:color w:val="auto"/>
        </w:rPr>
        <w:t xml:space="preserve">项目用途说明：供临床患者使用 </w:t>
      </w:r>
    </w:p>
    <w:p>
      <w:pPr>
        <w:widowControl/>
        <w:adjustRightInd w:val="0"/>
        <w:snapToGrid w:val="0"/>
        <w:spacing w:line="360" w:lineRule="auto"/>
        <w:jc w:val="left"/>
        <w:rPr>
          <w:rFonts w:ascii="宋体" w:hAnsi="宋体"/>
          <w:sz w:val="28"/>
          <w:szCs w:val="28"/>
        </w:rPr>
      </w:pPr>
      <w:r>
        <w:rPr>
          <w:rFonts w:hint="eastAsia" w:ascii="宋体" w:hAnsi="宋体" w:cs="宋体"/>
          <w:color w:val="auto"/>
          <w:kern w:val="2"/>
          <w:sz w:val="21"/>
          <w:szCs w:val="24"/>
          <w:lang w:val="en-US" w:eastAsia="zh-CN" w:bidi="ar-SA"/>
        </w:rPr>
        <w:t>三、</w:t>
      </w:r>
      <w:r>
        <w:rPr>
          <w:rFonts w:hint="eastAsia" w:ascii="宋体" w:hAnsi="宋体" w:eastAsia="宋体" w:cs="宋体"/>
          <w:color w:val="auto"/>
          <w:kern w:val="2"/>
          <w:sz w:val="21"/>
          <w:szCs w:val="24"/>
          <w:lang w:val="en-US" w:eastAsia="zh-CN" w:bidi="ar-SA"/>
        </w:rPr>
        <w:t xml:space="preserve">配置规格、附件及零配件（包括专用工具）： </w:t>
      </w:r>
    </w:p>
    <w:tbl>
      <w:tblPr>
        <w:tblStyle w:val="33"/>
        <w:tblpPr w:leftFromText="180" w:rightFromText="180" w:vertAnchor="text" w:horzAnchor="page" w:tblpX="1500" w:tblpY="57"/>
        <w:tblOverlap w:val="never"/>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74"/>
        <w:gridCol w:w="1828"/>
        <w:gridCol w:w="1277"/>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9"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药品名称</w:t>
            </w:r>
          </w:p>
        </w:tc>
        <w:tc>
          <w:tcPr>
            <w:tcW w:w="1574"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剂型</w:t>
            </w:r>
          </w:p>
        </w:tc>
        <w:tc>
          <w:tcPr>
            <w:tcW w:w="1828"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规格型号</w:t>
            </w:r>
          </w:p>
        </w:tc>
        <w:tc>
          <w:tcPr>
            <w:tcW w:w="1277"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最小包装</w:t>
            </w:r>
          </w:p>
        </w:tc>
        <w:tc>
          <w:tcPr>
            <w:tcW w:w="2445"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拦标单价（元）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419"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碘[125I]密封籽源</w:t>
            </w:r>
          </w:p>
        </w:tc>
        <w:tc>
          <w:tcPr>
            <w:tcW w:w="1574"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放射性密封源</w:t>
            </w:r>
          </w:p>
        </w:tc>
        <w:tc>
          <w:tcPr>
            <w:tcW w:w="1828"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碘[125I]表观放射性活度为11.1～37MBq(0.3～1.0mCi)，长度4.50mm×外径0.60mm</w:t>
            </w:r>
          </w:p>
        </w:tc>
        <w:tc>
          <w:tcPr>
            <w:tcW w:w="1277"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粒</w:t>
            </w:r>
          </w:p>
        </w:tc>
        <w:tc>
          <w:tcPr>
            <w:tcW w:w="2445"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450元/粒</w:t>
            </w:r>
          </w:p>
        </w:tc>
      </w:tr>
    </w:tbl>
    <w:p>
      <w:pPr>
        <w:widowControl/>
        <w:adjustRightInd w:val="0"/>
        <w:snapToGrid w:val="0"/>
        <w:spacing w:line="360" w:lineRule="auto"/>
        <w:jc w:val="left"/>
        <w:rPr>
          <w:rFonts w:hint="eastAsia" w:ascii="宋体" w:hAnsi="宋体" w:eastAsia="宋体" w:cs="宋体"/>
          <w:lang w:val="en-US" w:eastAsia="zh-CN"/>
        </w:rPr>
      </w:pPr>
    </w:p>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四、详细技术要求、参数及产品资料等：</w:t>
      </w:r>
    </w:p>
    <w:p>
      <w:pPr>
        <w:widowControl/>
        <w:adjustRightInd w:val="0"/>
        <w:snapToGrid w:val="0"/>
        <w:spacing w:line="360" w:lineRule="auto"/>
        <w:ind w:firstLine="210" w:firstLineChars="100"/>
        <w:jc w:val="left"/>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lang w:val="en-US" w:eastAsia="zh-CN"/>
        </w:rPr>
        <w:t xml:space="preserve">碘[125I]密封籽源的规格型号为每粒含碘[125I]表观放射性活度为11.1～37MBq(0.3～1.0mCi)，长度4.50mm×外径0.60mm；碘[125I]密封籽源的尺寸均一，活度标差±5%以内；附带相关植入器具（植入器、粒子弹仓、推杆）等配件。外径0.6mm的碘[125I]密封籽源（选用20G植入针）相比外径0.8mm的碘[125I]密封籽源（选用18G植入针），在手术过程中出血少且对正常组织的损伤小、并发症低、患者恢复快；特别对于头颈部、腔道、重要组织累及的实体肿瘤的治疗具有明显优势。外径0.6mm的碘[125I]密封籽源是目前制备放射性粒子链的首选型号。  </w:t>
      </w:r>
      <w:r>
        <w:rPr>
          <w:rFonts w:hint="eastAsia" w:ascii="宋体" w:hAnsi="宋体" w:eastAsia="宋体" w:cs="宋体"/>
          <w:color w:val="auto"/>
          <w:kern w:val="2"/>
          <w:sz w:val="21"/>
          <w:szCs w:val="24"/>
          <w:lang w:val="en-US" w:eastAsia="zh-CN" w:bidi="ar-SA"/>
        </w:rPr>
        <w:t xml:space="preserve">                                                    </w:t>
      </w:r>
    </w:p>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五、售后服务条件及交货日期（或工期）：</w:t>
      </w:r>
    </w:p>
    <w:p>
      <w:pPr>
        <w:widowControl/>
        <w:adjustRightInd w:val="0"/>
        <w:snapToGrid w:val="0"/>
        <w:spacing w:line="360" w:lineRule="auto"/>
        <w:ind w:firstLine="211" w:firstLineChars="100"/>
        <w:jc w:val="left"/>
        <w:rPr>
          <w:rFonts w:hint="eastAsia" w:ascii="宋体" w:hAnsi="宋体" w:cs="宋体"/>
          <w:color w:val="auto"/>
          <w:szCs w:val="21"/>
          <w:highlight w:val="none"/>
          <w:lang w:val="en-US" w:eastAsia="zh-CN"/>
        </w:rPr>
      </w:pPr>
      <w:r>
        <w:rPr>
          <w:rFonts w:hint="eastAsia" w:ascii="宋体" w:hAnsi="宋体" w:eastAsia="宋体" w:cs="宋体"/>
          <w:b/>
          <w:bCs/>
          <w:color w:val="auto"/>
          <w:kern w:val="2"/>
          <w:sz w:val="21"/>
          <w:szCs w:val="24"/>
          <w:lang w:val="en-US" w:eastAsia="zh-CN" w:bidi="ar-SA"/>
        </w:rPr>
        <w:t>交货日期</w:t>
      </w:r>
      <w:r>
        <w:rPr>
          <w:rFonts w:hint="eastAsia" w:ascii="宋体" w:hAnsi="宋体" w:cs="宋体"/>
          <w:color w:val="auto"/>
          <w:szCs w:val="21"/>
          <w:highlight w:val="none"/>
          <w:lang w:val="en-US" w:eastAsia="zh-CN"/>
        </w:rPr>
        <w:t>： 根据医院的要求，派专人在48小时内（紧急需要的情况下可以4小时内）将医院需要的规格产品送到医院，提供相关的产品检验合格报告，销售清单和发票。配合医院药剂科和核医学科建立台账，做好入库登记。</w:t>
      </w:r>
    </w:p>
    <w:p>
      <w:pPr>
        <w:pStyle w:val="3"/>
        <w:ind w:firstLine="211" w:firstLineChars="100"/>
        <w:jc w:val="left"/>
        <w:rPr>
          <w:rFonts w:hint="eastAsia" w:ascii="宋体" w:hAnsi="宋体" w:eastAsia="宋体" w:cs="宋体"/>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售后服务</w:t>
      </w:r>
      <w:r>
        <w:rPr>
          <w:rFonts w:hint="eastAsia" w:ascii="宋体" w:hAnsi="宋体" w:eastAsia="宋体" w:cs="宋体"/>
          <w:color w:val="auto"/>
          <w:kern w:val="2"/>
          <w:sz w:val="21"/>
          <w:szCs w:val="24"/>
          <w:lang w:val="en-US" w:eastAsia="zh-CN" w:bidi="ar-SA"/>
        </w:rPr>
        <w:t>：免费为医院提供碘-125密封籽源治疗需要的植入枪、弹夹、装载台等手术需要的相关植入配套用手术器械。</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配合科室做好台账管理，及时处理库存籽源。</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配合医生做好碘-125密封籽源治疗病人的术前宣教工作，让病人了解放射性碘-125密封籽源治疗的原理，手术流程，术后需要注意的事项和防护工作。</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为病人提供专用的粒子治疗防护铅衣，确保医护人员和社会公众不会受到不必要的辐射。</w:t>
      </w:r>
    </w:p>
    <w:p>
      <w:pPr>
        <w:pStyle w:val="3"/>
        <w:jc w:val="left"/>
        <w:rPr>
          <w:rFonts w:ascii="宋体" w:hAnsi="宋体"/>
          <w:sz w:val="28"/>
          <w:szCs w:val="28"/>
          <w:u w:val="single"/>
        </w:rPr>
      </w:pPr>
      <w:r>
        <w:rPr>
          <w:rFonts w:hint="eastAsia" w:ascii="宋体" w:hAnsi="宋体" w:eastAsia="宋体" w:cs="宋体"/>
          <w:color w:val="auto"/>
          <w:kern w:val="2"/>
          <w:sz w:val="21"/>
          <w:szCs w:val="24"/>
          <w:lang w:val="en-US" w:eastAsia="zh-CN" w:bidi="ar-SA"/>
        </w:rPr>
        <w:t>定期回收放射性药物包装容器，协助医院处理废弃粒子。</w:t>
      </w:r>
    </w:p>
    <w:p>
      <w:pPr>
        <w:pStyle w:val="3"/>
        <w:numPr>
          <w:ilvl w:val="0"/>
          <w:numId w:val="0"/>
        </w:numPr>
        <w:spacing w:after="0"/>
        <w:ind w:left="36" w:leftChars="0"/>
        <w:jc w:val="left"/>
        <w:rPr>
          <w:rFonts w:hint="eastAsia" w:ascii="宋体" w:hAnsi="宋体" w:eastAsia="宋体" w:cs="宋体"/>
          <w:b/>
          <w:bCs/>
          <w:kern w:val="2"/>
          <w:sz w:val="21"/>
          <w:szCs w:val="24"/>
          <w:lang w:val="en-US" w:eastAsia="zh-CN" w:bidi="ar-SA"/>
        </w:rPr>
      </w:pPr>
      <w:r>
        <w:rPr>
          <w:rFonts w:hint="eastAsia" w:ascii="宋体" w:hAnsi="宋体"/>
          <w:b/>
          <w:bCs/>
        </w:rPr>
        <w:t>拟招一年供应商</w:t>
      </w:r>
      <w:r>
        <w:rPr>
          <w:rFonts w:hint="eastAsia" w:ascii="宋体" w:hAnsi="宋体" w:eastAsia="宋体" w:cs="宋体"/>
          <w:b/>
          <w:bCs/>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1"/>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6"/>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eastAsia="宋体"/>
                <w:color w:val="auto"/>
                <w:highlight w:val="none"/>
                <w:lang w:val="en-US" w:eastAsia="zh-CN"/>
              </w:rPr>
            </w:pPr>
            <w:r>
              <w:rPr>
                <w:rFonts w:hint="eastAsia"/>
                <w:color w:val="auto"/>
                <w:highlight w:val="none"/>
              </w:rPr>
              <w:t>1.1 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480000.00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480000.00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4.5 供应商是生产厂家的须具有《医疗器械生产许可证》；供应商是代理商的须具有《医疗器械经营许可证》或《医疗器械经营备案凭证》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2"/>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6"/>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1"/>
      </w:pPr>
    </w:p>
    <w:p>
      <w:pPr>
        <w:pStyle w:val="6"/>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5"/>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6"/>
        <w:rPr>
          <w:color w:val="auto"/>
          <w:highlight w:val="none"/>
        </w:rPr>
      </w:pPr>
    </w:p>
    <w:p>
      <w:pPr>
        <w:pStyle w:val="7"/>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5"/>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7"/>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7"/>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7"/>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7"/>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0420"/>
      <w:bookmarkStart w:id="79" w:name="_Toc2996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1"/>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1"/>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1"/>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1"/>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ascii="宋体" w:hAnsi="宋体" w:cs="宋体"/>
        <w:color w:val="auto"/>
        <w:szCs w:val="21"/>
        <w:highlight w:val="none"/>
        <w:u w:val="none"/>
        <w:shd w:val="clear" w:color="auto" w:fill="FFFFFF"/>
        <w:lang w:val="en-US" w:eastAsia="zh-CN"/>
      </w:rPr>
      <w:t>驻马店市中心医院碘[125I]密封籽源采购项</w:t>
    </w:r>
    <w:r>
      <w:rPr>
        <w:rFonts w:hint="eastAsia" w:ascii="宋体" w:hAnsi="宋体" w:eastAsia="宋体" w:cs="宋体"/>
        <w:color w:val="auto"/>
        <w:szCs w:val="21"/>
        <w:highlight w:val="none"/>
        <w:u w:val="none"/>
        <w:shd w:val="clear" w:color="auto" w:fill="FFFFFF"/>
      </w:rPr>
      <w:t>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rPr>
    </w:pPr>
    <w:r>
      <w:rPr>
        <w:rFonts w:hint="eastAsia"/>
      </w:rPr>
      <w:t xml:space="preserve">                             </w:t>
    </w:r>
    <w:r>
      <w:rPr>
        <w:rFonts w:hint="eastAsia" w:ascii="宋体" w:hAnsi="宋体" w:cs="宋体"/>
        <w:color w:val="auto"/>
        <w:szCs w:val="21"/>
        <w:highlight w:val="none"/>
        <w:u w:val="none"/>
        <w:shd w:val="clear" w:color="auto" w:fill="FFFFFF"/>
        <w:lang w:val="en-US" w:eastAsia="zh-CN"/>
      </w:rPr>
      <w:t>驻马店市中心医院碘[125I]密封籽源采购项</w:t>
    </w:r>
    <w:r>
      <w:rPr>
        <w:rFonts w:hint="eastAsia" w:ascii="宋体" w:hAnsi="宋体" w:eastAsia="宋体" w:cs="宋体"/>
        <w:color w:val="auto"/>
        <w:szCs w:val="21"/>
        <w:highlight w:val="none"/>
        <w:u w:val="none"/>
        <w:shd w:val="clear" w:color="auto" w:fill="FFFFFF"/>
      </w:rPr>
      <w:t>目</w:t>
    </w:r>
    <w:r>
      <w:rPr>
        <w:rFonts w:hint="eastAsia" w:ascii="宋体" w:hAnsi="宋体" w:cs="宋体"/>
        <w:color w:val="auto"/>
        <w:szCs w:val="21"/>
        <w:highlight w:val="none"/>
        <w:u w:val="none"/>
        <w:shd w:val="clear" w:color="auto" w:fill="FFFFFF"/>
        <w:lang w:eastAsia="zh-CN"/>
      </w:rPr>
      <w:t>（</w:t>
    </w:r>
    <w:r>
      <w:rPr>
        <w:rFonts w:hint="eastAsia" w:ascii="宋体" w:hAnsi="宋体" w:cs="宋体"/>
        <w:color w:val="auto"/>
        <w:szCs w:val="21"/>
        <w:highlight w:val="none"/>
        <w:u w:val="none"/>
        <w:shd w:val="clear" w:color="auto" w:fill="FFFFFF"/>
        <w:lang w:val="en-US" w:eastAsia="zh-CN"/>
      </w:rPr>
      <w:t>二次）采购</w:t>
    </w:r>
    <w:r>
      <w:rPr>
        <w:rFonts w:hint="eastAsia"/>
      </w:rPr>
      <w:t>文件</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4B68"/>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501911"/>
    <w:rsid w:val="0AD13A85"/>
    <w:rsid w:val="0B06148E"/>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917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A3A98"/>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C3CF6"/>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28758C"/>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9F03080"/>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075B70"/>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9A1CE6"/>
    <w:rsid w:val="4ABF5E17"/>
    <w:rsid w:val="4AE01A66"/>
    <w:rsid w:val="4AED707B"/>
    <w:rsid w:val="4B0B7979"/>
    <w:rsid w:val="4B520DF4"/>
    <w:rsid w:val="4B603107"/>
    <w:rsid w:val="4B9802B0"/>
    <w:rsid w:val="4B9E65BE"/>
    <w:rsid w:val="4B9F33A8"/>
    <w:rsid w:val="4BA80AFD"/>
    <w:rsid w:val="4BAB77D3"/>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A50EC8"/>
    <w:rsid w:val="56B80DEB"/>
    <w:rsid w:val="56E06E61"/>
    <w:rsid w:val="56F653FE"/>
    <w:rsid w:val="56FE6E1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14B5D"/>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084629"/>
    <w:rsid w:val="6340438B"/>
    <w:rsid w:val="6353238E"/>
    <w:rsid w:val="63612AB8"/>
    <w:rsid w:val="637D0978"/>
    <w:rsid w:val="638968B0"/>
    <w:rsid w:val="638A282C"/>
    <w:rsid w:val="63A85E90"/>
    <w:rsid w:val="63A962DB"/>
    <w:rsid w:val="63AB1A91"/>
    <w:rsid w:val="63EE4692"/>
    <w:rsid w:val="63EF51A3"/>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532FF2"/>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7B2CE8"/>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unhideWhenUsed/>
    <w:qFormat/>
    <w:uiPriority w:val="99"/>
    <w:pPr>
      <w:snapToGrid w:val="0"/>
    </w:pPr>
    <w:rPr>
      <w:rFonts w:ascii="Arial" w:hAnsi="Arial"/>
    </w:rPr>
  </w:style>
  <w:style w:type="paragraph" w:customStyle="1" w:styleId="5">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0">
    <w:name w:val="List Number"/>
    <w:basedOn w:val="1"/>
    <w:qFormat/>
    <w:uiPriority w:val="0"/>
    <w:pPr>
      <w:widowControl/>
      <w:spacing w:beforeAutospacing="1" w:afterAutospacing="1"/>
      <w:jc w:val="left"/>
    </w:pPr>
    <w:rPr>
      <w:rFonts w:ascii="宋体" w:hAnsi="宋体" w:cs="宋体"/>
      <w:kern w:val="0"/>
      <w:sz w:val="24"/>
    </w:rPr>
  </w:style>
  <w:style w:type="paragraph" w:styleId="11">
    <w:name w:val="Normal Indent"/>
    <w:basedOn w:val="1"/>
    <w:qFormat/>
    <w:uiPriority w:val="0"/>
    <w:pPr>
      <w:widowControl/>
      <w:spacing w:beforeAutospacing="1" w:afterAutospacing="1"/>
      <w:jc w:val="left"/>
    </w:pPr>
    <w:rPr>
      <w:rFonts w:ascii="宋体" w:hAnsi="宋体" w:cs="宋体"/>
      <w:kern w:val="0"/>
      <w:sz w:val="24"/>
    </w:rPr>
  </w:style>
  <w:style w:type="paragraph" w:styleId="12">
    <w:name w:val="Document Map"/>
    <w:basedOn w:val="1"/>
    <w:link w:val="74"/>
    <w:qFormat/>
    <w:uiPriority w:val="0"/>
    <w:rPr>
      <w:rFonts w:ascii="宋体" w:hAnsi="Calibri"/>
      <w:sz w:val="18"/>
      <w:szCs w:val="18"/>
    </w:rPr>
  </w:style>
  <w:style w:type="paragraph" w:styleId="13">
    <w:name w:val="annotation text"/>
    <w:basedOn w:val="1"/>
    <w:qFormat/>
    <w:uiPriority w:val="0"/>
    <w:pPr>
      <w:jc w:val="left"/>
    </w:pPr>
  </w:style>
  <w:style w:type="paragraph" w:styleId="14">
    <w:name w:val="Body Text 3"/>
    <w:basedOn w:val="1"/>
    <w:qFormat/>
    <w:uiPriority w:val="0"/>
    <w:rPr>
      <w:sz w:val="16"/>
      <w:szCs w:val="16"/>
    </w:rPr>
  </w:style>
  <w:style w:type="paragraph" w:styleId="15">
    <w:name w:val="Body Text"/>
    <w:basedOn w:val="1"/>
    <w:next w:val="16"/>
    <w:link w:val="72"/>
    <w:qFormat/>
    <w:uiPriority w:val="0"/>
  </w:style>
  <w:style w:type="paragraph" w:styleId="16">
    <w:name w:val="Body Text 2"/>
    <w:basedOn w:val="1"/>
    <w:next w:val="15"/>
    <w:qFormat/>
    <w:uiPriority w:val="0"/>
    <w:pPr>
      <w:spacing w:line="480" w:lineRule="auto"/>
    </w:pPr>
  </w:style>
  <w:style w:type="paragraph" w:styleId="17">
    <w:name w:val="List 2"/>
    <w:basedOn w:val="1"/>
    <w:qFormat/>
    <w:uiPriority w:val="0"/>
    <w:pPr>
      <w:ind w:left="100" w:leftChars="200" w:hanging="200" w:hangingChars="200"/>
    </w:pPr>
  </w:style>
  <w:style w:type="paragraph" w:styleId="18">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qFormat/>
    <w:uiPriority w:val="0"/>
    <w:pPr>
      <w:tabs>
        <w:tab w:val="left" w:pos="709"/>
        <w:tab w:val="right" w:leader="dot" w:pos="8789"/>
      </w:tabs>
      <w:spacing w:line="400" w:lineRule="atLeast"/>
    </w:pPr>
    <w:rPr>
      <w:rFonts w:ascii="宋体"/>
      <w:kern w:val="0"/>
      <w:szCs w:val="20"/>
    </w:rPr>
  </w:style>
  <w:style w:type="paragraph" w:styleId="20">
    <w:name w:val="Plain Text"/>
    <w:basedOn w:val="1"/>
    <w:qFormat/>
    <w:uiPriority w:val="0"/>
    <w:pPr>
      <w:widowControl/>
      <w:spacing w:beforeAutospacing="1" w:afterAutospacing="1"/>
      <w:jc w:val="left"/>
    </w:pPr>
    <w:rPr>
      <w:rFonts w:ascii="宋体" w:hAnsi="宋体" w:cs="宋体"/>
      <w:kern w:val="0"/>
      <w:sz w:val="24"/>
    </w:rPr>
  </w:style>
  <w:style w:type="paragraph" w:styleId="21">
    <w:name w:val="Date"/>
    <w:basedOn w:val="1"/>
    <w:next w:val="1"/>
    <w:qFormat/>
    <w:uiPriority w:val="0"/>
    <w:pPr>
      <w:ind w:left="100" w:leftChars="2500"/>
    </w:pPr>
    <w:rPr>
      <w:rFonts w:ascii="宋体" w:hAnsi="宋体"/>
      <w:sz w:val="28"/>
    </w:rPr>
  </w:style>
  <w:style w:type="paragraph" w:styleId="22">
    <w:name w:val="Body Text Indent 2"/>
    <w:basedOn w:val="1"/>
    <w:qFormat/>
    <w:uiPriority w:val="0"/>
    <w:pPr>
      <w:spacing w:line="480" w:lineRule="auto"/>
      <w:ind w:left="420" w:leftChars="200"/>
    </w:p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List"/>
    <w:basedOn w:val="1"/>
    <w:qFormat/>
    <w:uiPriority w:val="0"/>
    <w:pPr>
      <w:ind w:left="200" w:hanging="200" w:hangingChars="200"/>
    </w:pPr>
  </w:style>
  <w:style w:type="paragraph" w:styleId="27">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Title"/>
    <w:basedOn w:val="1"/>
    <w:qFormat/>
    <w:uiPriority w:val="0"/>
    <w:pPr>
      <w:jc w:val="center"/>
      <w:outlineLvl w:val="0"/>
    </w:pPr>
    <w:rPr>
      <w:rFonts w:ascii="Arial" w:hAnsi="Arial" w:cs="Arial"/>
      <w:b/>
      <w:bCs/>
      <w:sz w:val="32"/>
      <w:szCs w:val="32"/>
    </w:rPr>
  </w:style>
  <w:style w:type="paragraph" w:styleId="31">
    <w:name w:val="Body Text First Indent"/>
    <w:basedOn w:val="15"/>
    <w:next w:val="1"/>
    <w:qFormat/>
    <w:uiPriority w:val="0"/>
    <w:pPr>
      <w:spacing w:line="360" w:lineRule="auto"/>
      <w:ind w:firstLine="420" w:firstLineChars="100"/>
    </w:pPr>
    <w:rPr>
      <w:szCs w:val="21"/>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2"/>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5"/>
    <w:qFormat/>
    <w:uiPriority w:val="0"/>
  </w:style>
  <w:style w:type="character" w:customStyle="1" w:styleId="73">
    <w:name w:val="apple-converted-space"/>
    <w:basedOn w:val="34"/>
    <w:qFormat/>
    <w:uiPriority w:val="0"/>
  </w:style>
  <w:style w:type="character" w:customStyle="1" w:styleId="74">
    <w:name w:val="文档结构图 Char"/>
    <w:link w:val="12"/>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5"/>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15255</Words>
  <Characters>16080</Characters>
  <Lines>50</Lines>
  <Paragraphs>68</Paragraphs>
  <TotalTime>14</TotalTime>
  <ScaleCrop>false</ScaleCrop>
  <LinksUpToDate>false</LinksUpToDate>
  <CharactersWithSpaces>17019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2022-03-28T02:03:23Z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