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751E1E">
      <w:pPr>
        <w:pStyle w:val="22"/>
        <w:widowControl w:val="0"/>
        <w:spacing w:before="156" w:beforeLines="50"/>
        <w:jc w:val="center"/>
        <w:rPr>
          <w:rFonts w:hint="eastAsia"/>
          <w:b/>
          <w:bCs/>
          <w:sz w:val="48"/>
          <w:szCs w:val="48"/>
        </w:rPr>
      </w:pPr>
      <w:bookmarkStart w:id="0" w:name="_Toc22953395"/>
      <w:bookmarkEnd w:id="0"/>
      <w:bookmarkStart w:id="1" w:name="_Toc22804073"/>
      <w:bookmarkEnd w:id="1"/>
    </w:p>
    <w:p w14:paraId="75113C7D">
      <w:pPr>
        <w:pStyle w:val="22"/>
        <w:widowControl w:val="0"/>
        <w:spacing w:before="156" w:beforeLines="50"/>
        <w:jc w:val="center"/>
        <w:rPr>
          <w:rFonts w:hint="eastAsia"/>
          <w:b/>
          <w:bCs/>
          <w:sz w:val="44"/>
          <w:szCs w:val="44"/>
        </w:rPr>
      </w:pPr>
      <w:r>
        <w:rPr>
          <w:rFonts w:hint="eastAsia"/>
          <w:b/>
          <w:bCs/>
          <w:sz w:val="44"/>
          <w:szCs w:val="44"/>
        </w:rPr>
        <w:t>驻马店市中心医院</w:t>
      </w:r>
      <w:bookmarkStart w:id="2" w:name="OLE_LINK3"/>
      <w:bookmarkStart w:id="3" w:name="OLE_LINK2"/>
      <w:r>
        <w:rPr>
          <w:rFonts w:hint="eastAsia"/>
          <w:b/>
          <w:bCs/>
          <w:sz w:val="44"/>
          <w:szCs w:val="44"/>
        </w:rPr>
        <w:t>DSA环评服务</w:t>
      </w:r>
      <w:bookmarkEnd w:id="2"/>
      <w:r>
        <w:rPr>
          <w:rFonts w:hint="eastAsia"/>
          <w:b/>
          <w:bCs/>
          <w:sz w:val="44"/>
          <w:szCs w:val="44"/>
        </w:rPr>
        <w:t>项目</w:t>
      </w:r>
      <w:bookmarkEnd w:id="3"/>
    </w:p>
    <w:p w14:paraId="314A6E37">
      <w:pPr>
        <w:pStyle w:val="22"/>
        <w:jc w:val="center"/>
        <w:rPr>
          <w:rStyle w:val="46"/>
          <w:rFonts w:hint="eastAsia"/>
          <w:b/>
          <w:bCs/>
          <w:color w:val="auto"/>
          <w:sz w:val="48"/>
          <w:szCs w:val="48"/>
        </w:rPr>
      </w:pPr>
    </w:p>
    <w:p w14:paraId="0F72EF8D">
      <w:pPr>
        <w:pStyle w:val="22"/>
        <w:jc w:val="center"/>
        <w:rPr>
          <w:rStyle w:val="46"/>
          <w:rFonts w:hint="eastAsia"/>
          <w:b/>
          <w:bCs/>
          <w:color w:val="auto"/>
          <w:sz w:val="48"/>
          <w:szCs w:val="48"/>
        </w:rPr>
      </w:pPr>
    </w:p>
    <w:p w14:paraId="475CB735">
      <w:pPr>
        <w:pStyle w:val="22"/>
        <w:jc w:val="center"/>
        <w:rPr>
          <w:rStyle w:val="46"/>
          <w:rFonts w:hint="eastAsia"/>
          <w:b/>
          <w:bCs/>
          <w:color w:val="auto"/>
          <w:sz w:val="48"/>
          <w:szCs w:val="48"/>
        </w:rPr>
      </w:pPr>
    </w:p>
    <w:p w14:paraId="4AED54EE">
      <w:pPr>
        <w:pStyle w:val="22"/>
        <w:jc w:val="center"/>
        <w:rPr>
          <w:rStyle w:val="46"/>
          <w:rFonts w:hint="eastAsia"/>
          <w:b/>
          <w:bCs/>
          <w:color w:val="auto"/>
          <w:sz w:val="48"/>
          <w:szCs w:val="48"/>
        </w:rPr>
      </w:pPr>
    </w:p>
    <w:p w14:paraId="0DDFFECA">
      <w:pPr>
        <w:pStyle w:val="22"/>
        <w:jc w:val="center"/>
        <w:rPr>
          <w:rStyle w:val="46"/>
          <w:rFonts w:hint="eastAsia"/>
          <w:b/>
          <w:bCs/>
          <w:color w:val="auto"/>
          <w:szCs w:val="44"/>
        </w:rPr>
      </w:pPr>
      <w:r>
        <w:rPr>
          <w:rStyle w:val="46"/>
          <w:rFonts w:hint="eastAsia"/>
          <w:b/>
          <w:bCs/>
          <w:color w:val="auto"/>
          <w:sz w:val="72"/>
          <w:szCs w:val="72"/>
        </w:rPr>
        <w:t>采购文件</w:t>
      </w:r>
    </w:p>
    <w:p w14:paraId="653E3411">
      <w:pPr>
        <w:tabs>
          <w:tab w:val="left" w:pos="2700"/>
          <w:tab w:val="left" w:pos="2880"/>
          <w:tab w:val="left" w:pos="3060"/>
          <w:tab w:val="left" w:pos="7560"/>
        </w:tabs>
        <w:snapToGrid w:val="0"/>
        <w:spacing w:line="360" w:lineRule="auto"/>
        <w:ind w:firstLine="1928" w:firstLineChars="600"/>
        <w:rPr>
          <w:rFonts w:hint="eastAsia" w:ascii="宋体" w:hAnsi="宋体" w:cs="宋体"/>
          <w:b/>
          <w:bCs/>
          <w:spacing w:val="-10"/>
          <w:sz w:val="34"/>
          <w:szCs w:val="34"/>
        </w:rPr>
      </w:pPr>
    </w:p>
    <w:p w14:paraId="1E606238">
      <w:pPr>
        <w:snapToGrid w:val="0"/>
        <w:spacing w:line="380" w:lineRule="exact"/>
        <w:jc w:val="center"/>
        <w:rPr>
          <w:rFonts w:hint="eastAsia" w:ascii="宋体" w:hAnsi="宋体" w:cs="宋体"/>
          <w:b/>
          <w:sz w:val="32"/>
          <w:szCs w:val="32"/>
        </w:rPr>
      </w:pPr>
    </w:p>
    <w:p w14:paraId="72A4C35A">
      <w:pPr>
        <w:pStyle w:val="7"/>
        <w:ind w:firstLine="210"/>
        <w:rPr>
          <w:rFonts w:hint="eastAsia" w:ascii="宋体" w:hAnsi="宋体" w:cs="宋体"/>
        </w:rPr>
      </w:pPr>
    </w:p>
    <w:p w14:paraId="35E738B3">
      <w:pPr>
        <w:pStyle w:val="63"/>
        <w:rPr>
          <w:rFonts w:hint="eastAsia" w:ascii="宋体" w:hAnsi="宋体" w:cs="宋体"/>
          <w:bCs/>
          <w:sz w:val="2"/>
          <w:szCs w:val="2"/>
        </w:rPr>
      </w:pPr>
    </w:p>
    <w:p w14:paraId="0276FF2D">
      <w:pPr>
        <w:rPr>
          <w:rFonts w:hint="eastAsia" w:ascii="宋体" w:hAnsi="宋体" w:cs="宋体"/>
          <w:bCs/>
          <w:sz w:val="2"/>
          <w:szCs w:val="2"/>
        </w:rPr>
      </w:pPr>
    </w:p>
    <w:p w14:paraId="2A281427">
      <w:pPr>
        <w:spacing w:line="20" w:lineRule="exact"/>
        <w:rPr>
          <w:rFonts w:hint="eastAsia" w:ascii="宋体" w:hAnsi="宋体" w:cs="宋体"/>
          <w:bCs/>
          <w:sz w:val="2"/>
          <w:szCs w:val="2"/>
        </w:rPr>
      </w:pPr>
    </w:p>
    <w:p w14:paraId="5E99D57D">
      <w:pPr>
        <w:tabs>
          <w:tab w:val="left" w:pos="2700"/>
          <w:tab w:val="left" w:pos="2880"/>
          <w:tab w:val="left" w:pos="3060"/>
          <w:tab w:val="left" w:pos="7560"/>
        </w:tabs>
        <w:snapToGrid w:val="0"/>
        <w:spacing w:line="480" w:lineRule="auto"/>
        <w:rPr>
          <w:rFonts w:hint="eastAsia" w:ascii="宋体" w:hAnsi="宋体" w:cs="宋体"/>
          <w:b/>
          <w:bCs/>
          <w:spacing w:val="-10"/>
          <w:sz w:val="34"/>
          <w:szCs w:val="34"/>
        </w:rPr>
      </w:pPr>
    </w:p>
    <w:p w14:paraId="4EA00B87">
      <w:pPr>
        <w:tabs>
          <w:tab w:val="left" w:pos="2700"/>
          <w:tab w:val="left" w:pos="2880"/>
          <w:tab w:val="left" w:pos="3060"/>
          <w:tab w:val="left" w:pos="7560"/>
        </w:tabs>
        <w:snapToGrid w:val="0"/>
        <w:spacing w:line="480" w:lineRule="auto"/>
        <w:jc w:val="center"/>
        <w:rPr>
          <w:rFonts w:hint="eastAsia" w:ascii="宋体" w:hAnsi="宋体" w:cs="宋体"/>
          <w:b/>
          <w:bCs/>
          <w:spacing w:val="-10"/>
          <w:sz w:val="34"/>
          <w:szCs w:val="34"/>
        </w:rPr>
      </w:pPr>
    </w:p>
    <w:p w14:paraId="6CE72231">
      <w:pPr>
        <w:tabs>
          <w:tab w:val="left" w:pos="2700"/>
          <w:tab w:val="left" w:pos="2880"/>
          <w:tab w:val="left" w:pos="3060"/>
          <w:tab w:val="left" w:pos="7560"/>
        </w:tabs>
        <w:snapToGrid w:val="0"/>
        <w:spacing w:line="480" w:lineRule="auto"/>
        <w:ind w:firstLine="2047" w:firstLineChars="600"/>
        <w:rPr>
          <w:rFonts w:hint="eastAsia" w:ascii="宋体" w:hAnsi="宋体" w:cs="宋体"/>
          <w:b/>
          <w:bCs/>
          <w:spacing w:val="20"/>
          <w:kern w:val="0"/>
          <w:sz w:val="30"/>
          <w:szCs w:val="30"/>
        </w:rPr>
      </w:pPr>
      <w:r>
        <w:rPr>
          <w:rFonts w:hint="eastAsia" w:ascii="宋体" w:hAnsi="宋体" w:cs="宋体"/>
          <w:b/>
          <w:bCs/>
          <w:spacing w:val="20"/>
          <w:kern w:val="0"/>
          <w:sz w:val="30"/>
          <w:szCs w:val="30"/>
        </w:rPr>
        <w:t>采 购 人：驻马店市中心医院</w:t>
      </w:r>
    </w:p>
    <w:p w14:paraId="7A179E12">
      <w:pPr>
        <w:wordWrap w:val="0"/>
        <w:spacing w:line="700" w:lineRule="exact"/>
        <w:ind w:firstLine="2047" w:firstLineChars="600"/>
        <w:jc w:val="left"/>
        <w:rPr>
          <w:rFonts w:hint="eastAsia" w:ascii="宋体" w:hAnsi="宋体" w:cs="宋体"/>
          <w:b/>
          <w:bCs/>
          <w:spacing w:val="20"/>
          <w:kern w:val="0"/>
          <w:sz w:val="30"/>
          <w:szCs w:val="30"/>
        </w:rPr>
      </w:pPr>
      <w:r>
        <w:rPr>
          <w:rFonts w:hint="eastAsia" w:ascii="宋体" w:hAnsi="宋体" w:cs="宋体"/>
          <w:b/>
          <w:bCs/>
          <w:spacing w:val="20"/>
          <w:kern w:val="0"/>
          <w:sz w:val="30"/>
          <w:szCs w:val="30"/>
        </w:rPr>
        <w:t>采购代理机构：中基建安工程管理有限公司</w:t>
      </w:r>
    </w:p>
    <w:p w14:paraId="77180482">
      <w:pPr>
        <w:pStyle w:val="24"/>
      </w:pPr>
    </w:p>
    <w:p w14:paraId="6F71E5B0">
      <w:pPr>
        <w:tabs>
          <w:tab w:val="left" w:pos="2505"/>
          <w:tab w:val="center" w:pos="4535"/>
        </w:tabs>
        <w:snapToGrid w:val="0"/>
        <w:spacing w:line="480" w:lineRule="auto"/>
        <w:jc w:val="center"/>
        <w:rPr>
          <w:rFonts w:hint="eastAsia" w:ascii="宋体" w:hAnsi="宋体" w:cs="宋体"/>
          <w:b/>
          <w:sz w:val="36"/>
          <w:szCs w:val="36"/>
        </w:rPr>
        <w:sectPr>
          <w:pgSz w:w="11923" w:h="16838"/>
          <w:pgMar w:top="1304" w:right="1417" w:bottom="992" w:left="1417" w:header="720" w:footer="720" w:gutter="0"/>
          <w:pgNumType w:start="1"/>
          <w:cols w:space="720" w:num="1"/>
          <w:docGrid w:type="lines" w:linePitch="312" w:charSpace="0"/>
        </w:sectPr>
      </w:pPr>
      <w:r>
        <w:rPr>
          <w:rFonts w:hint="eastAsia" w:ascii="宋体" w:hAnsi="宋体" w:cs="宋体"/>
          <w:b/>
          <w:bCs/>
          <w:spacing w:val="40"/>
          <w:sz w:val="34"/>
          <w:szCs w:val="34"/>
        </w:rPr>
        <w:t>2025年07月</w:t>
      </w:r>
    </w:p>
    <w:p w14:paraId="7F857184">
      <w:pPr>
        <w:rPr>
          <w:rFonts w:hint="eastAsia" w:ascii="宋体" w:hAnsi="宋体" w:cs="宋体"/>
          <w:bCs/>
          <w:sz w:val="24"/>
        </w:rPr>
      </w:pPr>
    </w:p>
    <w:p w14:paraId="3D60DA67">
      <w:pPr>
        <w:jc w:val="center"/>
        <w:rPr>
          <w:rFonts w:hint="eastAsia" w:ascii="宋体" w:hAnsi="宋体" w:cs="宋体"/>
          <w:b/>
          <w:bCs/>
          <w:sz w:val="36"/>
          <w:szCs w:val="36"/>
        </w:rPr>
      </w:pPr>
      <w:r>
        <w:rPr>
          <w:rFonts w:hint="eastAsia" w:ascii="宋体" w:hAnsi="宋体" w:cs="宋体"/>
          <w:b/>
          <w:bCs/>
          <w:sz w:val="36"/>
          <w:szCs w:val="36"/>
        </w:rPr>
        <w:t>目录</w:t>
      </w:r>
    </w:p>
    <w:p w14:paraId="47A7683A">
      <w:pPr>
        <w:pStyle w:val="57"/>
        <w:rPr>
          <w:rFonts w:hint="eastAsia"/>
          <w:color w:val="auto"/>
        </w:rPr>
      </w:pPr>
    </w:p>
    <w:p w14:paraId="7C56457E">
      <w:pPr>
        <w:pStyle w:val="28"/>
        <w:tabs>
          <w:tab w:val="right" w:leader="dot" w:pos="8958"/>
        </w:tabs>
        <w:spacing w:line="500" w:lineRule="exact"/>
        <w:rPr>
          <w:rFonts w:hint="eastAsia" w:ascii="宋体" w:hAnsi="宋体" w:cs="宋体"/>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"_Toc26528" </w:instrText>
      </w:r>
      <w:r>
        <w:fldChar w:fldCharType="separate"/>
      </w:r>
      <w:r>
        <w:rPr>
          <w:rFonts w:hint="eastAsia" w:ascii="宋体" w:hAnsi="宋体" w:cs="宋体"/>
          <w:szCs w:val="32"/>
        </w:rPr>
        <w:t>第一章  竞争性磋商采购公告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_Toc26528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14:paraId="14B4FD78">
      <w:pPr>
        <w:pStyle w:val="28"/>
        <w:tabs>
          <w:tab w:val="right" w:leader="dot" w:pos="8958"/>
        </w:tabs>
        <w:spacing w:line="500" w:lineRule="exact"/>
        <w:rPr>
          <w:rFonts w:hint="eastAsia" w:ascii="宋体" w:hAnsi="宋体" w:cs="宋体"/>
        </w:rPr>
      </w:pPr>
      <w:r>
        <w:fldChar w:fldCharType="begin"/>
      </w:r>
      <w:r>
        <w:instrText xml:space="preserve"> HYPERLINK \l "_Toc19124" </w:instrText>
      </w:r>
      <w:r>
        <w:fldChar w:fldCharType="separate"/>
      </w:r>
      <w:r>
        <w:rPr>
          <w:rFonts w:hint="eastAsia" w:ascii="宋体" w:hAnsi="宋体" w:cs="宋体"/>
          <w:szCs w:val="32"/>
        </w:rPr>
        <w:t>第二章  采购需求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_Toc19124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14:paraId="7E6CA075">
      <w:pPr>
        <w:pStyle w:val="28"/>
        <w:tabs>
          <w:tab w:val="right" w:leader="dot" w:pos="8958"/>
        </w:tabs>
        <w:spacing w:line="500" w:lineRule="exact"/>
        <w:rPr>
          <w:rFonts w:hint="eastAsia" w:ascii="宋体" w:hAnsi="宋体" w:cs="宋体"/>
        </w:rPr>
      </w:pPr>
      <w:r>
        <w:fldChar w:fldCharType="begin"/>
      </w:r>
      <w:r>
        <w:instrText xml:space="preserve"> HYPERLINK \l "_Toc8501" </w:instrText>
      </w:r>
      <w:r>
        <w:fldChar w:fldCharType="separate"/>
      </w:r>
      <w:r>
        <w:rPr>
          <w:rFonts w:hint="eastAsia" w:ascii="宋体" w:hAnsi="宋体" w:cs="宋体"/>
          <w:bCs/>
          <w:szCs w:val="32"/>
        </w:rPr>
        <w:t>第三章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_Toc8501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14:paraId="2854ADBA">
      <w:pPr>
        <w:pStyle w:val="28"/>
        <w:tabs>
          <w:tab w:val="right" w:leader="dot" w:pos="8958"/>
        </w:tabs>
        <w:spacing w:line="500" w:lineRule="exact"/>
        <w:rPr>
          <w:rFonts w:hint="eastAsia" w:ascii="宋体" w:hAnsi="宋体" w:cs="宋体"/>
        </w:rPr>
      </w:pPr>
      <w:r>
        <w:fldChar w:fldCharType="begin"/>
      </w:r>
      <w:r>
        <w:instrText xml:space="preserve"> HYPERLINK \l "_Toc31399" </w:instrText>
      </w:r>
      <w:r>
        <w:fldChar w:fldCharType="separate"/>
      </w:r>
      <w:r>
        <w:rPr>
          <w:rFonts w:hint="eastAsia" w:ascii="宋体" w:hAnsi="宋体" w:cs="宋体"/>
          <w:bCs/>
          <w:kern w:val="0"/>
          <w:szCs w:val="32"/>
        </w:rPr>
        <w:t>第四章  评标办法及评分标准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_Toc31399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14:paraId="539990E9">
      <w:pPr>
        <w:pStyle w:val="28"/>
        <w:tabs>
          <w:tab w:val="right" w:leader="dot" w:pos="8958"/>
        </w:tabs>
        <w:spacing w:line="500" w:lineRule="exact"/>
        <w:rPr>
          <w:rFonts w:hint="eastAsia" w:ascii="宋体" w:hAnsi="宋体" w:cs="宋体"/>
        </w:rPr>
      </w:pPr>
      <w:r>
        <w:fldChar w:fldCharType="begin"/>
      </w:r>
      <w:r>
        <w:instrText xml:space="preserve"> HYPERLINK \l "_Toc11904" </w:instrText>
      </w:r>
      <w:r>
        <w:fldChar w:fldCharType="separate"/>
      </w:r>
      <w:r>
        <w:rPr>
          <w:rFonts w:hint="eastAsia" w:ascii="宋体" w:hAnsi="宋体" w:cs="宋体"/>
          <w:szCs w:val="28"/>
        </w:rPr>
        <w:t>第五章  采购合同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_Toc11904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45591A67">
      <w:pPr>
        <w:pStyle w:val="28"/>
        <w:tabs>
          <w:tab w:val="right" w:leader="dot" w:pos="8958"/>
        </w:tabs>
        <w:spacing w:line="500" w:lineRule="exact"/>
      </w:pPr>
      <w:r>
        <w:fldChar w:fldCharType="begin"/>
      </w:r>
      <w:r>
        <w:instrText xml:space="preserve"> HYPERLINK \l "_Toc18702" </w:instrText>
      </w:r>
      <w:r>
        <w:fldChar w:fldCharType="separate"/>
      </w:r>
      <w:r>
        <w:rPr>
          <w:rFonts w:hint="eastAsia" w:ascii="宋体" w:hAnsi="宋体" w:cs="宋体"/>
          <w:szCs w:val="32"/>
        </w:rPr>
        <w:t>第六章  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_Toc18702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14:paraId="0656C081">
      <w:pPr>
        <w:pStyle w:val="87"/>
        <w:tabs>
          <w:tab w:val="right" w:leader="dot" w:pos="8300"/>
        </w:tabs>
        <w:snapToGrid w:val="0"/>
        <w:spacing w:line="360" w:lineRule="auto"/>
        <w:rPr>
          <w:rFonts w:hint="eastAsia" w:ascii="宋体" w:hAnsi="宋体" w:cs="宋体"/>
          <w:sz w:val="32"/>
          <w:szCs w:val="32"/>
        </w:rPr>
      </w:pPr>
      <w:r>
        <w:rPr>
          <w:rFonts w:hint="eastAsia" w:ascii="宋体" w:hAnsi="宋体" w:cs="宋体"/>
          <w:bCs/>
          <w:szCs w:val="32"/>
        </w:rPr>
        <w:fldChar w:fldCharType="end"/>
      </w:r>
    </w:p>
    <w:p w14:paraId="4923DB98">
      <w:pPr>
        <w:spacing w:line="440" w:lineRule="exact"/>
        <w:rPr>
          <w:rFonts w:hint="eastAsia" w:ascii="宋体" w:hAnsi="宋体" w:cs="宋体"/>
          <w:b/>
          <w:sz w:val="32"/>
          <w:szCs w:val="32"/>
        </w:rPr>
      </w:pPr>
    </w:p>
    <w:p w14:paraId="7FAC4209">
      <w:pPr>
        <w:spacing w:line="360" w:lineRule="auto"/>
        <w:ind w:firstLine="2409" w:firstLineChars="600"/>
        <w:rPr>
          <w:rFonts w:hint="eastAsia" w:ascii="宋体" w:hAnsi="宋体" w:cs="宋体"/>
          <w:b/>
          <w:sz w:val="40"/>
          <w:szCs w:val="40"/>
        </w:rPr>
        <w:sectPr>
          <w:headerReference r:id="rId3" w:type="default"/>
          <w:footerReference r:id="rId4" w:type="default"/>
          <w:pgSz w:w="11906" w:h="16838"/>
          <w:pgMar w:top="1417" w:right="1474" w:bottom="1417" w:left="1474" w:header="851" w:footer="624" w:gutter="0"/>
          <w:pgNumType w:start="1"/>
          <w:cols w:space="720" w:num="1"/>
          <w:docGrid w:type="lines" w:linePitch="319" w:charSpace="0"/>
        </w:sectPr>
      </w:pPr>
    </w:p>
    <w:p w14:paraId="0E6E6216">
      <w:pPr>
        <w:spacing w:line="360" w:lineRule="auto"/>
        <w:jc w:val="center"/>
        <w:outlineLvl w:val="0"/>
        <w:rPr>
          <w:rFonts w:hint="eastAsia" w:ascii="宋体" w:hAnsi="宋体" w:cs="宋体"/>
          <w:b/>
          <w:sz w:val="32"/>
          <w:szCs w:val="32"/>
        </w:rPr>
      </w:pPr>
      <w:bookmarkStart w:id="4" w:name="_Toc26528"/>
      <w:r>
        <w:rPr>
          <w:rFonts w:hint="eastAsia" w:ascii="宋体" w:hAnsi="宋体" w:cs="宋体"/>
          <w:b/>
          <w:sz w:val="32"/>
          <w:szCs w:val="32"/>
        </w:rPr>
        <w:t>第一章  竞争性磋商采购公告</w:t>
      </w:r>
      <w:bookmarkEnd w:id="4"/>
    </w:p>
    <w:p w14:paraId="4203D44C">
      <w:pPr>
        <w:widowControl/>
        <w:adjustRightInd w:val="0"/>
        <w:snapToGrid w:val="0"/>
        <w:spacing w:line="324" w:lineRule="auto"/>
        <w:jc w:val="center"/>
        <w:rPr>
          <w:rFonts w:hint="eastAsia" w:ascii="宋体" w:hAnsi="宋体" w:cs="宋体"/>
          <w:b/>
          <w:kern w:val="0"/>
          <w:sz w:val="28"/>
          <w:szCs w:val="28"/>
        </w:rPr>
      </w:pPr>
      <w:bookmarkStart w:id="5" w:name="_Hlk203163569"/>
      <w:r>
        <w:rPr>
          <w:rFonts w:hint="eastAsia" w:ascii="宋体" w:hAnsi="宋体" w:cs="宋体"/>
          <w:b/>
          <w:kern w:val="0"/>
          <w:sz w:val="28"/>
          <w:szCs w:val="28"/>
        </w:rPr>
        <w:t>驻马店市中心医院DSA环评服务项目</w:t>
      </w:r>
      <w:bookmarkEnd w:id="5"/>
      <w:r>
        <w:rPr>
          <w:rFonts w:hint="eastAsia" w:ascii="宋体" w:hAnsi="宋体" w:cs="宋体"/>
          <w:b/>
          <w:kern w:val="0"/>
          <w:sz w:val="28"/>
          <w:szCs w:val="28"/>
        </w:rPr>
        <w:t>竞争性磋商公告</w:t>
      </w:r>
    </w:p>
    <w:p w14:paraId="27F45049">
      <w:pPr>
        <w:snapToGrid w:val="0"/>
        <w:spacing w:line="324" w:lineRule="auto"/>
        <w:ind w:firstLine="420" w:firstLineChars="200"/>
        <w:rPr>
          <w:rFonts w:hint="eastAsia" w:ascii="宋体" w:hAnsi="宋体" w:cs="宋体"/>
          <w:szCs w:val="21"/>
        </w:rPr>
      </w:pPr>
      <w:r>
        <w:rPr>
          <w:rFonts w:hint="eastAsia" w:ascii="宋体" w:hAnsi="宋体" w:cs="宋体"/>
        </w:rPr>
        <w:t>驻马店市中心医院现对</w:t>
      </w:r>
      <w:r>
        <w:rPr>
          <w:rFonts w:hint="eastAsia" w:ascii="宋体" w:hAnsi="宋体" w:cs="宋体"/>
          <w:u w:val="single"/>
        </w:rPr>
        <w:t>DSA环评服务项目</w:t>
      </w:r>
      <w:r>
        <w:rPr>
          <w:rFonts w:hint="eastAsia" w:ascii="宋体" w:hAnsi="宋体" w:cs="宋体"/>
        </w:rPr>
        <w:t>进行院内竞争性磋商采购，欢迎符合资格条件的供应商前来报名并</w:t>
      </w:r>
      <w:r>
        <w:rPr>
          <w:rFonts w:hint="eastAsia" w:ascii="宋体" w:hAnsi="宋体" w:cs="宋体"/>
          <w:szCs w:val="21"/>
        </w:rPr>
        <w:t>获取采购文件。</w:t>
      </w:r>
    </w:p>
    <w:p w14:paraId="62B8D0D7">
      <w:pPr>
        <w:widowControl/>
        <w:snapToGrid w:val="0"/>
        <w:spacing w:line="324" w:lineRule="auto"/>
        <w:jc w:val="left"/>
        <w:outlineLvl w:val="1"/>
        <w:rPr>
          <w:rFonts w:hint="eastAsia" w:ascii="宋体" w:hAnsi="宋体" w:cs="宋体"/>
          <w:b/>
          <w:bCs/>
          <w:szCs w:val="21"/>
          <w:shd w:val="clear" w:color="auto" w:fill="FFFFFF"/>
        </w:rPr>
      </w:pPr>
      <w:r>
        <w:rPr>
          <w:rFonts w:hint="eastAsia" w:ascii="宋体" w:hAnsi="宋体" w:cs="宋体"/>
          <w:b/>
          <w:bCs/>
          <w:szCs w:val="21"/>
          <w:shd w:val="clear" w:color="auto" w:fill="FFFFFF"/>
        </w:rPr>
        <w:t>一、项目基本情况</w:t>
      </w:r>
    </w:p>
    <w:p w14:paraId="6730BD84">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1、采购项目名称：驻马店市中心医院DSA环评服务项目；</w:t>
      </w:r>
    </w:p>
    <w:p w14:paraId="53E362FE">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2、采购需求：具体要求采购文件第二章。</w:t>
      </w:r>
    </w:p>
    <w:p w14:paraId="555995A5">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bookmarkStart w:id="6" w:name="_Toc26725"/>
      <w:r>
        <w:rPr>
          <w:rFonts w:hint="eastAsia" w:ascii="宋体" w:hAnsi="宋体" w:cs="宋体"/>
          <w:szCs w:val="21"/>
          <w:highlight w:val="none"/>
          <w:shd w:val="clear" w:color="auto" w:fill="FFFFFF"/>
        </w:rPr>
        <w:t>、预算金额：6万元</w:t>
      </w:r>
    </w:p>
    <w:p w14:paraId="68CEBFF1">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highlight w:val="none"/>
          <w:shd w:val="clear" w:color="auto" w:fill="FFFFFF"/>
        </w:rPr>
        <w:t>4、服务</w:t>
      </w:r>
      <w:r>
        <w:rPr>
          <w:rFonts w:hint="eastAsia" w:ascii="宋体" w:hAnsi="宋体" w:cs="宋体"/>
          <w:szCs w:val="21"/>
          <w:highlight w:val="none"/>
          <w:shd w:val="clear" w:color="auto" w:fill="FFFFFF"/>
          <w:lang w:val="en-US" w:eastAsia="zh-CN"/>
        </w:rPr>
        <w:t>期限</w:t>
      </w:r>
      <w:r>
        <w:rPr>
          <w:rFonts w:hint="eastAsia" w:ascii="宋体" w:hAnsi="宋体" w:cs="宋体"/>
          <w:szCs w:val="21"/>
          <w:highlight w:val="none"/>
          <w:shd w:val="clear" w:color="auto" w:fill="FFFFFF"/>
        </w:rPr>
        <w:t>：</w:t>
      </w:r>
      <w:r>
        <w:rPr>
          <w:rFonts w:hint="eastAsia" w:ascii="宋体" w:hAnsi="宋体" w:cs="宋体"/>
          <w:szCs w:val="21"/>
          <w:shd w:val="clear" w:color="auto" w:fill="FFFFFF"/>
        </w:rPr>
        <w:t>签订合同后在要求期限内出具报告。</w:t>
      </w:r>
    </w:p>
    <w:p w14:paraId="5EA67B0F">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5、质量要求：符合国家有关法律法规及行业标准要求。</w:t>
      </w:r>
    </w:p>
    <w:p w14:paraId="33CBC79D">
      <w:pPr>
        <w:widowControl/>
        <w:snapToGrid w:val="0"/>
        <w:spacing w:line="324" w:lineRule="auto"/>
        <w:jc w:val="left"/>
        <w:outlineLvl w:val="1"/>
        <w:rPr>
          <w:rFonts w:hint="eastAsia" w:ascii="宋体" w:hAnsi="宋体" w:cs="宋体"/>
          <w:b/>
          <w:bCs/>
          <w:color w:val="000000" w:themeColor="text1"/>
          <w:szCs w:val="21"/>
          <w:shd w:val="clear" w:color="auto" w:fill="FFFFFF"/>
          <w14:textFill>
            <w14:solidFill>
              <w14:schemeClr w14:val="tx1"/>
            </w14:solidFill>
          </w14:textFill>
        </w:rPr>
      </w:pPr>
      <w:bookmarkStart w:id="7" w:name="_Toc18607"/>
      <w:bookmarkStart w:id="8" w:name="_Toc27704"/>
      <w:bookmarkStart w:id="9" w:name="_Toc16639"/>
      <w:bookmarkStart w:id="10" w:name="_Toc23626"/>
      <w:r>
        <w:rPr>
          <w:rFonts w:hint="eastAsia" w:ascii="宋体" w:hAnsi="宋体" w:cs="宋体"/>
          <w:b/>
          <w:bCs/>
          <w:color w:val="000000" w:themeColor="text1"/>
          <w:szCs w:val="21"/>
          <w:shd w:val="clear" w:color="auto" w:fill="FFFFFF"/>
          <w14:textFill>
            <w14:solidFill>
              <w14:schemeClr w14:val="tx1"/>
            </w14:solidFill>
          </w14:textFill>
        </w:rPr>
        <w:t>二、</w:t>
      </w:r>
      <w:bookmarkEnd w:id="6"/>
      <w:bookmarkEnd w:id="7"/>
      <w:bookmarkEnd w:id="8"/>
      <w:bookmarkEnd w:id="9"/>
      <w:bookmarkEnd w:id="10"/>
      <w:r>
        <w:rPr>
          <w:rFonts w:hint="eastAsia" w:ascii="宋体" w:hAnsi="宋体" w:cs="宋体"/>
          <w:b/>
          <w:bCs/>
          <w:color w:val="000000" w:themeColor="text1"/>
          <w:szCs w:val="21"/>
          <w:shd w:val="clear" w:color="auto" w:fill="FFFFFF"/>
          <w14:textFill>
            <w14:solidFill>
              <w14:schemeClr w14:val="tx1"/>
            </w14:solidFill>
          </w14:textFill>
        </w:rPr>
        <w:t>供应商资格要求：</w:t>
      </w:r>
    </w:p>
    <w:p w14:paraId="5C4DDA81">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bookmarkStart w:id="11" w:name="OLE_LINK4"/>
      <w:bookmarkStart w:id="12" w:name="_Toc30971"/>
      <w:bookmarkStart w:id="13" w:name="_Toc9562"/>
      <w:bookmarkStart w:id="14" w:name="_Toc30643"/>
      <w:bookmarkStart w:id="15" w:name="_Toc23395"/>
      <w:bookmarkStart w:id="16" w:name="_Toc7823"/>
      <w:r>
        <w:rPr>
          <w:rFonts w:hint="eastAsia" w:ascii="宋体" w:hAnsi="宋体" w:cs="宋体"/>
          <w:szCs w:val="21"/>
          <w:shd w:val="clear" w:color="auto" w:fill="FFFFFF"/>
        </w:rPr>
        <w:t>1.满足《中华人民共和国政府采购法》第二十二条规定；</w:t>
      </w:r>
    </w:p>
    <w:p w14:paraId="31C45B3C">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1.1具有独立承担民事责任的能力（提供营业执照或其他证明材料）；</w:t>
      </w:r>
    </w:p>
    <w:p w14:paraId="54ECD481">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1.2具有良好的商业信誉和健全的财务会计制度（供应商应提供2023年或2024年度经审计的财务报告或者其基本开户银行出具的资信证明）；</w:t>
      </w:r>
    </w:p>
    <w:p w14:paraId="1CA12C30">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1.3具有履行合同所必需的设备和专业技术能力（提供书面承诺函）；</w:t>
      </w:r>
    </w:p>
    <w:p w14:paraId="7C20AB5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rPr>
      </w:pPr>
      <w:r>
        <w:rPr>
          <w:rFonts w:hint="eastAsia" w:ascii="宋体" w:hAnsi="宋体" w:cs="宋体"/>
          <w:color w:val="auto"/>
          <w:szCs w:val="21"/>
          <w:highlight w:val="none"/>
          <w:shd w:val="clear" w:color="auto" w:fill="FFFFFF"/>
          <w:lang w:val="en-US" w:eastAsia="zh-CN"/>
        </w:rPr>
        <w:t>1.</w:t>
      </w: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E28E050">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1.</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有依法缴纳税收和社会保障资金的良好记录（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szCs w:val="21"/>
          <w:shd w:val="clear" w:color="auto" w:fill="FFFFFF"/>
        </w:rPr>
        <w:t>1.</w:t>
      </w:r>
      <w:r>
        <w:rPr>
          <w:rFonts w:hint="eastAsia" w:ascii="宋体" w:hAnsi="宋体" w:cs="宋体"/>
          <w:szCs w:val="21"/>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“信用中国”网站</w:t>
      </w:r>
      <w:r>
        <w:rPr>
          <w:rFonts w:hint="eastAsia" w:ascii="宋体" w:hAnsi="宋体" w:cs="宋体"/>
          <w:color w:val="auto"/>
          <w:szCs w:val="21"/>
          <w:highlight w:val="none"/>
          <w:shd w:val="clear" w:color="auto" w:fill="FFFFFF"/>
          <w:lang w:val="en-US" w:eastAsia="zh-CN"/>
        </w:rPr>
        <w:t>中查询的相关材料并加盖公章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r>
        <w:rPr>
          <w:rFonts w:hint="eastAsia" w:ascii="宋体" w:hAnsi="宋体" w:cs="宋体"/>
          <w:color w:val="auto"/>
          <w:szCs w:val="21"/>
          <w:highlight w:val="none"/>
          <w:shd w:val="clear" w:color="auto" w:fill="FFFFFF"/>
          <w:lang w:val="en-US" w:eastAsia="zh-CN"/>
        </w:rPr>
        <w:t>。</w:t>
      </w:r>
    </w:p>
    <w:p w14:paraId="2BF82CB8">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lang w:val="en-US" w:eastAsia="zh-CN"/>
        </w:rPr>
        <w:t>2</w:t>
      </w:r>
      <w:r>
        <w:rPr>
          <w:rFonts w:hint="eastAsia" w:ascii="宋体" w:hAnsi="宋体" w:cs="宋体"/>
          <w:szCs w:val="21"/>
          <w:shd w:val="clear" w:color="auto" w:fill="FFFFFF"/>
        </w:rPr>
        <w:t>.单位负责人为同一人或者存在直接控股、管理关系的不同供应商，不得参加同一合同项下的政府采购活动</w:t>
      </w:r>
      <w:r>
        <w:rPr>
          <w:rFonts w:hint="eastAsia" w:ascii="宋体" w:hAnsi="宋体" w:cs="宋体"/>
          <w:szCs w:val="21"/>
          <w:shd w:val="clear" w:color="auto" w:fill="FFFFFF"/>
          <w:lang w:eastAsia="zh-CN"/>
        </w:rPr>
        <w:t>（</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w:t>
      </w:r>
      <w:r>
        <w:rPr>
          <w:rFonts w:hint="eastAsia" w:ascii="宋体" w:hAnsi="宋体" w:cs="宋体"/>
          <w:color w:val="000000" w:themeColor="text1"/>
          <w:kern w:val="0"/>
          <w:szCs w:val="21"/>
          <w:lang w:val="en-US" w:eastAsia="zh-CN"/>
          <w14:textFill>
            <w14:solidFill>
              <w14:schemeClr w14:val="tx1"/>
            </w14:solidFill>
          </w14:textFill>
        </w:rPr>
        <w:t>并加盖公章</w:t>
      </w:r>
      <w:r>
        <w:rPr>
          <w:rFonts w:hint="eastAsia" w:ascii="宋体" w:hAnsi="宋体" w:eastAsia="宋体" w:cs="宋体"/>
          <w:color w:val="000000" w:themeColor="text1"/>
          <w:kern w:val="0"/>
          <w:szCs w:val="21"/>
          <w:lang w:val="en-US" w:eastAsia="zh-CN"/>
          <w14:textFill>
            <w14:solidFill>
              <w14:schemeClr w14:val="tx1"/>
            </w14:solidFill>
          </w14:textFill>
        </w:rPr>
        <w:t>（需包含公司基本信息、股东信息及股权变更信息）或提供承诺</w:t>
      </w:r>
      <w:r>
        <w:rPr>
          <w:rFonts w:hint="eastAsia" w:ascii="宋体" w:hAnsi="宋体" w:cs="宋体"/>
          <w:color w:val="000000" w:themeColor="text1"/>
          <w:kern w:val="0"/>
          <w:szCs w:val="21"/>
          <w:lang w:val="en-US" w:eastAsia="zh-CN"/>
          <w14:textFill>
            <w14:solidFill>
              <w14:schemeClr w14:val="tx1"/>
            </w14:solidFill>
          </w14:textFill>
        </w:rPr>
        <w:t>函</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w:t>
      </w:r>
    </w:p>
    <w:p w14:paraId="6AD84E88">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lang w:val="en-US" w:eastAsia="zh-CN"/>
        </w:rPr>
        <w:t>3</w:t>
      </w:r>
      <w:r>
        <w:rPr>
          <w:rFonts w:hint="eastAsia" w:ascii="宋体" w:hAnsi="宋体" w:cs="宋体"/>
          <w:szCs w:val="21"/>
          <w:shd w:val="clear" w:color="auto" w:fill="FFFFFF"/>
        </w:rPr>
        <w:t>.其他特定资格要求：在环境影响评价信用平台备案，具备核与辐射影响评价资质；具有有效期内的CMA认证,并提供加盖公章的能力附表，并通过验证认监委官网查询。</w:t>
      </w:r>
    </w:p>
    <w:p w14:paraId="5088DAAD">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不接受联合体磋商。</w:t>
      </w:r>
    </w:p>
    <w:bookmarkEnd w:id="11"/>
    <w:p w14:paraId="2D39FB16">
      <w:pPr>
        <w:widowControl/>
        <w:snapToGrid w:val="0"/>
        <w:spacing w:line="324" w:lineRule="auto"/>
        <w:jc w:val="left"/>
        <w:outlineLvl w:val="1"/>
        <w:rPr>
          <w:rFonts w:hint="eastAsia" w:ascii="宋体" w:hAnsi="宋体" w:cs="宋体"/>
          <w:b/>
          <w:bCs/>
        </w:rPr>
      </w:pPr>
      <w:r>
        <w:rPr>
          <w:rFonts w:hint="eastAsia" w:ascii="宋体" w:hAnsi="宋体" w:cs="宋体"/>
          <w:b/>
          <w:bCs/>
        </w:rPr>
        <w:t>三、获取采购文件</w:t>
      </w:r>
      <w:bookmarkEnd w:id="12"/>
      <w:bookmarkEnd w:id="13"/>
      <w:bookmarkEnd w:id="14"/>
      <w:bookmarkEnd w:id="15"/>
      <w:bookmarkEnd w:id="16"/>
    </w:p>
    <w:p w14:paraId="24624579">
      <w:pPr>
        <w:widowControl/>
        <w:adjustRightInd w:val="0"/>
        <w:snapToGrid w:val="0"/>
        <w:spacing w:line="324" w:lineRule="auto"/>
        <w:ind w:firstLine="420" w:firstLineChars="200"/>
        <w:jc w:val="left"/>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szCs w:val="21"/>
          <w:shd w:val="clear" w:color="auto" w:fill="FFFFFF"/>
        </w:rPr>
        <w:t xml:space="preserve">1. </w:t>
      </w:r>
      <w:r>
        <w:rPr>
          <w:rFonts w:hint="eastAsia" w:ascii="宋体" w:hAnsi="宋体" w:cs="宋体"/>
          <w:color w:val="000000" w:themeColor="text1"/>
          <w:szCs w:val="21"/>
          <w:shd w:val="clear" w:color="auto" w:fill="FFFFFF"/>
          <w14:textFill>
            <w14:solidFill>
              <w14:schemeClr w14:val="tx1"/>
            </w14:solidFill>
          </w14:textFill>
        </w:rPr>
        <w:t>报名时间：</w:t>
      </w:r>
      <w:r>
        <w:rPr>
          <w:rFonts w:hint="eastAsia" w:ascii="宋体" w:hAnsi="宋体" w:cs="宋体"/>
          <w:color w:val="EE0000"/>
          <w:szCs w:val="21"/>
          <w:shd w:val="clear" w:color="auto" w:fill="FFFFFF"/>
        </w:rPr>
        <w:t>2025年07月</w:t>
      </w:r>
      <w:r>
        <w:rPr>
          <w:rFonts w:hint="eastAsia" w:ascii="宋体" w:hAnsi="宋体" w:cs="宋体"/>
          <w:color w:val="EE0000"/>
          <w:szCs w:val="21"/>
          <w:shd w:val="clear" w:color="auto" w:fill="FFFFFF"/>
          <w:lang w:val="en-US" w:eastAsia="zh-CN"/>
        </w:rPr>
        <w:t>22</w:t>
      </w:r>
      <w:r>
        <w:rPr>
          <w:rFonts w:hint="eastAsia" w:ascii="宋体" w:hAnsi="宋体" w:cs="宋体"/>
          <w:color w:val="EE0000"/>
          <w:szCs w:val="21"/>
          <w:shd w:val="clear" w:color="auto" w:fill="FFFFFF"/>
        </w:rPr>
        <w:t>日</w:t>
      </w:r>
      <w:r>
        <w:rPr>
          <w:rFonts w:hint="eastAsia" w:ascii="宋体" w:hAnsi="宋体" w:cs="宋体"/>
          <w:color w:val="000000" w:themeColor="text1"/>
          <w:szCs w:val="21"/>
          <w:shd w:val="clear" w:color="auto" w:fill="FFFFFF"/>
          <w14:textFill>
            <w14:solidFill>
              <w14:schemeClr w14:val="tx1"/>
            </w14:solidFill>
          </w14:textFill>
        </w:rPr>
        <w:t>-</w:t>
      </w:r>
      <w:r>
        <w:rPr>
          <w:rFonts w:hint="eastAsia" w:ascii="宋体" w:hAnsi="宋体" w:cs="宋体"/>
          <w:color w:val="EE0000"/>
          <w:szCs w:val="21"/>
          <w:shd w:val="clear" w:color="auto" w:fill="FFFFFF"/>
        </w:rPr>
        <w:t>2025年07月</w:t>
      </w:r>
      <w:r>
        <w:rPr>
          <w:rFonts w:hint="eastAsia" w:ascii="宋体" w:hAnsi="宋体" w:cs="宋体"/>
          <w:color w:val="EE0000"/>
          <w:szCs w:val="21"/>
          <w:shd w:val="clear" w:color="auto" w:fill="FFFFFF"/>
          <w:lang w:val="en-US" w:eastAsia="zh-CN"/>
        </w:rPr>
        <w:t>24</w:t>
      </w:r>
      <w:r>
        <w:rPr>
          <w:rFonts w:hint="eastAsia" w:ascii="宋体" w:hAnsi="宋体" w:cs="宋体"/>
          <w:color w:val="EE0000"/>
          <w:szCs w:val="21"/>
          <w:shd w:val="clear" w:color="auto" w:fill="FFFFFF"/>
        </w:rPr>
        <w:t>日</w:t>
      </w:r>
      <w:r>
        <w:rPr>
          <w:rFonts w:hint="eastAsia" w:ascii="宋体" w:hAnsi="宋体" w:cs="宋体"/>
          <w:color w:val="000000" w:themeColor="text1"/>
          <w:szCs w:val="21"/>
          <w:shd w:val="clear" w:color="auto" w:fill="FFFFFF"/>
          <w14:textFill>
            <w14:solidFill>
              <w14:schemeClr w14:val="tx1"/>
            </w14:solidFill>
          </w14:textFill>
        </w:rPr>
        <w:t>，上午08：30-11:30，下午14:30-17:30（北京时间，法定节假日除外）。</w:t>
      </w:r>
    </w:p>
    <w:p w14:paraId="690FFB8F">
      <w:pPr>
        <w:widowControl/>
        <w:snapToGrid w:val="0"/>
        <w:spacing w:line="324" w:lineRule="auto"/>
        <w:ind w:firstLine="420" w:firstLineChars="200"/>
        <w:jc w:val="left"/>
        <w:rPr>
          <w:rFonts w:hint="eastAsia" w:ascii="宋体" w:hAnsi="宋体" w:cs="宋体"/>
          <w:kern w:val="0"/>
          <w:szCs w:val="21"/>
        </w:rPr>
      </w:pPr>
      <w:r>
        <w:rPr>
          <w:rFonts w:hint="eastAsia" w:ascii="宋体" w:hAnsi="宋体" w:cs="宋体"/>
          <w:color w:val="000000" w:themeColor="text1"/>
          <w:kern w:val="0"/>
          <w:szCs w:val="21"/>
          <w:shd w:val="clear" w:color="auto" w:fill="FFFFFF"/>
          <w14:textFill>
            <w14:solidFill>
              <w14:schemeClr w14:val="tx1"/>
            </w14:solidFill>
          </w14:textFill>
        </w:rPr>
        <w:t>2. 凡报名成功的供应商无故不来参与投标的，列入我院黑名</w:t>
      </w:r>
      <w:r>
        <w:rPr>
          <w:rFonts w:hint="eastAsia" w:ascii="宋体" w:hAnsi="宋体" w:cs="宋体"/>
          <w:kern w:val="0"/>
          <w:szCs w:val="21"/>
          <w:shd w:val="clear" w:color="auto" w:fill="FFFFFF"/>
        </w:rPr>
        <w:t xml:space="preserve">单，一年内不得参与我院任何采购活动。成交供应商缴纳相应服务费。 </w:t>
      </w:r>
    </w:p>
    <w:p w14:paraId="25329D87">
      <w:pPr>
        <w:widowControl/>
        <w:wordWrap w:val="0"/>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3. 采购文件获取方式：供应商须把填写完整的报名登记表及本磋商公告第二项供应商资格要求中需提供加盖单位公章的相关资料扫描件按序排版为PDF格式文件，发送至以下邮箱：</w:t>
      </w:r>
      <w:r>
        <w:rPr>
          <w:rFonts w:hint="eastAsia"/>
        </w:rPr>
        <w:fldChar w:fldCharType="begin"/>
      </w:r>
      <w:r>
        <w:instrText xml:space="preserve"> HYPERLINK "mailto:hnwxzb2@163.com并标明XX" </w:instrText>
      </w:r>
      <w:r>
        <w:rPr>
          <w:rFonts w:hint="eastAsia"/>
        </w:rPr>
        <w:fldChar w:fldCharType="separate"/>
      </w:r>
      <w:r>
        <w:rPr>
          <w:rFonts w:hint="eastAsia" w:ascii="宋体" w:hAnsi="宋体" w:cs="宋体"/>
          <w:color w:val="EE0000"/>
          <w:kern w:val="0"/>
          <w:szCs w:val="21"/>
          <w:shd w:val="clear" w:color="auto" w:fill="FFFFFF"/>
        </w:rPr>
        <w:t>1132414313@qq.com</w:t>
      </w:r>
      <w:r>
        <w:rPr>
          <w:rFonts w:hint="eastAsia" w:ascii="宋体" w:hAnsi="宋体" w:cs="宋体"/>
          <w:kern w:val="0"/>
          <w:szCs w:val="21"/>
          <w:shd w:val="clear" w:color="auto" w:fill="FFFFFF"/>
        </w:rPr>
        <w:t>,并标明XX公司XX</w:t>
      </w:r>
      <w:r>
        <w:rPr>
          <w:rFonts w:hint="eastAsia" w:ascii="宋体" w:hAnsi="宋体" w:cs="宋体"/>
          <w:kern w:val="0"/>
          <w:szCs w:val="21"/>
          <w:shd w:val="clear" w:color="auto" w:fill="FFFFFF"/>
        </w:rPr>
        <w:fldChar w:fldCharType="end"/>
      </w:r>
      <w:r>
        <w:rPr>
          <w:rFonts w:hint="eastAsia" w:ascii="宋体" w:hAnsi="宋体" w:cs="宋体"/>
          <w:kern w:val="0"/>
          <w:szCs w:val="21"/>
          <w:shd w:val="clear" w:color="auto" w:fill="FFFFFF"/>
        </w:rPr>
        <w:t>项目报名资料。</w:t>
      </w:r>
    </w:p>
    <w:p w14:paraId="21D21232">
      <w:pPr>
        <w:widowControl/>
        <w:wordWrap w:val="0"/>
        <w:snapToGrid w:val="0"/>
        <w:spacing w:line="324" w:lineRule="auto"/>
        <w:ind w:left="420" w:leftChars="200"/>
        <w:jc w:val="left"/>
        <w:rPr>
          <w:rFonts w:hint="eastAsia" w:ascii="宋体" w:hAnsi="宋体" w:cs="宋体"/>
          <w:kern w:val="0"/>
          <w:szCs w:val="21"/>
        </w:rPr>
      </w:pPr>
      <w:r>
        <w:rPr>
          <w:rFonts w:hint="eastAsia" w:ascii="宋体" w:hAnsi="宋体" w:cs="宋体"/>
          <w:kern w:val="0"/>
          <w:szCs w:val="21"/>
          <w:shd w:val="clear" w:color="auto" w:fill="FFFFFF"/>
        </w:rPr>
        <w:t>4. 报名登记表：请从附件中下载。</w:t>
      </w:r>
    </w:p>
    <w:p w14:paraId="1310CCF4">
      <w:pPr>
        <w:widowControl/>
        <w:snapToGrid w:val="0"/>
        <w:spacing w:line="324" w:lineRule="auto"/>
        <w:jc w:val="left"/>
        <w:outlineLvl w:val="1"/>
        <w:rPr>
          <w:rFonts w:hint="eastAsia" w:ascii="宋体" w:hAnsi="宋体" w:cs="宋体"/>
          <w:b/>
          <w:bCs/>
          <w:szCs w:val="21"/>
        </w:rPr>
      </w:pPr>
      <w:bookmarkStart w:id="17" w:name="_Toc27480"/>
      <w:bookmarkStart w:id="18" w:name="_Toc15135"/>
      <w:bookmarkStart w:id="19" w:name="_Toc10738"/>
      <w:bookmarkStart w:id="20" w:name="_Toc25869"/>
      <w:bookmarkStart w:id="21" w:name="_Toc15111"/>
      <w:r>
        <w:rPr>
          <w:rFonts w:hint="eastAsia" w:ascii="宋体" w:hAnsi="宋体" w:cs="宋体"/>
          <w:b/>
          <w:bCs/>
          <w:szCs w:val="21"/>
          <w:shd w:val="clear" w:color="auto" w:fill="FFFFFF"/>
        </w:rPr>
        <w:t>四、磋商截止时间及地点</w:t>
      </w:r>
      <w:bookmarkEnd w:id="17"/>
      <w:bookmarkEnd w:id="18"/>
      <w:bookmarkEnd w:id="19"/>
      <w:bookmarkEnd w:id="20"/>
      <w:bookmarkEnd w:id="21"/>
    </w:p>
    <w:p w14:paraId="06935661">
      <w:pPr>
        <w:widowControl/>
        <w:snapToGrid w:val="0"/>
        <w:spacing w:line="324" w:lineRule="auto"/>
        <w:ind w:firstLine="420" w:firstLineChars="200"/>
        <w:jc w:val="left"/>
        <w:rPr>
          <w:rFonts w:hint="eastAsia" w:ascii="宋体" w:hAnsi="宋体" w:cs="宋体"/>
          <w:color w:val="EE0000"/>
          <w:kern w:val="0"/>
          <w:szCs w:val="21"/>
        </w:rPr>
      </w:pPr>
      <w:r>
        <w:rPr>
          <w:rFonts w:hint="eastAsia" w:ascii="宋体" w:hAnsi="宋体" w:cs="宋体"/>
          <w:kern w:val="0"/>
          <w:szCs w:val="21"/>
          <w:shd w:val="clear" w:color="auto" w:fill="FFFFFF"/>
        </w:rPr>
        <w:t xml:space="preserve">1. </w:t>
      </w:r>
      <w:r>
        <w:rPr>
          <w:rFonts w:hint="eastAsia" w:ascii="宋体" w:hAnsi="宋体" w:cs="宋体"/>
          <w:color w:val="EE0000"/>
          <w:kern w:val="0"/>
          <w:szCs w:val="21"/>
          <w:shd w:val="clear" w:color="auto" w:fill="FFFFFF"/>
        </w:rPr>
        <w:t>时间：</w:t>
      </w:r>
      <w:r>
        <w:rPr>
          <w:rFonts w:hint="eastAsia" w:ascii="宋体" w:hAnsi="宋体" w:cs="宋体"/>
          <w:color w:val="EE0000"/>
          <w:szCs w:val="21"/>
        </w:rPr>
        <w:t>另行通知</w:t>
      </w:r>
      <w:r>
        <w:rPr>
          <w:rFonts w:hint="eastAsia" w:ascii="宋体" w:hAnsi="宋体" w:cs="宋体"/>
          <w:color w:val="EE0000"/>
          <w:kern w:val="0"/>
          <w:szCs w:val="21"/>
          <w:shd w:val="clear" w:color="auto" w:fill="FFFFFF"/>
        </w:rPr>
        <w:t>。</w:t>
      </w:r>
    </w:p>
    <w:p w14:paraId="5D658162">
      <w:pPr>
        <w:widowControl/>
        <w:snapToGrid w:val="0"/>
        <w:spacing w:line="324" w:lineRule="auto"/>
        <w:ind w:firstLine="420" w:firstLineChars="200"/>
        <w:jc w:val="left"/>
        <w:rPr>
          <w:rFonts w:hint="eastAsia" w:ascii="宋体" w:hAnsi="宋体" w:cs="宋体"/>
          <w:color w:val="EE0000"/>
          <w:kern w:val="0"/>
          <w:szCs w:val="21"/>
          <w:shd w:val="clear" w:color="auto" w:fill="FFFFFF"/>
        </w:rPr>
      </w:pPr>
      <w:r>
        <w:rPr>
          <w:rFonts w:hint="eastAsia" w:ascii="宋体" w:hAnsi="宋体" w:cs="宋体"/>
          <w:color w:val="EE0000"/>
          <w:kern w:val="0"/>
          <w:szCs w:val="21"/>
          <w:shd w:val="clear" w:color="auto" w:fill="FFFFFF"/>
        </w:rPr>
        <w:t>2. 地点：</w:t>
      </w:r>
      <w:r>
        <w:rPr>
          <w:rFonts w:hint="eastAsia" w:ascii="宋体" w:hAnsi="宋体" w:cs="宋体"/>
          <w:color w:val="EE0000"/>
          <w:szCs w:val="21"/>
        </w:rPr>
        <w:t>另行通知</w:t>
      </w:r>
      <w:r>
        <w:rPr>
          <w:rFonts w:hint="eastAsia" w:ascii="宋体" w:hAnsi="宋体" w:cs="宋体"/>
          <w:color w:val="EE0000"/>
          <w:kern w:val="0"/>
          <w:szCs w:val="21"/>
          <w:shd w:val="clear" w:color="auto" w:fill="FFFFFF"/>
        </w:rPr>
        <w:t>。</w:t>
      </w:r>
    </w:p>
    <w:p w14:paraId="1A2164A5">
      <w:pPr>
        <w:widowControl/>
        <w:snapToGrid w:val="0"/>
        <w:spacing w:line="324" w:lineRule="auto"/>
        <w:jc w:val="left"/>
        <w:outlineLvl w:val="1"/>
        <w:rPr>
          <w:rFonts w:hint="eastAsia" w:ascii="宋体" w:hAnsi="宋体" w:cs="宋体"/>
          <w:b/>
          <w:bCs/>
          <w:szCs w:val="21"/>
        </w:rPr>
      </w:pPr>
      <w:r>
        <w:rPr>
          <w:rFonts w:hint="eastAsia" w:ascii="宋体" w:hAnsi="宋体" w:cs="宋体"/>
          <w:b/>
          <w:bCs/>
          <w:szCs w:val="21"/>
          <w:shd w:val="clear" w:color="auto" w:fill="FFFFFF"/>
        </w:rPr>
        <w:t>五、磋商时间及地点</w:t>
      </w:r>
    </w:p>
    <w:p w14:paraId="0E1ED1D4">
      <w:pPr>
        <w:widowControl/>
        <w:snapToGrid w:val="0"/>
        <w:spacing w:line="324" w:lineRule="auto"/>
        <w:ind w:firstLine="420" w:firstLineChars="200"/>
        <w:jc w:val="left"/>
        <w:rPr>
          <w:rFonts w:hint="eastAsia" w:ascii="宋体" w:hAnsi="宋体" w:cs="宋体"/>
          <w:color w:val="EE0000"/>
          <w:kern w:val="0"/>
          <w:szCs w:val="21"/>
        </w:rPr>
      </w:pPr>
      <w:r>
        <w:rPr>
          <w:rFonts w:hint="eastAsia" w:ascii="宋体" w:hAnsi="宋体" w:cs="宋体"/>
          <w:kern w:val="0"/>
          <w:szCs w:val="21"/>
          <w:shd w:val="clear" w:color="auto" w:fill="FFFFFF"/>
        </w:rPr>
        <w:t xml:space="preserve">1. </w:t>
      </w:r>
      <w:r>
        <w:rPr>
          <w:rFonts w:hint="eastAsia" w:ascii="宋体" w:hAnsi="宋体" w:cs="宋体"/>
          <w:color w:val="EE0000"/>
          <w:kern w:val="0"/>
          <w:szCs w:val="21"/>
          <w:shd w:val="clear" w:color="auto" w:fill="FFFFFF"/>
        </w:rPr>
        <w:t>时间：</w:t>
      </w:r>
      <w:r>
        <w:rPr>
          <w:rFonts w:hint="eastAsia" w:ascii="宋体" w:hAnsi="宋体" w:cs="宋体"/>
          <w:color w:val="EE0000"/>
          <w:szCs w:val="21"/>
        </w:rPr>
        <w:t>另行通知</w:t>
      </w:r>
      <w:r>
        <w:rPr>
          <w:rFonts w:hint="eastAsia" w:ascii="宋体" w:hAnsi="宋体" w:cs="宋体"/>
          <w:color w:val="EE0000"/>
          <w:kern w:val="0"/>
          <w:szCs w:val="21"/>
          <w:shd w:val="clear" w:color="auto" w:fill="FFFFFF"/>
        </w:rPr>
        <w:t>。</w:t>
      </w:r>
    </w:p>
    <w:p w14:paraId="4F647B38">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color w:val="EE0000"/>
          <w:kern w:val="0"/>
          <w:szCs w:val="21"/>
          <w:shd w:val="clear" w:color="auto" w:fill="FFFFFF"/>
        </w:rPr>
        <w:t>2. 地点：</w:t>
      </w:r>
      <w:r>
        <w:rPr>
          <w:rFonts w:hint="eastAsia" w:ascii="宋体" w:hAnsi="宋体" w:cs="宋体"/>
          <w:color w:val="EE0000"/>
          <w:szCs w:val="21"/>
        </w:rPr>
        <w:t>另行通知</w:t>
      </w:r>
      <w:r>
        <w:rPr>
          <w:rFonts w:hint="eastAsia" w:ascii="宋体" w:hAnsi="宋体" w:cs="宋体"/>
          <w:kern w:val="0"/>
          <w:szCs w:val="21"/>
          <w:shd w:val="clear" w:color="auto" w:fill="FFFFFF"/>
        </w:rPr>
        <w:t>。</w:t>
      </w:r>
    </w:p>
    <w:p w14:paraId="5CD7FEF0">
      <w:pPr>
        <w:widowControl/>
        <w:snapToGrid w:val="0"/>
        <w:spacing w:line="324" w:lineRule="auto"/>
        <w:jc w:val="left"/>
        <w:outlineLvl w:val="1"/>
        <w:rPr>
          <w:rFonts w:hint="eastAsia" w:ascii="宋体" w:hAnsi="宋体" w:cs="宋体"/>
          <w:b/>
          <w:bCs/>
          <w:szCs w:val="21"/>
        </w:rPr>
      </w:pPr>
      <w:bookmarkStart w:id="22" w:name="_Toc30918"/>
      <w:bookmarkStart w:id="23" w:name="_Toc20287"/>
      <w:bookmarkStart w:id="24" w:name="_Toc6523"/>
      <w:bookmarkStart w:id="25" w:name="_Toc29784"/>
      <w:r>
        <w:rPr>
          <w:rFonts w:hint="eastAsia" w:ascii="宋体" w:hAnsi="宋体" w:cs="宋体"/>
          <w:b/>
          <w:bCs/>
          <w:szCs w:val="21"/>
          <w:shd w:val="clear" w:color="auto" w:fill="FFFFFF"/>
        </w:rPr>
        <w:t>六、发布公告的媒介及</w:t>
      </w:r>
      <w:r>
        <w:rPr>
          <w:rFonts w:hint="eastAsia" w:ascii="宋体" w:hAnsi="宋体" w:cs="宋体"/>
          <w:b/>
          <w:bCs/>
          <w:szCs w:val="21"/>
        </w:rPr>
        <w:t>采购</w:t>
      </w:r>
      <w:r>
        <w:rPr>
          <w:rFonts w:hint="eastAsia" w:ascii="宋体" w:hAnsi="宋体" w:cs="宋体"/>
          <w:b/>
          <w:bCs/>
          <w:szCs w:val="21"/>
          <w:shd w:val="clear" w:color="auto" w:fill="FFFFFF"/>
        </w:rPr>
        <w:t>公告期限</w:t>
      </w:r>
      <w:bookmarkEnd w:id="22"/>
      <w:bookmarkEnd w:id="23"/>
      <w:bookmarkEnd w:id="24"/>
      <w:bookmarkEnd w:id="25"/>
    </w:p>
    <w:p w14:paraId="655C3718">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本次</w:t>
      </w:r>
      <w:r>
        <w:rPr>
          <w:rFonts w:hint="eastAsia" w:ascii="宋体" w:hAnsi="宋体" w:cs="宋体"/>
          <w:szCs w:val="21"/>
        </w:rPr>
        <w:t>采购</w:t>
      </w:r>
      <w:r>
        <w:rPr>
          <w:rFonts w:hint="eastAsia" w:ascii="宋体" w:hAnsi="宋体" w:cs="宋体"/>
          <w:kern w:val="0"/>
          <w:szCs w:val="21"/>
          <w:shd w:val="clear" w:color="auto" w:fill="FFFFFF"/>
        </w:rPr>
        <w:t>公告在《驻马店市中心医院》院内网</w:t>
      </w:r>
      <w:r>
        <w:rPr>
          <w:rFonts w:hint="eastAsia" w:ascii="宋体" w:hAnsi="宋体" w:cs="宋体"/>
          <w:szCs w:val="21"/>
        </w:rPr>
        <w:t>上发布，采购公告期限为三个工作日</w:t>
      </w:r>
      <w:r>
        <w:rPr>
          <w:rFonts w:hint="eastAsia" w:ascii="宋体" w:hAnsi="宋体" w:cs="宋体"/>
          <w:kern w:val="0"/>
          <w:szCs w:val="21"/>
          <w:shd w:val="clear" w:color="auto" w:fill="FFFFFF"/>
        </w:rPr>
        <w:t>。</w:t>
      </w:r>
      <w:bookmarkStart w:id="26" w:name="_Toc35393795"/>
      <w:bookmarkStart w:id="27" w:name="_Toc35393626"/>
    </w:p>
    <w:bookmarkEnd w:id="26"/>
    <w:bookmarkEnd w:id="27"/>
    <w:p w14:paraId="1DBA81DE">
      <w:pPr>
        <w:widowControl/>
        <w:snapToGrid w:val="0"/>
        <w:spacing w:line="324" w:lineRule="auto"/>
        <w:jc w:val="left"/>
        <w:outlineLvl w:val="1"/>
        <w:rPr>
          <w:rFonts w:hint="eastAsia" w:ascii="宋体" w:hAnsi="宋体" w:cs="宋体"/>
          <w:b/>
          <w:bCs/>
          <w:szCs w:val="21"/>
        </w:rPr>
      </w:pPr>
      <w:bookmarkStart w:id="28" w:name="_Toc16291"/>
      <w:bookmarkStart w:id="29" w:name="_Toc3604"/>
      <w:bookmarkStart w:id="30" w:name="_Toc31928"/>
      <w:bookmarkStart w:id="31" w:name="_Toc24274"/>
      <w:bookmarkStart w:id="32" w:name="_Toc27370"/>
      <w:r>
        <w:rPr>
          <w:rFonts w:hint="eastAsia" w:ascii="宋体" w:hAnsi="宋体" w:cs="宋体"/>
          <w:b/>
          <w:bCs/>
          <w:szCs w:val="21"/>
          <w:shd w:val="clear" w:color="auto" w:fill="FFFFFF"/>
        </w:rPr>
        <w:t>七、</w:t>
      </w:r>
      <w:bookmarkEnd w:id="28"/>
      <w:bookmarkEnd w:id="29"/>
      <w:bookmarkEnd w:id="30"/>
      <w:bookmarkEnd w:id="31"/>
      <w:bookmarkEnd w:id="32"/>
      <w:r>
        <w:rPr>
          <w:rFonts w:hint="eastAsia" w:ascii="宋体" w:hAnsi="宋体" w:cs="宋体"/>
          <w:b/>
          <w:bCs/>
          <w:szCs w:val="21"/>
          <w:shd w:val="clear" w:color="auto" w:fill="FFFFFF"/>
        </w:rPr>
        <w:t>凡对本次招标提出询问，请按照以下方式联系</w:t>
      </w:r>
    </w:p>
    <w:p w14:paraId="1714D594">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1.采购人：驻马店市中心医院</w:t>
      </w:r>
    </w:p>
    <w:p w14:paraId="15523D86">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地址：驻马店市中华大道747号</w:t>
      </w:r>
    </w:p>
    <w:p w14:paraId="0F0EFE59">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联系人：陈先生</w:t>
      </w:r>
    </w:p>
    <w:p w14:paraId="4D404671">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电话：0396-2726379</w:t>
      </w:r>
    </w:p>
    <w:p w14:paraId="35DB3A0A">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2.采购代理机构：中基建安工程管理有限公司</w:t>
      </w:r>
    </w:p>
    <w:p w14:paraId="364E5512">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地址：河南自贸试验区郑州片区（郑东）心怡路319号易元国际B座16层1624号</w:t>
      </w:r>
    </w:p>
    <w:p w14:paraId="7622594B">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联系人：王女士</w:t>
      </w:r>
    </w:p>
    <w:p w14:paraId="1EC89692">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联系方式：17805195277</w:t>
      </w:r>
    </w:p>
    <w:p w14:paraId="1045307D">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3.监督部门：驻马店市中心医院纪检监察室</w:t>
      </w:r>
    </w:p>
    <w:p w14:paraId="4961EFE5">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监督电话：0396-2726678</w:t>
      </w:r>
    </w:p>
    <w:p w14:paraId="4D3CFEC7">
      <w:pPr>
        <w:widowControl/>
        <w:snapToGrid w:val="0"/>
        <w:spacing w:line="324" w:lineRule="auto"/>
        <w:ind w:firstLine="420" w:firstLineChars="200"/>
        <w:jc w:val="righ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kern w:val="0"/>
          <w:szCs w:val="21"/>
          <w:shd w:val="clear" w:color="auto" w:fill="FFFFFF"/>
        </w:rPr>
        <w:t>驻马</w:t>
      </w:r>
      <w:r>
        <w:rPr>
          <w:rFonts w:hint="eastAsia" w:ascii="宋体" w:hAnsi="宋体" w:cs="宋体"/>
          <w:color w:val="000000" w:themeColor="text1"/>
          <w:kern w:val="0"/>
          <w:szCs w:val="21"/>
          <w:shd w:val="clear" w:color="auto" w:fill="FFFFFF"/>
          <w14:textFill>
            <w14:solidFill>
              <w14:schemeClr w14:val="tx1"/>
            </w14:solidFill>
          </w14:textFill>
        </w:rPr>
        <w:t>店市中心医院采购科</w:t>
      </w:r>
    </w:p>
    <w:p w14:paraId="38070949">
      <w:pPr>
        <w:pStyle w:val="33"/>
        <w:rPr>
          <w:rFonts w:hint="eastAsia"/>
        </w:rPr>
      </w:pPr>
      <w:r>
        <w:rPr>
          <w:rFonts w:hint="eastAsia"/>
        </w:rPr>
        <w:t xml:space="preserve">                                                             2025年07月</w:t>
      </w:r>
      <w:r>
        <w:rPr>
          <w:rFonts w:hint="eastAsia"/>
          <w:lang w:val="en-US" w:eastAsia="zh-CN"/>
        </w:rPr>
        <w:t>21</w:t>
      </w:r>
      <w:bookmarkStart w:id="105" w:name="_GoBack"/>
      <w:bookmarkEnd w:id="105"/>
      <w:r>
        <w:rPr>
          <w:rFonts w:hint="eastAsia"/>
        </w:rPr>
        <w:t>日</w:t>
      </w:r>
    </w:p>
    <w:p w14:paraId="00FC0C11">
      <w:pPr>
        <w:rPr>
          <w:rFonts w:hint="eastAsia" w:ascii="宋体" w:hAnsi="宋体" w:cs="宋体"/>
          <w:b/>
          <w:sz w:val="32"/>
          <w:szCs w:val="32"/>
        </w:rPr>
      </w:pPr>
      <w:bookmarkStart w:id="33" w:name="_Toc23793"/>
      <w:bookmarkStart w:id="34" w:name="_Toc29890"/>
      <w:r>
        <w:rPr>
          <w:rFonts w:hint="eastAsia" w:ascii="宋体" w:hAnsi="宋体" w:cs="宋体"/>
          <w:b/>
          <w:sz w:val="32"/>
          <w:szCs w:val="32"/>
        </w:rPr>
        <w:br w:type="page"/>
      </w:r>
    </w:p>
    <w:p w14:paraId="606793C8">
      <w:pPr>
        <w:widowControl/>
        <w:spacing w:line="360" w:lineRule="auto"/>
        <w:ind w:firstLine="643" w:firstLineChars="200"/>
        <w:jc w:val="center"/>
        <w:outlineLvl w:val="0"/>
        <w:rPr>
          <w:rFonts w:hint="eastAsia" w:ascii="宋体" w:hAnsi="宋体" w:cs="宋体"/>
          <w:b/>
          <w:sz w:val="32"/>
          <w:szCs w:val="32"/>
        </w:rPr>
      </w:pPr>
      <w:bookmarkStart w:id="35" w:name="_Toc19124"/>
      <w:r>
        <w:rPr>
          <w:rFonts w:hint="eastAsia" w:ascii="宋体" w:hAnsi="宋体" w:cs="宋体"/>
          <w:b/>
          <w:sz w:val="32"/>
          <w:szCs w:val="32"/>
        </w:rPr>
        <w:t>第二章  采购需求</w:t>
      </w:r>
      <w:bookmarkEnd w:id="35"/>
      <w:bookmarkStart w:id="36" w:name="_Toc31536"/>
      <w:bookmarkStart w:id="37" w:name="_Toc23610"/>
      <w:bookmarkStart w:id="38" w:name="_Toc9989"/>
    </w:p>
    <w:bookmarkEnd w:id="33"/>
    <w:bookmarkEnd w:id="34"/>
    <w:bookmarkEnd w:id="36"/>
    <w:bookmarkEnd w:id="37"/>
    <w:bookmarkEnd w:id="38"/>
    <w:p w14:paraId="009D54ED">
      <w:pPr>
        <w:snapToGrid w:val="0"/>
        <w:spacing w:line="360" w:lineRule="auto"/>
        <w:rPr>
          <w:rFonts w:hint="eastAsia" w:ascii="宋体" w:hAnsi="宋体" w:cs="宋体"/>
          <w:iCs/>
          <w:szCs w:val="21"/>
        </w:rPr>
      </w:pPr>
      <w:r>
        <w:rPr>
          <w:rFonts w:hint="eastAsia" w:ascii="宋体" w:hAnsi="宋体" w:cs="宋体"/>
          <w:b/>
          <w:bCs/>
          <w:iCs/>
          <w:szCs w:val="21"/>
        </w:rPr>
        <w:t>项目名称：</w:t>
      </w:r>
      <w:r>
        <w:rPr>
          <w:rFonts w:hint="eastAsia" w:ascii="宋体" w:hAnsi="宋体" w:cs="宋体"/>
          <w:iCs/>
          <w:szCs w:val="21"/>
        </w:rPr>
        <w:t>驻马店市中心医院DSA环评服务项目</w:t>
      </w:r>
    </w:p>
    <w:p w14:paraId="2ECFAAF1">
      <w:pPr>
        <w:pStyle w:val="24"/>
        <w:numPr>
          <w:ilvl w:val="0"/>
          <w:numId w:val="1"/>
        </w:numPr>
        <w:ind w:leftChars="0"/>
      </w:pPr>
      <w:r>
        <w:rPr>
          <w:rFonts w:hint="eastAsia"/>
          <w:b/>
          <w:bCs/>
        </w:rPr>
        <w:t>采购项目预算</w:t>
      </w:r>
    </w:p>
    <w:p w14:paraId="6FDDA4C8">
      <w:pPr>
        <w:pStyle w:val="24"/>
        <w:ind w:leftChars="0"/>
      </w:pPr>
      <w:r>
        <w:rPr>
          <w:rFonts w:hint="eastAsia"/>
        </w:rPr>
        <w:t>总 预 算：</w:t>
      </w:r>
      <w:r>
        <w:rPr>
          <w:rFonts w:hint="eastAsia"/>
          <w:u w:val="single"/>
        </w:rPr>
        <w:t xml:space="preserve">  6万元  </w:t>
      </w:r>
    </w:p>
    <w:p w14:paraId="25079211">
      <w:pPr>
        <w:pStyle w:val="9"/>
        <w:snapToGrid w:val="0"/>
        <w:spacing w:beforeAutospacing="0" w:afterAutospacing="0" w:line="360" w:lineRule="auto"/>
        <w:jc w:val="both"/>
        <w:rPr>
          <w:rFonts w:hint="eastAsia"/>
          <w:b/>
          <w:bCs/>
          <w:kern w:val="2"/>
          <w:sz w:val="21"/>
        </w:rPr>
      </w:pPr>
      <w:r>
        <w:rPr>
          <w:rFonts w:hint="eastAsia"/>
          <w:b/>
          <w:bCs/>
          <w:kern w:val="2"/>
          <w:sz w:val="21"/>
        </w:rPr>
        <w:t>二、采购项目清单：</w:t>
      </w:r>
    </w:p>
    <w:tbl>
      <w:tblPr>
        <w:tblStyle w:val="36"/>
        <w:tblW w:w="8827"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668"/>
        <w:gridCol w:w="2427"/>
        <w:gridCol w:w="737"/>
        <w:gridCol w:w="913"/>
        <w:gridCol w:w="1405"/>
        <w:gridCol w:w="954"/>
        <w:gridCol w:w="945"/>
      </w:tblGrid>
      <w:tr w14:paraId="40D9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2E7B6CB8">
            <w:pPr>
              <w:pStyle w:val="9"/>
              <w:widowControl w:val="0"/>
              <w:spacing w:beforeAutospacing="0" w:line="400" w:lineRule="exact"/>
              <w:jc w:val="center"/>
              <w:rPr>
                <w:rFonts w:hint="eastAsia"/>
                <w:sz w:val="21"/>
                <w:szCs w:val="21"/>
              </w:rPr>
            </w:pPr>
            <w:r>
              <w:rPr>
                <w:rFonts w:hint="eastAsia"/>
                <w:b/>
                <w:bCs/>
                <w:sz w:val="21"/>
                <w:szCs w:val="21"/>
              </w:rPr>
              <w:t>包号</w:t>
            </w:r>
          </w:p>
        </w:tc>
        <w:tc>
          <w:tcPr>
            <w:tcW w:w="668" w:type="dxa"/>
            <w:vAlign w:val="center"/>
          </w:tcPr>
          <w:p w14:paraId="5006A0D1">
            <w:pPr>
              <w:pStyle w:val="9"/>
              <w:widowControl w:val="0"/>
              <w:spacing w:beforeAutospacing="0" w:line="400" w:lineRule="exact"/>
              <w:jc w:val="center"/>
              <w:rPr>
                <w:rFonts w:hint="eastAsia"/>
                <w:sz w:val="21"/>
                <w:szCs w:val="21"/>
              </w:rPr>
            </w:pPr>
            <w:r>
              <w:rPr>
                <w:rFonts w:hint="eastAsia"/>
                <w:b/>
                <w:bCs/>
                <w:sz w:val="21"/>
                <w:szCs w:val="21"/>
              </w:rPr>
              <w:t>序号</w:t>
            </w:r>
          </w:p>
        </w:tc>
        <w:tc>
          <w:tcPr>
            <w:tcW w:w="2427" w:type="dxa"/>
            <w:vAlign w:val="center"/>
          </w:tcPr>
          <w:p w14:paraId="295440D4">
            <w:pPr>
              <w:pStyle w:val="9"/>
              <w:widowControl w:val="0"/>
              <w:spacing w:beforeAutospacing="0" w:line="400" w:lineRule="exact"/>
              <w:jc w:val="center"/>
              <w:rPr>
                <w:rFonts w:hint="eastAsia"/>
                <w:sz w:val="21"/>
                <w:szCs w:val="21"/>
              </w:rPr>
            </w:pPr>
            <w:r>
              <w:rPr>
                <w:rFonts w:hint="eastAsia"/>
                <w:b/>
                <w:bCs/>
                <w:sz w:val="21"/>
                <w:szCs w:val="21"/>
              </w:rPr>
              <w:t>标的名称</w:t>
            </w:r>
          </w:p>
        </w:tc>
        <w:tc>
          <w:tcPr>
            <w:tcW w:w="737" w:type="dxa"/>
            <w:vAlign w:val="center"/>
          </w:tcPr>
          <w:p w14:paraId="2047C2C2">
            <w:pPr>
              <w:pStyle w:val="9"/>
              <w:widowControl w:val="0"/>
              <w:spacing w:beforeAutospacing="0" w:line="400" w:lineRule="exact"/>
              <w:jc w:val="center"/>
              <w:rPr>
                <w:rFonts w:hint="eastAsia"/>
                <w:sz w:val="21"/>
                <w:szCs w:val="21"/>
              </w:rPr>
            </w:pPr>
            <w:r>
              <w:rPr>
                <w:rFonts w:hint="eastAsia"/>
                <w:b/>
                <w:bCs/>
                <w:sz w:val="21"/>
                <w:szCs w:val="21"/>
              </w:rPr>
              <w:t>单位</w:t>
            </w:r>
          </w:p>
        </w:tc>
        <w:tc>
          <w:tcPr>
            <w:tcW w:w="913" w:type="dxa"/>
            <w:vAlign w:val="center"/>
          </w:tcPr>
          <w:p w14:paraId="7C0759B9">
            <w:pPr>
              <w:pStyle w:val="9"/>
              <w:widowControl w:val="0"/>
              <w:spacing w:beforeAutospacing="0" w:line="400" w:lineRule="exact"/>
              <w:jc w:val="center"/>
              <w:rPr>
                <w:rFonts w:hint="eastAsia"/>
                <w:sz w:val="21"/>
                <w:szCs w:val="21"/>
              </w:rPr>
            </w:pPr>
            <w:r>
              <w:rPr>
                <w:rFonts w:hint="eastAsia"/>
                <w:b/>
                <w:bCs/>
                <w:sz w:val="21"/>
                <w:szCs w:val="21"/>
              </w:rPr>
              <w:t>数量</w:t>
            </w:r>
          </w:p>
        </w:tc>
        <w:tc>
          <w:tcPr>
            <w:tcW w:w="1405" w:type="dxa"/>
            <w:vAlign w:val="center"/>
          </w:tcPr>
          <w:p w14:paraId="410A18D3">
            <w:pPr>
              <w:pStyle w:val="9"/>
              <w:widowControl w:val="0"/>
              <w:spacing w:beforeAutospacing="0" w:line="400" w:lineRule="exact"/>
              <w:jc w:val="center"/>
              <w:rPr>
                <w:rFonts w:hint="eastAsia"/>
                <w:b/>
                <w:bCs/>
                <w:sz w:val="21"/>
                <w:szCs w:val="21"/>
              </w:rPr>
            </w:pPr>
            <w:r>
              <w:rPr>
                <w:rFonts w:hint="eastAsia"/>
                <w:b/>
                <w:bCs/>
                <w:sz w:val="21"/>
                <w:szCs w:val="21"/>
              </w:rPr>
              <w:t>资金</w:t>
            </w:r>
          </w:p>
          <w:p w14:paraId="3B6731FE">
            <w:pPr>
              <w:pStyle w:val="9"/>
              <w:widowControl w:val="0"/>
              <w:spacing w:beforeAutospacing="0" w:line="400" w:lineRule="exact"/>
              <w:jc w:val="center"/>
              <w:rPr>
                <w:rFonts w:hint="eastAsia"/>
                <w:sz w:val="21"/>
                <w:szCs w:val="21"/>
              </w:rPr>
            </w:pPr>
            <w:r>
              <w:rPr>
                <w:rFonts w:hint="eastAsia"/>
                <w:b/>
                <w:bCs/>
                <w:sz w:val="21"/>
                <w:szCs w:val="21"/>
              </w:rPr>
              <w:t>预算</w:t>
            </w:r>
          </w:p>
        </w:tc>
        <w:tc>
          <w:tcPr>
            <w:tcW w:w="954" w:type="dxa"/>
            <w:vAlign w:val="center"/>
          </w:tcPr>
          <w:p w14:paraId="00F5A0DD">
            <w:pPr>
              <w:pStyle w:val="9"/>
              <w:widowControl w:val="0"/>
              <w:spacing w:beforeAutospacing="0" w:line="400" w:lineRule="exact"/>
              <w:jc w:val="center"/>
              <w:rPr>
                <w:rFonts w:hint="eastAsia"/>
                <w:b/>
                <w:bCs/>
                <w:sz w:val="21"/>
                <w:szCs w:val="21"/>
              </w:rPr>
            </w:pPr>
            <w:r>
              <w:rPr>
                <w:rFonts w:hint="eastAsia"/>
                <w:b/>
                <w:bCs/>
                <w:sz w:val="21"/>
                <w:szCs w:val="21"/>
              </w:rPr>
              <w:t>资金</w:t>
            </w:r>
          </w:p>
          <w:p w14:paraId="6A28EB9D">
            <w:pPr>
              <w:pStyle w:val="9"/>
              <w:widowControl w:val="0"/>
              <w:spacing w:beforeAutospacing="0" w:line="400" w:lineRule="exact"/>
              <w:jc w:val="center"/>
              <w:rPr>
                <w:rFonts w:hint="eastAsia"/>
                <w:sz w:val="21"/>
                <w:szCs w:val="21"/>
              </w:rPr>
            </w:pPr>
            <w:r>
              <w:rPr>
                <w:rFonts w:hint="eastAsia"/>
                <w:b/>
                <w:bCs/>
                <w:sz w:val="21"/>
                <w:szCs w:val="21"/>
              </w:rPr>
              <w:t>性质</w:t>
            </w:r>
          </w:p>
        </w:tc>
        <w:tc>
          <w:tcPr>
            <w:tcW w:w="945" w:type="dxa"/>
            <w:vAlign w:val="center"/>
          </w:tcPr>
          <w:p w14:paraId="3EE3E21E">
            <w:pPr>
              <w:pStyle w:val="9"/>
              <w:widowControl w:val="0"/>
              <w:spacing w:beforeAutospacing="0" w:line="400" w:lineRule="exact"/>
              <w:jc w:val="center"/>
              <w:rPr>
                <w:rFonts w:hint="eastAsia"/>
                <w:b/>
                <w:bCs/>
                <w:sz w:val="21"/>
                <w:szCs w:val="21"/>
              </w:rPr>
            </w:pPr>
            <w:r>
              <w:rPr>
                <w:rFonts w:hint="eastAsia"/>
                <w:b/>
                <w:bCs/>
                <w:sz w:val="21"/>
                <w:szCs w:val="21"/>
              </w:rPr>
              <w:t>国产/</w:t>
            </w:r>
          </w:p>
          <w:p w14:paraId="47667669">
            <w:pPr>
              <w:pStyle w:val="9"/>
              <w:widowControl w:val="0"/>
              <w:spacing w:beforeAutospacing="0" w:line="400" w:lineRule="exact"/>
              <w:jc w:val="center"/>
              <w:rPr>
                <w:rFonts w:hint="eastAsia"/>
                <w:sz w:val="21"/>
                <w:szCs w:val="21"/>
              </w:rPr>
            </w:pPr>
            <w:r>
              <w:rPr>
                <w:rFonts w:hint="eastAsia"/>
                <w:b/>
                <w:bCs/>
                <w:sz w:val="21"/>
                <w:szCs w:val="21"/>
              </w:rPr>
              <w:t>进口</w:t>
            </w:r>
          </w:p>
        </w:tc>
      </w:tr>
      <w:tr w14:paraId="1BB2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6F7770E9">
            <w:pPr>
              <w:spacing w:line="560" w:lineRule="exact"/>
              <w:jc w:val="center"/>
              <w:rPr>
                <w:rFonts w:hint="eastAsia" w:ascii="宋体" w:hAnsi="宋体" w:cs="宋体"/>
                <w:szCs w:val="21"/>
              </w:rPr>
            </w:pPr>
            <w:r>
              <w:rPr>
                <w:rFonts w:hint="eastAsia" w:ascii="宋体" w:hAnsi="宋体" w:cs="宋体"/>
                <w:szCs w:val="21"/>
              </w:rPr>
              <w:t>1</w:t>
            </w:r>
          </w:p>
        </w:tc>
        <w:tc>
          <w:tcPr>
            <w:tcW w:w="668" w:type="dxa"/>
            <w:vAlign w:val="center"/>
          </w:tcPr>
          <w:p w14:paraId="54337B3A">
            <w:pPr>
              <w:spacing w:line="560" w:lineRule="exact"/>
              <w:jc w:val="center"/>
              <w:rPr>
                <w:rFonts w:hint="eastAsia" w:ascii="宋体" w:hAnsi="宋体" w:cs="宋体"/>
                <w:szCs w:val="21"/>
              </w:rPr>
            </w:pPr>
            <w:r>
              <w:rPr>
                <w:rFonts w:hint="eastAsia" w:ascii="宋体" w:hAnsi="宋体" w:cs="宋体"/>
                <w:szCs w:val="21"/>
              </w:rPr>
              <w:t>1</w:t>
            </w:r>
          </w:p>
        </w:tc>
        <w:tc>
          <w:tcPr>
            <w:tcW w:w="2427" w:type="dxa"/>
            <w:vAlign w:val="center"/>
          </w:tcPr>
          <w:p w14:paraId="560B3F27">
            <w:pPr>
              <w:spacing w:line="560" w:lineRule="exact"/>
              <w:jc w:val="center"/>
              <w:rPr>
                <w:rFonts w:hint="eastAsia" w:ascii="宋体" w:hAnsi="宋体" w:cs="宋体"/>
                <w:szCs w:val="21"/>
              </w:rPr>
            </w:pPr>
            <w:r>
              <w:rPr>
                <w:rFonts w:hint="eastAsia" w:ascii="宋体" w:hAnsi="宋体" w:cs="宋体"/>
                <w:szCs w:val="21"/>
              </w:rPr>
              <w:t>DSA环评服务项目</w:t>
            </w:r>
          </w:p>
        </w:tc>
        <w:tc>
          <w:tcPr>
            <w:tcW w:w="737" w:type="dxa"/>
            <w:vAlign w:val="center"/>
          </w:tcPr>
          <w:p w14:paraId="0882A844">
            <w:pPr>
              <w:spacing w:line="560" w:lineRule="exact"/>
              <w:jc w:val="center"/>
              <w:rPr>
                <w:rFonts w:hint="eastAsia" w:ascii="宋体" w:hAnsi="宋体" w:cs="宋体"/>
                <w:szCs w:val="21"/>
              </w:rPr>
            </w:pPr>
            <w:r>
              <w:rPr>
                <w:rFonts w:hint="eastAsia" w:ascii="宋体" w:hAnsi="宋体" w:cs="宋体"/>
                <w:szCs w:val="21"/>
              </w:rPr>
              <w:t>次</w:t>
            </w:r>
          </w:p>
        </w:tc>
        <w:tc>
          <w:tcPr>
            <w:tcW w:w="913" w:type="dxa"/>
            <w:vAlign w:val="center"/>
          </w:tcPr>
          <w:p w14:paraId="177DFE2A">
            <w:pPr>
              <w:spacing w:line="560" w:lineRule="exact"/>
              <w:jc w:val="center"/>
              <w:rPr>
                <w:rFonts w:hint="eastAsia" w:ascii="宋体" w:hAnsi="宋体" w:cs="宋体"/>
                <w:szCs w:val="21"/>
              </w:rPr>
            </w:pPr>
            <w:r>
              <w:rPr>
                <w:rFonts w:hint="eastAsia" w:ascii="宋体" w:hAnsi="宋体" w:cs="宋体"/>
                <w:szCs w:val="21"/>
              </w:rPr>
              <w:t>1</w:t>
            </w:r>
          </w:p>
        </w:tc>
        <w:tc>
          <w:tcPr>
            <w:tcW w:w="1405" w:type="dxa"/>
            <w:vAlign w:val="center"/>
          </w:tcPr>
          <w:p w14:paraId="578C5358">
            <w:pPr>
              <w:spacing w:line="560" w:lineRule="exact"/>
              <w:jc w:val="center"/>
              <w:rPr>
                <w:rFonts w:hint="eastAsia" w:ascii="宋体" w:hAnsi="宋体" w:cs="宋体"/>
                <w:szCs w:val="21"/>
              </w:rPr>
            </w:pPr>
            <w:r>
              <w:rPr>
                <w:rFonts w:hint="eastAsia" w:ascii="宋体" w:hAnsi="宋体" w:cs="宋体"/>
                <w:szCs w:val="21"/>
              </w:rPr>
              <w:t>6万元</w:t>
            </w:r>
          </w:p>
        </w:tc>
        <w:tc>
          <w:tcPr>
            <w:tcW w:w="954" w:type="dxa"/>
            <w:vAlign w:val="center"/>
          </w:tcPr>
          <w:p w14:paraId="3D6638C0">
            <w:pPr>
              <w:spacing w:line="560" w:lineRule="exact"/>
              <w:jc w:val="center"/>
              <w:rPr>
                <w:rFonts w:hint="eastAsia" w:ascii="宋体" w:hAnsi="宋体" w:cs="宋体"/>
                <w:szCs w:val="21"/>
              </w:rPr>
            </w:pPr>
            <w:r>
              <w:rPr>
                <w:rFonts w:hint="eastAsia" w:ascii="宋体" w:hAnsi="宋体" w:cs="宋体"/>
                <w:szCs w:val="21"/>
              </w:rPr>
              <w:t>自筹</w:t>
            </w:r>
          </w:p>
        </w:tc>
        <w:tc>
          <w:tcPr>
            <w:tcW w:w="945" w:type="dxa"/>
            <w:vAlign w:val="center"/>
          </w:tcPr>
          <w:p w14:paraId="159BF92A">
            <w:pPr>
              <w:spacing w:line="560" w:lineRule="exact"/>
              <w:jc w:val="center"/>
              <w:rPr>
                <w:rFonts w:hint="eastAsia" w:ascii="宋体" w:hAnsi="宋体" w:cs="宋体"/>
                <w:szCs w:val="21"/>
              </w:rPr>
            </w:pPr>
            <w:r>
              <w:rPr>
                <w:rFonts w:hint="eastAsia" w:ascii="宋体" w:hAnsi="宋体" w:cs="宋体"/>
                <w:szCs w:val="21"/>
              </w:rPr>
              <w:t>/</w:t>
            </w:r>
          </w:p>
        </w:tc>
      </w:tr>
      <w:tr w14:paraId="76D8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vAlign w:val="center"/>
          </w:tcPr>
          <w:p w14:paraId="2B841D23">
            <w:pPr>
              <w:spacing w:line="560" w:lineRule="exact"/>
              <w:jc w:val="center"/>
              <w:rPr>
                <w:rFonts w:hint="eastAsia" w:ascii="宋体" w:hAnsi="宋体" w:cs="宋体"/>
                <w:b/>
                <w:bCs/>
                <w:szCs w:val="21"/>
              </w:rPr>
            </w:pPr>
            <w:r>
              <w:rPr>
                <w:rFonts w:hint="eastAsia" w:ascii="宋体" w:hAnsi="宋体" w:cs="宋体"/>
                <w:b/>
                <w:bCs/>
                <w:szCs w:val="21"/>
              </w:rPr>
              <w:t>合计</w:t>
            </w:r>
          </w:p>
        </w:tc>
        <w:tc>
          <w:tcPr>
            <w:tcW w:w="7381" w:type="dxa"/>
            <w:gridSpan w:val="6"/>
            <w:vAlign w:val="center"/>
          </w:tcPr>
          <w:p w14:paraId="065E9DD0">
            <w:pPr>
              <w:spacing w:line="560" w:lineRule="exact"/>
              <w:jc w:val="center"/>
              <w:rPr>
                <w:rFonts w:hint="eastAsia" w:ascii="宋体" w:hAnsi="宋体" w:cs="宋体"/>
                <w:szCs w:val="21"/>
              </w:rPr>
            </w:pPr>
            <w:r>
              <w:rPr>
                <w:rFonts w:hint="eastAsia" w:ascii="宋体" w:hAnsi="宋体" w:cs="宋体"/>
                <w:szCs w:val="21"/>
              </w:rPr>
              <w:t>6万元</w:t>
            </w:r>
          </w:p>
        </w:tc>
      </w:tr>
      <w:tr w14:paraId="63EF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vAlign w:val="center"/>
          </w:tcPr>
          <w:p w14:paraId="78988CD4">
            <w:pPr>
              <w:spacing w:line="560" w:lineRule="exact"/>
              <w:jc w:val="center"/>
              <w:rPr>
                <w:rFonts w:hint="eastAsia" w:ascii="宋体" w:hAnsi="宋体" w:cs="宋体"/>
                <w:b/>
                <w:bCs/>
                <w:szCs w:val="21"/>
              </w:rPr>
            </w:pPr>
            <w:r>
              <w:rPr>
                <w:rFonts w:hint="eastAsia" w:ascii="宋体" w:hAnsi="宋体" w:cs="宋体"/>
                <w:b/>
                <w:bCs/>
                <w:szCs w:val="21"/>
              </w:rPr>
              <w:t>备注</w:t>
            </w:r>
          </w:p>
        </w:tc>
        <w:tc>
          <w:tcPr>
            <w:tcW w:w="7381" w:type="dxa"/>
            <w:gridSpan w:val="6"/>
            <w:vAlign w:val="center"/>
          </w:tcPr>
          <w:p w14:paraId="0F5FA950">
            <w:pPr>
              <w:spacing w:line="560" w:lineRule="exact"/>
              <w:jc w:val="center"/>
              <w:rPr>
                <w:rFonts w:hint="eastAsia" w:ascii="宋体" w:hAnsi="宋体" w:cs="宋体"/>
                <w:szCs w:val="21"/>
              </w:rPr>
            </w:pPr>
          </w:p>
        </w:tc>
      </w:tr>
    </w:tbl>
    <w:p w14:paraId="687005E7">
      <w:pPr>
        <w:spacing w:line="192" w:lineRule="auto"/>
        <w:rPr>
          <w:rFonts w:hint="eastAsia" w:ascii="宋体" w:hAnsi="宋体" w:cs="宋体"/>
          <w:b/>
          <w:bCs/>
        </w:rPr>
      </w:pPr>
    </w:p>
    <w:p w14:paraId="2C9F617C">
      <w:pPr>
        <w:spacing w:line="192" w:lineRule="auto"/>
        <w:rPr>
          <w:rFonts w:hint="eastAsia" w:ascii="宋体" w:hAnsi="宋体" w:cs="宋体"/>
          <w:b/>
          <w:bCs/>
        </w:rPr>
      </w:pPr>
      <w:r>
        <w:rPr>
          <w:rFonts w:hint="eastAsia" w:ascii="宋体" w:hAnsi="宋体" w:cs="宋体"/>
          <w:b/>
          <w:bCs/>
        </w:rPr>
        <w:t>三、技术要求：</w:t>
      </w:r>
    </w:p>
    <w:p w14:paraId="796BA178">
      <w:pPr>
        <w:spacing w:line="192" w:lineRule="auto"/>
        <w:rPr>
          <w:rFonts w:hint="eastAsia" w:ascii="宋体" w:hAnsi="宋体" w:cs="宋体"/>
          <w:b/>
          <w:bCs/>
        </w:rPr>
      </w:pPr>
    </w:p>
    <w:p w14:paraId="22595D3B">
      <w:pPr>
        <w:widowControl/>
        <w:snapToGrid w:val="0"/>
        <w:spacing w:line="360" w:lineRule="auto"/>
        <w:rPr>
          <w:rFonts w:hint="eastAsia" w:ascii="宋体" w:hAnsi="宋体" w:cs="宋体"/>
        </w:rPr>
      </w:pPr>
      <w:r>
        <w:rPr>
          <w:rFonts w:hint="eastAsia" w:ascii="宋体" w:hAnsi="宋体" w:cs="宋体"/>
        </w:rPr>
        <w:t>(1)环评阶段:就该项目编制环境影响报告表(分析报告)，并确保环评文件的质量符合国家有关技术规范的要求，并取得环保主管部门的批复文件。</w:t>
      </w:r>
    </w:p>
    <w:p w14:paraId="595A5CE6">
      <w:pPr>
        <w:widowControl/>
        <w:snapToGrid w:val="0"/>
        <w:spacing w:line="360" w:lineRule="auto"/>
        <w:rPr>
          <w:rFonts w:hint="eastAsia" w:ascii="宋体" w:hAnsi="宋体" w:cs="宋体"/>
        </w:rPr>
      </w:pPr>
      <w:r>
        <w:rPr>
          <w:rFonts w:hint="eastAsia" w:ascii="宋体" w:hAnsi="宋体" w:cs="宋体"/>
        </w:rPr>
        <w:t>（2）申办许可证阶段：协助我院申领辐射安全许可证。</w:t>
      </w:r>
    </w:p>
    <w:p w14:paraId="7AAAD3CB">
      <w:pPr>
        <w:widowControl/>
        <w:snapToGrid w:val="0"/>
        <w:spacing w:line="360" w:lineRule="auto"/>
        <w:rPr>
          <w:rFonts w:hint="eastAsia" w:ascii="宋体" w:hAnsi="宋体" w:cs="宋体"/>
        </w:rPr>
      </w:pPr>
      <w:r>
        <w:rPr>
          <w:rFonts w:hint="eastAsia" w:ascii="宋体" w:hAnsi="宋体" w:cs="宋体"/>
        </w:rPr>
        <w:t>（3）供应商从事环评服务的技术人员必须是取得环境影响评价工程师职业资格的全职工作人员，作为编制主持人和主要编制人员。为我院服务的技术人员应具备中级及以上技术职称。</w:t>
      </w:r>
    </w:p>
    <w:p w14:paraId="068C16B3">
      <w:pPr>
        <w:widowControl/>
        <w:snapToGrid w:val="0"/>
        <w:spacing w:line="360" w:lineRule="auto"/>
        <w:rPr>
          <w:rFonts w:hint="eastAsia" w:ascii="宋体" w:hAnsi="宋体" w:cs="宋体"/>
        </w:rPr>
      </w:pPr>
      <w:r>
        <w:rPr>
          <w:rFonts w:hint="eastAsia" w:ascii="宋体" w:hAnsi="宋体" w:cs="宋体"/>
        </w:rPr>
        <w:t>（4）提交环境影响评价信用平台信用记录截图，要求企业信用良好，未受处罚。</w:t>
      </w:r>
    </w:p>
    <w:p w14:paraId="620AF290">
      <w:pPr>
        <w:widowControl/>
        <w:snapToGrid w:val="0"/>
        <w:spacing w:line="360" w:lineRule="auto"/>
        <w:rPr>
          <w:rFonts w:ascii="宋体" w:hAnsi="宋体" w:cs="宋体"/>
        </w:rPr>
      </w:pPr>
      <w:r>
        <w:rPr>
          <w:rFonts w:hint="eastAsia" w:ascii="宋体" w:hAnsi="宋体" w:cs="宋体"/>
        </w:rPr>
        <w:t>（5）环评检测依据：《中华人民共和国放射性污染防治法》核心条款：第28条（放射性建设项目需办理环评）、第30条（配套环保设施“三同时”制度）；《建设项目环境保护管理条例》 、《放射性同位素与射线装置安全和防护条例》（国务院令第449号）等。</w:t>
      </w:r>
    </w:p>
    <w:p w14:paraId="1E3571C6">
      <w:pPr>
        <w:widowControl/>
        <w:snapToGrid w:val="0"/>
        <w:spacing w:line="360" w:lineRule="auto"/>
        <w:rPr>
          <w:rFonts w:hint="eastAsia" w:ascii="宋体" w:hAnsi="宋体" w:cs="宋体"/>
          <w:b/>
          <w:bCs/>
        </w:rPr>
      </w:pPr>
      <w:r>
        <w:rPr>
          <w:rFonts w:hint="eastAsia" w:ascii="宋体" w:hAnsi="宋体" w:cs="宋体"/>
          <w:b/>
          <w:bCs/>
        </w:rPr>
        <w:t>商务要求</w:t>
      </w:r>
    </w:p>
    <w:tbl>
      <w:tblPr>
        <w:tblStyle w:val="35"/>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63CC5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35A861C">
            <w:pPr>
              <w:pStyle w:val="9"/>
              <w:jc w:val="center"/>
              <w:rPr>
                <w:rFonts w:hint="eastAsia"/>
                <w:sz w:val="21"/>
                <w:szCs w:val="21"/>
              </w:rPr>
            </w:pPr>
            <w:r>
              <w:rPr>
                <w:rFonts w:hint="eastAsia"/>
                <w:sz w:val="21"/>
                <w:szCs w:val="21"/>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42D79718">
            <w:pPr>
              <w:pStyle w:val="9"/>
              <w:rPr>
                <w:rFonts w:hint="eastAsia"/>
                <w:sz w:val="21"/>
                <w:szCs w:val="21"/>
              </w:rPr>
            </w:pPr>
            <w:r>
              <w:rPr>
                <w:rFonts w:hint="eastAsia"/>
                <w:sz w:val="21"/>
                <w:szCs w:val="21"/>
              </w:rPr>
              <w:t>自成交通知书发出之日起30日内。</w:t>
            </w:r>
          </w:p>
        </w:tc>
      </w:tr>
      <w:tr w14:paraId="77625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09A0F2E">
            <w:pPr>
              <w:pStyle w:val="9"/>
              <w:jc w:val="center"/>
              <w:rPr>
                <w:rFonts w:hint="eastAsia"/>
                <w:sz w:val="21"/>
                <w:szCs w:val="21"/>
              </w:rPr>
            </w:pPr>
            <w:r>
              <w:rPr>
                <w:rFonts w:hint="eastAsia"/>
                <w:sz w:val="21"/>
                <w:szCs w:val="21"/>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145372C">
            <w:pPr>
              <w:pStyle w:val="9"/>
              <w:rPr>
                <w:rFonts w:hint="eastAsia"/>
                <w:kern w:val="2"/>
                <w:sz w:val="21"/>
              </w:rPr>
            </w:pPr>
            <w:r>
              <w:rPr>
                <w:rFonts w:hint="eastAsia"/>
                <w:kern w:val="2"/>
                <w:sz w:val="21"/>
              </w:rPr>
              <w:t>医院机房图纸确定后15个工作日内出具报告并通过环保主管部门批复。</w:t>
            </w:r>
          </w:p>
        </w:tc>
      </w:tr>
      <w:tr w14:paraId="42009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2919362">
            <w:pPr>
              <w:pStyle w:val="9"/>
              <w:jc w:val="center"/>
              <w:rPr>
                <w:rFonts w:hint="eastAsia"/>
                <w:sz w:val="21"/>
                <w:szCs w:val="21"/>
              </w:rPr>
            </w:pPr>
            <w:r>
              <w:rPr>
                <w:rFonts w:hint="eastAsia"/>
                <w:sz w:val="21"/>
                <w:szCs w:val="21"/>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5CFDA8F">
            <w:pPr>
              <w:pStyle w:val="9"/>
              <w:rPr>
                <w:rFonts w:hint="eastAsia"/>
                <w:sz w:val="21"/>
                <w:szCs w:val="21"/>
              </w:rPr>
            </w:pPr>
            <w:r>
              <w:rPr>
                <w:rFonts w:hint="eastAsia"/>
                <w:sz w:val="21"/>
                <w:szCs w:val="21"/>
              </w:rPr>
              <w:t>符合国家有关法律法规及行业标准要求。</w:t>
            </w:r>
          </w:p>
        </w:tc>
      </w:tr>
      <w:tr w14:paraId="248C3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B99FAAD">
            <w:pPr>
              <w:pStyle w:val="9"/>
              <w:jc w:val="center"/>
              <w:rPr>
                <w:rFonts w:hint="eastAsia"/>
                <w:sz w:val="21"/>
                <w:szCs w:val="21"/>
              </w:rPr>
            </w:pPr>
            <w:r>
              <w:rPr>
                <w:rFonts w:hint="eastAsia"/>
                <w:sz w:val="21"/>
                <w:szCs w:val="21"/>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D327A57">
            <w:pPr>
              <w:pStyle w:val="9"/>
              <w:rPr>
                <w:rFonts w:hint="eastAsia"/>
                <w:sz w:val="21"/>
                <w:szCs w:val="21"/>
              </w:rPr>
            </w:pPr>
            <w:r>
              <w:rPr>
                <w:rFonts w:hint="eastAsia"/>
                <w:sz w:val="21"/>
                <w:szCs w:val="21"/>
              </w:rPr>
              <w:t>先服务后付款，取得环保主管部门的批复文件完成后付100%合同款。</w:t>
            </w:r>
          </w:p>
        </w:tc>
      </w:tr>
    </w:tbl>
    <w:p w14:paraId="3332D958">
      <w:pPr>
        <w:pStyle w:val="26"/>
        <w:rPr>
          <w:rFonts w:hint="eastAsia" w:ascii="宋体" w:hAnsi="宋体" w:cs="宋体"/>
        </w:rPr>
        <w:sectPr>
          <w:footerReference r:id="rId5" w:type="default"/>
          <w:pgSz w:w="11906" w:h="16838"/>
          <w:pgMar w:top="1240" w:right="1205" w:bottom="1111" w:left="1387" w:header="0" w:footer="894" w:gutter="0"/>
          <w:cols w:space="720" w:num="1"/>
        </w:sectPr>
      </w:pPr>
    </w:p>
    <w:p w14:paraId="5939049D">
      <w:pPr>
        <w:pStyle w:val="26"/>
        <w:rPr>
          <w:rFonts w:hint="eastAsia" w:ascii="宋体" w:hAnsi="宋体" w:cs="宋体"/>
        </w:rPr>
      </w:pPr>
    </w:p>
    <w:p w14:paraId="40C8D4EB">
      <w:pPr>
        <w:snapToGrid w:val="0"/>
        <w:spacing w:before="120" w:beforeLines="50" w:line="360" w:lineRule="auto"/>
        <w:jc w:val="center"/>
        <w:rPr>
          <w:rFonts w:hint="eastAsia" w:ascii="宋体" w:hAnsi="宋体" w:cs="宋体"/>
          <w:b/>
          <w:bCs/>
          <w:sz w:val="30"/>
          <w:szCs w:val="30"/>
        </w:rPr>
      </w:pPr>
      <w:r>
        <w:rPr>
          <w:rFonts w:hint="eastAsia" w:ascii="宋体" w:hAnsi="宋体" w:cs="宋体"/>
          <w:b/>
          <w:bCs/>
          <w:sz w:val="30"/>
          <w:szCs w:val="30"/>
        </w:rPr>
        <w:t>采购人对项目的特殊要求及说明</w:t>
      </w:r>
    </w:p>
    <w:tbl>
      <w:tblPr>
        <w:tblStyle w:val="35"/>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64E3A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739D0DF0">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6B2CB6D5">
            <w:pPr>
              <w:widowControl/>
              <w:snapToGrid w:val="0"/>
              <w:spacing w:line="360" w:lineRule="auto"/>
              <w:rPr>
                <w:rFonts w:hint="eastAsia" w:ascii="宋体" w:hAnsi="宋体" w:cs="宋体"/>
              </w:rPr>
            </w:pPr>
            <w:r>
              <w:rPr>
                <w:rFonts w:hint="eastAsia" w:ascii="宋体" w:hAnsi="宋体" w:cs="宋体"/>
              </w:rPr>
              <w:t>不接受联合体投标，不允许转包和分包。</w:t>
            </w:r>
          </w:p>
          <w:p w14:paraId="2D6EF2F4">
            <w:pPr>
              <w:widowControl/>
              <w:snapToGrid w:val="0"/>
              <w:spacing w:line="360" w:lineRule="auto"/>
              <w:rPr>
                <w:rFonts w:hint="eastAsia" w:ascii="宋体" w:hAnsi="宋体" w:cs="宋体"/>
              </w:rPr>
            </w:pPr>
            <w:r>
              <w:rPr>
                <w:rFonts w:hint="eastAsia" w:ascii="宋体" w:hAnsi="宋体" w:cs="宋体"/>
              </w:rPr>
              <w:t>2、授权磋商小组确定一名成交供应商并推荐一名成交候选供应商。</w:t>
            </w:r>
          </w:p>
          <w:p w14:paraId="146B51EF">
            <w:pPr>
              <w:widowControl/>
              <w:snapToGrid w:val="0"/>
              <w:spacing w:line="360" w:lineRule="auto"/>
              <w:rPr>
                <w:rFonts w:hint="eastAsia" w:ascii="宋体" w:hAnsi="宋体" w:cs="宋体"/>
              </w:rPr>
            </w:pPr>
            <w:r>
              <w:rPr>
                <w:rFonts w:hint="eastAsia" w:ascii="宋体" w:hAnsi="宋体" w:cs="宋体"/>
              </w:rPr>
              <w:t>3、供应商应根据采购文件的要求提供服务技术响应部分、商务响应部分等内容以对采购文件作出响应。</w:t>
            </w:r>
          </w:p>
          <w:p w14:paraId="743308C0">
            <w:pPr>
              <w:widowControl/>
              <w:snapToGrid w:val="0"/>
              <w:spacing w:line="360" w:lineRule="auto"/>
              <w:rPr>
                <w:rFonts w:hint="eastAsia" w:ascii="宋体" w:hAnsi="宋体" w:cs="宋体"/>
              </w:rPr>
            </w:pPr>
            <w:r>
              <w:rPr>
                <w:rFonts w:hint="eastAsia" w:ascii="宋体" w:hAnsi="宋体" w:cs="宋体"/>
              </w:rPr>
              <w:t>4、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0B845330">
      <w:pPr>
        <w:rPr>
          <w:rFonts w:hint="eastAsia" w:ascii="宋体" w:hAnsi="宋体" w:cs="宋体"/>
        </w:rPr>
      </w:pPr>
    </w:p>
    <w:p w14:paraId="6E780970">
      <w:pPr>
        <w:rPr>
          <w:rFonts w:hint="eastAsia" w:ascii="宋体" w:hAnsi="宋体" w:cs="宋体"/>
          <w:b/>
          <w:bCs/>
          <w:sz w:val="32"/>
          <w:szCs w:val="32"/>
        </w:rPr>
      </w:pPr>
      <w:r>
        <w:rPr>
          <w:rFonts w:hint="eastAsia" w:ascii="宋体" w:hAnsi="宋体" w:cs="宋体"/>
          <w:b/>
          <w:bCs/>
          <w:sz w:val="32"/>
          <w:szCs w:val="32"/>
        </w:rPr>
        <w:br w:type="page"/>
      </w:r>
    </w:p>
    <w:p w14:paraId="0E0F05F3">
      <w:pPr>
        <w:jc w:val="center"/>
        <w:outlineLvl w:val="0"/>
        <w:rPr>
          <w:rFonts w:hint="eastAsia" w:ascii="宋体" w:hAnsi="宋体" w:cs="宋体"/>
          <w:b/>
          <w:bCs/>
          <w:sz w:val="32"/>
          <w:szCs w:val="32"/>
        </w:rPr>
      </w:pPr>
      <w:bookmarkStart w:id="39" w:name="_Toc8501"/>
      <w:r>
        <w:rPr>
          <w:rFonts w:hint="eastAsia" w:ascii="宋体" w:hAnsi="宋体" w:cs="宋体"/>
          <w:b/>
          <w:bCs/>
          <w:sz w:val="32"/>
          <w:szCs w:val="32"/>
        </w:rPr>
        <w:t>第三章  供应商须知</w:t>
      </w:r>
      <w:bookmarkEnd w:id="39"/>
    </w:p>
    <w:p w14:paraId="71640348">
      <w:pPr>
        <w:snapToGrid w:val="0"/>
        <w:spacing w:before="120" w:beforeLines="50" w:line="360" w:lineRule="auto"/>
        <w:jc w:val="center"/>
        <w:outlineLvl w:val="1"/>
        <w:rPr>
          <w:rFonts w:hint="eastAsia" w:ascii="宋体" w:hAnsi="宋体" w:cs="宋体"/>
          <w:sz w:val="28"/>
          <w:szCs w:val="28"/>
        </w:rPr>
      </w:pPr>
      <w:r>
        <w:rPr>
          <w:rFonts w:hint="eastAsia" w:ascii="宋体" w:hAnsi="宋体" w:cs="宋体"/>
          <w:sz w:val="28"/>
          <w:szCs w:val="28"/>
        </w:rPr>
        <w:t>供应商须知前附表</w:t>
      </w:r>
    </w:p>
    <w:tbl>
      <w:tblPr>
        <w:tblStyle w:val="35"/>
        <w:tblW w:w="9840" w:type="dxa"/>
        <w:jc w:val="center"/>
        <w:tblLayout w:type="fixed"/>
        <w:tblCellMar>
          <w:top w:w="0" w:type="dxa"/>
          <w:left w:w="0" w:type="dxa"/>
          <w:bottom w:w="0" w:type="dxa"/>
          <w:right w:w="0" w:type="dxa"/>
        </w:tblCellMar>
      </w:tblPr>
      <w:tblGrid>
        <w:gridCol w:w="926"/>
        <w:gridCol w:w="8914"/>
      </w:tblGrid>
      <w:tr w14:paraId="7C6884ED">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4DED05A">
            <w:pPr>
              <w:widowControl/>
              <w:jc w:val="center"/>
              <w:rPr>
                <w:rFonts w:hint="eastAsia" w:ascii="宋体" w:hAnsi="宋体" w:cs="宋体"/>
                <w:kern w:val="0"/>
                <w:szCs w:val="21"/>
              </w:rPr>
            </w:pPr>
            <w:r>
              <w:rPr>
                <w:rFonts w:hint="eastAsia" w:ascii="宋体" w:hAnsi="宋体" w:cs="宋体"/>
                <w:kern w:val="0"/>
                <w:szCs w:val="21"/>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EBD574">
            <w:pPr>
              <w:widowControl/>
              <w:jc w:val="center"/>
              <w:rPr>
                <w:rFonts w:hint="eastAsia" w:ascii="宋体" w:hAnsi="宋体" w:cs="宋体"/>
                <w:kern w:val="0"/>
                <w:szCs w:val="21"/>
              </w:rPr>
            </w:pPr>
            <w:r>
              <w:rPr>
                <w:rFonts w:hint="eastAsia" w:ascii="宋体" w:hAnsi="宋体" w:cs="宋体"/>
                <w:kern w:val="0"/>
                <w:szCs w:val="21"/>
              </w:rPr>
              <w:t>内容、要求</w:t>
            </w:r>
          </w:p>
        </w:tc>
      </w:tr>
      <w:tr w14:paraId="062A089E">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0C0645E">
            <w:pPr>
              <w:widowControl/>
              <w:spacing w:line="460" w:lineRule="atLeast"/>
              <w:jc w:val="center"/>
              <w:rPr>
                <w:rFonts w:hint="eastAsia" w:ascii="宋体" w:hAnsi="宋体" w:cs="宋体"/>
                <w:kern w:val="0"/>
                <w:szCs w:val="21"/>
              </w:rPr>
            </w:pPr>
            <w:r>
              <w:rPr>
                <w:rFonts w:hint="eastAsia" w:ascii="宋体" w:hAnsi="宋体" w:cs="宋体"/>
                <w:kern w:val="0"/>
                <w:szCs w:val="21"/>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D7561E">
            <w:pPr>
              <w:widowControl/>
              <w:snapToGrid w:val="0"/>
              <w:spacing w:line="440" w:lineRule="exact"/>
              <w:jc w:val="left"/>
              <w:outlineLvl w:val="0"/>
              <w:rPr>
                <w:rFonts w:hint="eastAsia" w:ascii="宋体" w:hAnsi="宋体" w:cs="宋体"/>
              </w:rPr>
            </w:pPr>
            <w:bookmarkStart w:id="40" w:name="_Toc9566"/>
            <w:bookmarkStart w:id="41" w:name="_Toc27817"/>
            <w:bookmarkStart w:id="42" w:name="_Toc30169"/>
            <w:r>
              <w:rPr>
                <w:rFonts w:hint="eastAsia" w:ascii="宋体" w:hAnsi="宋体" w:cs="宋体"/>
              </w:rPr>
              <w:t>1.1项目名称：</w:t>
            </w:r>
            <w:bookmarkEnd w:id="40"/>
            <w:bookmarkEnd w:id="41"/>
            <w:bookmarkEnd w:id="42"/>
            <w:r>
              <w:rPr>
                <w:rFonts w:hint="eastAsia" w:ascii="宋体" w:hAnsi="宋体" w:cs="宋体"/>
              </w:rPr>
              <w:t>驻马店市中心医院DSA环评服务项目</w:t>
            </w:r>
          </w:p>
          <w:p w14:paraId="030FB34A">
            <w:pPr>
              <w:widowControl/>
              <w:snapToGrid w:val="0"/>
              <w:spacing w:line="440" w:lineRule="exact"/>
              <w:jc w:val="left"/>
              <w:outlineLvl w:val="0"/>
              <w:rPr>
                <w:rFonts w:hint="eastAsia" w:ascii="宋体" w:hAnsi="宋体" w:cs="宋体"/>
              </w:rPr>
            </w:pPr>
            <w:bookmarkStart w:id="43" w:name="_Toc28320"/>
            <w:bookmarkStart w:id="44" w:name="_Toc29400"/>
            <w:bookmarkStart w:id="45" w:name="_Toc23424"/>
            <w:r>
              <w:rPr>
                <w:rFonts w:hint="eastAsia" w:ascii="宋体" w:hAnsi="宋体" w:cs="宋体"/>
              </w:rPr>
              <w:t>1.2采购人名称：</w:t>
            </w:r>
            <w:bookmarkEnd w:id="43"/>
            <w:bookmarkEnd w:id="44"/>
            <w:bookmarkEnd w:id="45"/>
            <w:r>
              <w:rPr>
                <w:rFonts w:hint="eastAsia" w:ascii="宋体" w:hAnsi="宋体" w:cs="宋体"/>
              </w:rPr>
              <w:t>驻马店市中心医院</w:t>
            </w:r>
          </w:p>
          <w:p w14:paraId="0C5DD110">
            <w:pPr>
              <w:widowControl/>
              <w:snapToGrid w:val="0"/>
              <w:spacing w:line="440" w:lineRule="exact"/>
              <w:jc w:val="left"/>
              <w:outlineLvl w:val="0"/>
              <w:rPr>
                <w:rFonts w:hint="eastAsia" w:ascii="宋体" w:hAnsi="宋体" w:cs="宋体"/>
              </w:rPr>
            </w:pPr>
            <w:bookmarkStart w:id="46" w:name="_Toc24541"/>
            <w:bookmarkStart w:id="47" w:name="_Toc26199"/>
            <w:bookmarkStart w:id="48" w:name="_Toc3148"/>
            <w:r>
              <w:rPr>
                <w:rFonts w:hint="eastAsia" w:ascii="宋体" w:hAnsi="宋体" w:cs="宋体"/>
              </w:rPr>
              <w:t>1.3采购范围：详见第二章采购需求</w:t>
            </w:r>
            <w:bookmarkEnd w:id="46"/>
            <w:bookmarkEnd w:id="47"/>
            <w:bookmarkEnd w:id="48"/>
          </w:p>
        </w:tc>
      </w:tr>
      <w:tr w14:paraId="07CD108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599498B">
            <w:pPr>
              <w:widowControl/>
              <w:spacing w:line="460" w:lineRule="atLeast"/>
              <w:jc w:val="center"/>
              <w:rPr>
                <w:rFonts w:hint="eastAsia" w:ascii="宋体" w:hAnsi="宋体" w:cs="宋体"/>
                <w:kern w:val="0"/>
                <w:szCs w:val="21"/>
              </w:rPr>
            </w:pPr>
            <w:r>
              <w:rPr>
                <w:rFonts w:hint="eastAsia" w:ascii="宋体" w:hAnsi="宋体" w:cs="宋体"/>
                <w:kern w:val="0"/>
                <w:szCs w:val="21"/>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4A70DE6">
            <w:pPr>
              <w:widowControl/>
              <w:spacing w:line="440" w:lineRule="exact"/>
              <w:rPr>
                <w:rFonts w:hint="eastAsia" w:ascii="宋体" w:hAnsi="宋体" w:cs="宋体"/>
                <w:kern w:val="0"/>
                <w:szCs w:val="21"/>
              </w:rPr>
            </w:pPr>
            <w:r>
              <w:rPr>
                <w:rFonts w:hint="eastAsia" w:ascii="宋体" w:hAnsi="宋体" w:cs="宋体"/>
                <w:kern w:val="0"/>
                <w:szCs w:val="21"/>
              </w:rPr>
              <w:t>合格供应商：具备采购公告第二项规定的条件。</w:t>
            </w:r>
          </w:p>
        </w:tc>
      </w:tr>
      <w:tr w14:paraId="5669A8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1004BC2">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3673235">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采购预算：6万元；最高投标限价:6</w:t>
            </w:r>
            <w:r>
              <w:rPr>
                <w:rFonts w:hint="eastAsia" w:ascii="宋体" w:hAnsi="宋体" w:cs="宋体"/>
              </w:rPr>
              <w:t>万元。</w:t>
            </w:r>
          </w:p>
          <w:p w14:paraId="08FE0834">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3.1 本项目磋商</w:t>
            </w:r>
            <w:r>
              <w:rPr>
                <w:rFonts w:hint="eastAsia" w:ascii="宋体" w:hAnsi="宋体" w:cs="宋体"/>
                <w:color w:val="000000" w:themeColor="text1"/>
                <w:kern w:val="0"/>
                <w:szCs w:val="21"/>
                <w14:textFill>
                  <w14:solidFill>
                    <w14:schemeClr w14:val="tx1"/>
                  </w14:solidFill>
                </w14:textFill>
              </w:rPr>
              <w:t>以人民币报价</w:t>
            </w:r>
            <w:r>
              <w:rPr>
                <w:rFonts w:hint="eastAsia" w:ascii="宋体" w:hAnsi="宋体" w:cs="宋体"/>
                <w:kern w:val="0"/>
                <w:szCs w:val="21"/>
              </w:rPr>
              <w:t>。</w:t>
            </w:r>
          </w:p>
          <w:p w14:paraId="148D6A6A">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3.2 供应商的报价超过采购预算，采购人不能支付的，按废标处理。</w:t>
            </w:r>
          </w:p>
          <w:p w14:paraId="10382ED7">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3.3 本项目由成交供应商缴纳招标代理服务费。</w:t>
            </w:r>
          </w:p>
        </w:tc>
      </w:tr>
      <w:tr w14:paraId="72E6DEF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E7C9663">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CA2215D">
            <w:pPr>
              <w:widowControl/>
              <w:spacing w:line="440" w:lineRule="exact"/>
              <w:jc w:val="left"/>
              <w:rPr>
                <w:rFonts w:hint="eastAsia" w:ascii="宋体" w:hAnsi="宋体" w:cs="宋体"/>
                <w:kern w:val="0"/>
                <w:szCs w:val="21"/>
              </w:rPr>
            </w:pPr>
            <w:r>
              <w:rPr>
                <w:rFonts w:hint="eastAsia" w:ascii="宋体" w:hAnsi="宋体" w:cs="宋体"/>
                <w:kern w:val="0"/>
                <w:szCs w:val="21"/>
              </w:rPr>
              <w:t>现场踏勘或标前答疑：本项目不组织现场踏勘或标前答疑会。</w:t>
            </w:r>
          </w:p>
        </w:tc>
      </w:tr>
      <w:tr w14:paraId="45A0CE7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E04EFC5">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6F0F0A">
            <w:pPr>
              <w:widowControl/>
              <w:snapToGrid w:val="0"/>
              <w:spacing w:line="440" w:lineRule="exact"/>
              <w:jc w:val="left"/>
              <w:rPr>
                <w:rFonts w:hint="eastAsia" w:ascii="宋体" w:hAnsi="宋体" w:cs="宋体"/>
              </w:rPr>
            </w:pPr>
            <w:r>
              <w:rPr>
                <w:rFonts w:hint="eastAsia" w:ascii="宋体" w:hAnsi="宋体" w:cs="宋体"/>
              </w:rPr>
              <w:t>响应文件组成：纸质响应文件正本1份、副本2份。</w:t>
            </w:r>
          </w:p>
        </w:tc>
      </w:tr>
      <w:tr w14:paraId="0176A373">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51EAC23">
            <w:pPr>
              <w:widowControl/>
              <w:snapToGrid w:val="0"/>
              <w:jc w:val="center"/>
              <w:rPr>
                <w:rFonts w:hint="eastAsia" w:ascii="宋体" w:hAnsi="宋体" w:cs="宋体"/>
                <w:kern w:val="0"/>
                <w:szCs w:val="21"/>
              </w:rPr>
            </w:pPr>
            <w:r>
              <w:rPr>
                <w:rFonts w:hint="eastAsia" w:ascii="宋体" w:hAnsi="宋体" w:cs="宋体"/>
                <w:kern w:val="0"/>
                <w:szCs w:val="21"/>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4BE97ED">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磋商截止时间及开标时间：</w:t>
            </w:r>
            <w:r>
              <w:rPr>
                <w:rFonts w:hint="eastAsia" w:ascii="宋体" w:hAnsi="宋体" w:cs="宋体"/>
                <w:szCs w:val="21"/>
              </w:rPr>
              <w:t>另行通知</w:t>
            </w:r>
          </w:p>
          <w:p w14:paraId="5ED73770">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响应文件递交地点及开标地点：</w:t>
            </w:r>
            <w:r>
              <w:rPr>
                <w:rFonts w:hint="eastAsia" w:ascii="宋体" w:hAnsi="宋体" w:cs="宋体"/>
                <w:szCs w:val="21"/>
              </w:rPr>
              <w:t>另行通知</w:t>
            </w:r>
            <w:r>
              <w:rPr>
                <w:rFonts w:hint="eastAsia" w:ascii="宋体" w:hAnsi="宋体" w:cs="宋体"/>
                <w:kern w:val="0"/>
                <w:szCs w:val="21"/>
              </w:rPr>
              <w:t>。</w:t>
            </w:r>
          </w:p>
        </w:tc>
      </w:tr>
      <w:tr w14:paraId="35467D47">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F692B80">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0B6943C">
            <w:pPr>
              <w:spacing w:line="440" w:lineRule="exact"/>
              <w:rPr>
                <w:rFonts w:hint="eastAsia" w:ascii="宋体" w:hAnsi="宋体" w:cs="宋体"/>
                <w:szCs w:val="21"/>
              </w:rPr>
            </w:pPr>
            <w:r>
              <w:rPr>
                <w:rFonts w:hint="eastAsia" w:ascii="宋体" w:hAnsi="宋体" w:cs="宋体"/>
                <w:szCs w:val="21"/>
              </w:rPr>
              <w:t>磋商小组成</w:t>
            </w:r>
            <w:r>
              <w:rPr>
                <w:rFonts w:hint="eastAsia" w:ascii="宋体" w:hAnsi="宋体" w:cs="宋体"/>
                <w:kern w:val="0"/>
                <w:szCs w:val="21"/>
              </w:rPr>
              <w:t>员：</w:t>
            </w:r>
            <w:r>
              <w:rPr>
                <w:rFonts w:hint="eastAsia" w:ascii="宋体" w:hAnsi="宋体" w:cs="宋体"/>
                <w:szCs w:val="21"/>
              </w:rPr>
              <w:t>3</w:t>
            </w:r>
            <w:r>
              <w:rPr>
                <w:rFonts w:hint="eastAsia" w:ascii="宋体" w:hAnsi="宋体" w:cs="宋体"/>
              </w:rPr>
              <w:t>人及以上单数</w:t>
            </w:r>
            <w:r>
              <w:rPr>
                <w:rFonts w:hint="eastAsia" w:ascii="宋体" w:hAnsi="宋体" w:cs="宋体"/>
                <w:kern w:val="0"/>
                <w:szCs w:val="21"/>
              </w:rPr>
              <w:t>。</w:t>
            </w:r>
          </w:p>
          <w:p w14:paraId="376192B8">
            <w:pPr>
              <w:widowControl/>
              <w:spacing w:line="440" w:lineRule="exact"/>
              <w:jc w:val="left"/>
              <w:rPr>
                <w:rFonts w:hint="eastAsia" w:ascii="宋体" w:hAnsi="宋体" w:cs="宋体"/>
                <w:kern w:val="0"/>
                <w:szCs w:val="21"/>
              </w:rPr>
            </w:pPr>
            <w:r>
              <w:rPr>
                <w:rFonts w:hint="eastAsia" w:ascii="宋体" w:hAnsi="宋体" w:cs="宋体"/>
                <w:szCs w:val="21"/>
              </w:rPr>
              <w:t>专家确定方式</w:t>
            </w:r>
            <w:r>
              <w:rPr>
                <w:rFonts w:hint="eastAsia" w:ascii="宋体" w:hAnsi="宋体" w:cs="宋体"/>
                <w:color w:val="EE0000"/>
                <w:szCs w:val="21"/>
              </w:rPr>
              <w:t>：</w:t>
            </w:r>
            <w:r>
              <w:rPr>
                <w:rFonts w:hint="eastAsia" w:ascii="宋体" w:hAnsi="宋体" w:cs="宋体"/>
                <w:color w:val="EE0000"/>
                <w:kern w:val="0"/>
                <w:szCs w:val="21"/>
              </w:rPr>
              <w:t>由采购人代表和代理机构抽取相关的技术人员组成。</w:t>
            </w:r>
          </w:p>
        </w:tc>
      </w:tr>
      <w:tr w14:paraId="15BED6F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40DDDD">
            <w:pPr>
              <w:widowControl/>
              <w:jc w:val="center"/>
              <w:rPr>
                <w:rFonts w:hint="eastAsia" w:ascii="宋体" w:hAnsi="宋体" w:cs="宋体"/>
                <w:kern w:val="0"/>
                <w:szCs w:val="21"/>
              </w:rPr>
            </w:pPr>
            <w:r>
              <w:rPr>
                <w:rFonts w:hint="eastAsia" w:ascii="宋体" w:hAnsi="宋体" w:cs="宋体"/>
                <w:kern w:val="0"/>
                <w:szCs w:val="21"/>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F8C55A8">
            <w:pPr>
              <w:rPr>
                <w:rFonts w:hint="eastAsia" w:ascii="宋体" w:hAnsi="宋体" w:cs="宋体"/>
                <w:kern w:val="0"/>
                <w:szCs w:val="21"/>
              </w:rPr>
            </w:pPr>
            <w:r>
              <w:rPr>
                <w:rFonts w:hint="eastAsia" w:ascii="宋体" w:hAnsi="宋体" w:cs="宋体"/>
                <w:szCs w:val="21"/>
              </w:rPr>
              <w:t>评标办法：</w:t>
            </w:r>
            <w:r>
              <w:rPr>
                <w:rFonts w:hint="eastAsia" w:ascii="宋体" w:hAnsi="宋体" w:cs="宋体"/>
                <w:kern w:val="0"/>
                <w:szCs w:val="21"/>
              </w:rPr>
              <w:t>本项目采用</w:t>
            </w:r>
            <w:r>
              <w:rPr>
                <w:rFonts w:hint="eastAsia" w:ascii="宋体" w:hAnsi="宋体" w:cs="宋体"/>
                <w:szCs w:val="21"/>
              </w:rPr>
              <w:t>综合评分法</w:t>
            </w:r>
            <w:r>
              <w:rPr>
                <w:rFonts w:hint="eastAsia" w:ascii="宋体" w:hAnsi="宋体" w:cs="宋体"/>
                <w:kern w:val="0"/>
                <w:szCs w:val="21"/>
              </w:rPr>
              <w:t>。</w:t>
            </w:r>
          </w:p>
        </w:tc>
      </w:tr>
      <w:tr w14:paraId="0F7C2D2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54884E9">
            <w:pPr>
              <w:widowControl/>
              <w:spacing w:line="460" w:lineRule="atLeast"/>
              <w:jc w:val="center"/>
              <w:rPr>
                <w:rFonts w:hint="eastAsia" w:ascii="宋体" w:hAnsi="宋体" w:cs="宋体"/>
                <w:kern w:val="0"/>
                <w:szCs w:val="21"/>
              </w:rPr>
            </w:pPr>
            <w:r>
              <w:rPr>
                <w:rFonts w:hint="eastAsia" w:ascii="宋体" w:hAnsi="宋体" w:cs="宋体"/>
                <w:kern w:val="0"/>
                <w:szCs w:val="21"/>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1FC2AC">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成交公告及成交通知书：由采购人授权磋商小组确定一名成交供应商并推荐一名成交候选供应商。评审结束后在《驻马店市中心医院》官网上发布成交公告，公示期结束后向成交供应商发出成交通知书。</w:t>
            </w:r>
          </w:p>
        </w:tc>
      </w:tr>
      <w:tr w14:paraId="6A663A1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9DC335D">
            <w:pPr>
              <w:widowControl/>
              <w:spacing w:line="460" w:lineRule="atLeast"/>
              <w:jc w:val="center"/>
              <w:rPr>
                <w:rFonts w:hint="eastAsia" w:ascii="宋体" w:hAnsi="宋体" w:cs="宋体"/>
                <w:kern w:val="0"/>
                <w:szCs w:val="21"/>
              </w:rPr>
            </w:pPr>
            <w:r>
              <w:rPr>
                <w:rFonts w:hint="eastAsia" w:ascii="宋体" w:hAnsi="宋体" w:cs="宋体"/>
                <w:kern w:val="0"/>
                <w:szCs w:val="21"/>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AB5198">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签订合同：自成交通知书发出之日起30日内。</w:t>
            </w:r>
          </w:p>
        </w:tc>
      </w:tr>
      <w:tr w14:paraId="7112DB2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ED05B26">
            <w:pPr>
              <w:widowControl/>
              <w:spacing w:line="460" w:lineRule="atLeast"/>
              <w:jc w:val="center"/>
              <w:rPr>
                <w:rFonts w:hint="eastAsia" w:ascii="宋体" w:hAnsi="宋体" w:cs="宋体"/>
                <w:kern w:val="0"/>
                <w:szCs w:val="21"/>
              </w:rPr>
            </w:pPr>
            <w:r>
              <w:rPr>
                <w:rFonts w:hint="eastAsia" w:ascii="宋体" w:hAnsi="宋体" w:cs="宋体"/>
                <w:kern w:val="0"/>
                <w:szCs w:val="21"/>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A45C13B">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采购资金来源：自筹资金。</w:t>
            </w:r>
          </w:p>
        </w:tc>
      </w:tr>
      <w:tr w14:paraId="3FAF95A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B6E8EDB">
            <w:pPr>
              <w:widowControl/>
              <w:spacing w:line="460" w:lineRule="atLeast"/>
              <w:jc w:val="center"/>
              <w:rPr>
                <w:rFonts w:hint="eastAsia" w:ascii="宋体" w:hAnsi="宋体" w:cs="宋体"/>
                <w:kern w:val="0"/>
                <w:szCs w:val="21"/>
              </w:rPr>
            </w:pPr>
            <w:r>
              <w:rPr>
                <w:rFonts w:hint="eastAsia" w:ascii="宋体" w:hAnsi="宋体" w:cs="宋体"/>
                <w:kern w:val="0"/>
                <w:szCs w:val="21"/>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B6B552D">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付款方式：详见第二章采购需求。</w:t>
            </w:r>
          </w:p>
        </w:tc>
      </w:tr>
      <w:tr w14:paraId="331F2697">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E0D46F7">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E685203">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响应文件有效期：响应文件递交截止期结束后60日。成交供应商的响应文件是合同的组成部分,有效期至合同完全履行止。 </w:t>
            </w:r>
          </w:p>
        </w:tc>
      </w:tr>
      <w:tr w14:paraId="5F2A18A0">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D183F1A">
            <w:pPr>
              <w:widowControl/>
              <w:spacing w:line="460" w:lineRule="atLeast"/>
              <w:jc w:val="center"/>
              <w:rPr>
                <w:rFonts w:hint="eastAsia" w:ascii="宋体" w:hAnsi="宋体" w:cs="宋体"/>
                <w:kern w:val="0"/>
                <w:szCs w:val="21"/>
              </w:rPr>
            </w:pPr>
            <w:r>
              <w:rPr>
                <w:rFonts w:hint="eastAsia" w:ascii="宋体" w:hAnsi="宋体" w:cs="宋体"/>
                <w:kern w:val="0"/>
                <w:szCs w:val="21"/>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639B6E4">
            <w:pPr>
              <w:pStyle w:val="9"/>
              <w:widowControl w:val="0"/>
              <w:snapToGrid w:val="0"/>
              <w:spacing w:beforeAutospacing="0" w:afterAutospacing="0" w:line="360" w:lineRule="auto"/>
              <w:rPr>
                <w:rFonts w:hint="eastAsia"/>
                <w:szCs w:val="21"/>
              </w:rPr>
            </w:pPr>
            <w:r>
              <w:rPr>
                <w:rFonts w:hint="eastAsia"/>
                <w:kern w:val="2"/>
                <w:sz w:val="21"/>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A1485D7">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FF9D1F">
            <w:pPr>
              <w:widowControl/>
              <w:spacing w:line="460" w:lineRule="atLeast"/>
              <w:jc w:val="center"/>
              <w:rPr>
                <w:rFonts w:hint="eastAsia" w:ascii="宋体" w:hAnsi="宋体" w:cs="宋体"/>
                <w:kern w:val="0"/>
                <w:szCs w:val="21"/>
              </w:rPr>
            </w:pPr>
            <w:r>
              <w:rPr>
                <w:rFonts w:hint="eastAsia" w:ascii="宋体" w:hAnsi="宋体" w:cs="宋体"/>
                <w:kern w:val="0"/>
                <w:szCs w:val="21"/>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53B96CA">
            <w:pPr>
              <w:widowControl/>
              <w:spacing w:line="360" w:lineRule="auto"/>
              <w:jc w:val="left"/>
              <w:rPr>
                <w:rFonts w:hint="eastAsia" w:ascii="宋体" w:hAnsi="宋体" w:cs="宋体"/>
                <w:kern w:val="0"/>
                <w:szCs w:val="21"/>
              </w:rPr>
            </w:pPr>
            <w:r>
              <w:rPr>
                <w:rFonts w:hint="eastAsia" w:ascii="宋体" w:hAnsi="宋体" w:cs="宋体"/>
                <w:szCs w:val="21"/>
              </w:rPr>
              <w:t>商品包装和快递包装应符合《商品包装政府采购需求标准（试行）》和《快递包装政府采购需求标准（试行）》规定。</w:t>
            </w:r>
          </w:p>
        </w:tc>
      </w:tr>
      <w:tr w14:paraId="1067D632">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05F8DBC">
            <w:pPr>
              <w:widowControl/>
              <w:spacing w:line="460" w:lineRule="atLeast"/>
              <w:jc w:val="center"/>
              <w:rPr>
                <w:rFonts w:hint="eastAsia" w:ascii="宋体" w:hAnsi="宋体" w:cs="宋体"/>
                <w:kern w:val="0"/>
                <w:szCs w:val="21"/>
              </w:rPr>
            </w:pPr>
            <w:r>
              <w:rPr>
                <w:rFonts w:hint="eastAsia" w:ascii="宋体" w:hAnsi="宋体" w:cs="宋体"/>
                <w:kern w:val="0"/>
                <w:szCs w:val="21"/>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CCD05E3">
            <w:pPr>
              <w:widowControl/>
              <w:spacing w:line="360" w:lineRule="auto"/>
              <w:jc w:val="left"/>
              <w:rPr>
                <w:rFonts w:hint="eastAsia" w:ascii="宋体" w:hAnsi="宋体" w:cs="宋体"/>
                <w:szCs w:val="21"/>
              </w:rPr>
            </w:pPr>
            <w:r>
              <w:rPr>
                <w:rFonts w:hint="eastAsia" w:ascii="宋体" w:hAnsi="宋体" w:cs="宋体"/>
                <w:szCs w:val="21"/>
              </w:rPr>
              <w:t>在磋商过程中，磋商小组认为供应商的报价明显低于其他通过符合性审查供应商的报价，有可能影响产品质量或者不能诚信履约的，应当要求其在评标现场1小时内提供书面说明，必要时提交相关证明材料;供应商不能证明其报价合理性的，磋商小组应当将其作为无效处理。(供应商应自行衡量并准备相关证明材料)供应商书面说明应当签字确认或者加盖公章，否则无效。书面说明的签字确认，供应商为法人的，由其法定代表人或者代理人签字确认; 供应商为其他组织的，由其主要负责人或者代理人签字确认; 供应商为自然人的，由其本人或者代理人签字确认。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投标文件作为无效处理。</w:t>
            </w:r>
          </w:p>
        </w:tc>
      </w:tr>
      <w:tr w14:paraId="32F89C5E">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A910045">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7C45B8B">
            <w:pPr>
              <w:spacing w:line="360" w:lineRule="auto"/>
              <w:rPr>
                <w:rFonts w:hint="eastAsia" w:ascii="宋体" w:hAnsi="宋体" w:cs="宋体"/>
                <w:kern w:val="0"/>
                <w:szCs w:val="21"/>
              </w:rPr>
            </w:pPr>
            <w:r>
              <w:rPr>
                <w:rFonts w:hint="eastAsia" w:ascii="宋体" w:hAnsi="宋体" w:cs="宋体"/>
                <w:bCs/>
                <w:kern w:val="0"/>
                <w:szCs w:val="21"/>
              </w:rPr>
              <w:t>质疑和投诉：供应商认为采购文件使自己的合法权益受到损害的，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tc>
      </w:tr>
      <w:tr w14:paraId="52E2518D">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69396D2">
            <w:pPr>
              <w:widowControl/>
              <w:spacing w:line="460" w:lineRule="atLeast"/>
              <w:jc w:val="center"/>
              <w:rPr>
                <w:rFonts w:hint="eastAsia" w:ascii="宋体" w:hAnsi="宋体" w:cs="宋体"/>
                <w:kern w:val="0"/>
                <w:szCs w:val="21"/>
              </w:rPr>
            </w:pPr>
            <w:r>
              <w:rPr>
                <w:rFonts w:hint="eastAsia" w:ascii="宋体" w:hAnsi="宋体" w:cs="宋体"/>
                <w:kern w:val="0"/>
                <w:szCs w:val="21"/>
              </w:rPr>
              <w:t>18</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70DB381">
            <w:pPr>
              <w:widowControl/>
              <w:spacing w:line="360" w:lineRule="auto"/>
              <w:jc w:val="left"/>
              <w:textAlignment w:val="bottom"/>
              <w:rPr>
                <w:rFonts w:hint="eastAsia" w:ascii="宋体" w:hAnsi="宋体" w:cs="宋体"/>
              </w:rPr>
            </w:pPr>
            <w:r>
              <w:rPr>
                <w:rFonts w:hint="eastAsia" w:ascii="宋体" w:hAnsi="宋体" w:cs="宋体"/>
              </w:rPr>
              <w:t>解释：1、构成本采购文件的各个组成文件应互为解释，互为说明；如有不明确或不一致，构成合同文件组成内容的，以合同文件约定内容为准；除采购文件中有特殊规定外，仅适用于招标投标阶段的规定，按采购公告、供应商须知、评标办法、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13AC4511">
            <w:pPr>
              <w:widowControl/>
              <w:spacing w:line="360" w:lineRule="auto"/>
              <w:jc w:val="left"/>
              <w:textAlignment w:val="bottom"/>
              <w:rPr>
                <w:rFonts w:hint="eastAsia" w:ascii="宋体" w:hAnsi="宋体" w:cs="宋体"/>
                <w:kern w:val="0"/>
                <w:szCs w:val="21"/>
              </w:rPr>
            </w:pPr>
            <w:r>
              <w:rPr>
                <w:rFonts w:hint="eastAsia" w:ascii="宋体" w:hAnsi="宋体" w:cs="宋体"/>
              </w:rPr>
              <w:t>2、本采购文件解释权归采购人。</w:t>
            </w:r>
          </w:p>
        </w:tc>
      </w:tr>
    </w:tbl>
    <w:p w14:paraId="4F5F66CA">
      <w:pPr>
        <w:rPr>
          <w:rFonts w:hint="eastAsia" w:ascii="宋体" w:hAnsi="宋体" w:cs="宋体"/>
        </w:rPr>
      </w:pPr>
    </w:p>
    <w:p w14:paraId="19F721AF">
      <w:pPr>
        <w:snapToGrid w:val="0"/>
        <w:spacing w:line="360" w:lineRule="auto"/>
        <w:jc w:val="center"/>
        <w:outlineLvl w:val="1"/>
        <w:rPr>
          <w:rFonts w:hint="eastAsia" w:ascii="宋体" w:hAnsi="宋体" w:cs="宋体"/>
          <w:kern w:val="0"/>
          <w:sz w:val="24"/>
        </w:rPr>
      </w:pPr>
      <w:bookmarkStart w:id="49" w:name="_Toc4700"/>
      <w:bookmarkStart w:id="50" w:name="_Toc16669"/>
      <w:r>
        <w:rPr>
          <w:rFonts w:hint="eastAsia" w:ascii="宋体" w:hAnsi="宋体" w:cs="宋体"/>
          <w:b/>
          <w:bCs/>
          <w:kern w:val="0"/>
          <w:sz w:val="28"/>
          <w:szCs w:val="28"/>
        </w:rPr>
        <w:t>一 、说 明</w:t>
      </w:r>
    </w:p>
    <w:p w14:paraId="38D4094C">
      <w:pPr>
        <w:snapToGrid w:val="0"/>
        <w:spacing w:line="360" w:lineRule="auto"/>
        <w:ind w:firstLine="420"/>
        <w:jc w:val="left"/>
        <w:rPr>
          <w:rFonts w:hint="eastAsia" w:ascii="宋体" w:hAnsi="宋体" w:cs="宋体"/>
          <w:b/>
          <w:bCs/>
          <w:kern w:val="0"/>
          <w:szCs w:val="21"/>
        </w:rPr>
      </w:pPr>
      <w:r>
        <w:rPr>
          <w:rFonts w:hint="eastAsia" w:ascii="宋体" w:hAnsi="宋体" w:cs="宋体"/>
          <w:b/>
          <w:bCs/>
          <w:kern w:val="0"/>
          <w:szCs w:val="21"/>
        </w:rPr>
        <w:t>1.适用范围</w:t>
      </w:r>
    </w:p>
    <w:p w14:paraId="39757077">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本采购文件仅适用于采购公告中所叙述项目的服务采购。</w:t>
      </w:r>
    </w:p>
    <w:p w14:paraId="6968667C">
      <w:pPr>
        <w:snapToGrid w:val="0"/>
        <w:spacing w:line="360" w:lineRule="auto"/>
        <w:ind w:firstLine="420"/>
        <w:jc w:val="left"/>
        <w:rPr>
          <w:rFonts w:hint="eastAsia" w:ascii="宋体" w:hAnsi="宋体" w:cs="宋体"/>
          <w:b/>
          <w:bCs/>
          <w:kern w:val="0"/>
          <w:szCs w:val="21"/>
        </w:rPr>
      </w:pPr>
      <w:r>
        <w:rPr>
          <w:rFonts w:hint="eastAsia" w:ascii="宋体" w:hAnsi="宋体" w:cs="宋体"/>
          <w:b/>
          <w:bCs/>
          <w:kern w:val="0"/>
          <w:szCs w:val="21"/>
        </w:rPr>
        <w:t>2.定义</w:t>
      </w:r>
    </w:p>
    <w:p w14:paraId="65309A68">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2.1 “采购人”系指各级国家机关、事业单位、团体组织。</w:t>
      </w:r>
    </w:p>
    <w:p w14:paraId="14A06F2F">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2.2 “供应商”系指领取了本采购文件，且已经提交本次响应文件的供应商。</w:t>
      </w:r>
    </w:p>
    <w:p w14:paraId="69D62B06">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2.3 “供应商代表”系指代表供应商参加本次采购活动的供应商的法定代表人或其委托代理人。</w:t>
      </w:r>
    </w:p>
    <w:p w14:paraId="583D73E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2.4 “货物”系指供应商按采购文件规定向采购人提供的一切设备、机械、仪器仪表、备品备件、工具、手册及其它有关技术资料和材料。</w:t>
      </w:r>
    </w:p>
    <w:p w14:paraId="48951068">
      <w:pPr>
        <w:snapToGrid w:val="0"/>
        <w:spacing w:line="360" w:lineRule="auto"/>
        <w:ind w:firstLine="420"/>
        <w:jc w:val="left"/>
        <w:rPr>
          <w:rFonts w:hint="eastAsia" w:ascii="宋体" w:hAnsi="宋体" w:cs="宋体"/>
          <w:b/>
          <w:bCs/>
          <w:kern w:val="0"/>
          <w:szCs w:val="21"/>
        </w:rPr>
      </w:pPr>
      <w:r>
        <w:rPr>
          <w:rFonts w:hint="eastAsia" w:ascii="宋体" w:hAnsi="宋体" w:cs="宋体"/>
          <w:b/>
          <w:bCs/>
          <w:kern w:val="0"/>
          <w:szCs w:val="21"/>
        </w:rPr>
        <w:t>3.采购预算：6万元；最高投标限价:6万元；</w:t>
      </w:r>
    </w:p>
    <w:p w14:paraId="19A3404C">
      <w:pPr>
        <w:snapToGrid w:val="0"/>
        <w:spacing w:line="360" w:lineRule="auto"/>
        <w:ind w:firstLine="420"/>
        <w:jc w:val="left"/>
        <w:rPr>
          <w:rFonts w:hint="eastAsia" w:ascii="宋体" w:hAnsi="宋体" w:cs="宋体"/>
          <w:szCs w:val="21"/>
        </w:rPr>
      </w:pPr>
      <w:r>
        <w:rPr>
          <w:rFonts w:hint="eastAsia" w:ascii="宋体" w:hAnsi="宋体" w:cs="宋体"/>
          <w:b/>
          <w:bCs/>
          <w:kern w:val="0"/>
          <w:szCs w:val="21"/>
        </w:rPr>
        <w:t>4.供应商应提交的证明文件</w:t>
      </w:r>
    </w:p>
    <w:p w14:paraId="682643DA">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4.1.满足《中华人民共和国政府采购法》第二十二条规定；</w:t>
      </w:r>
    </w:p>
    <w:p w14:paraId="1F05FC55">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4.1.1具有独立承担民事责任的能力（提供营业执照或其他证明材料）；</w:t>
      </w:r>
    </w:p>
    <w:p w14:paraId="43ADFF34">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4.1.2具有良好的商业信誉和健全的财务会计制度（供应商应提供2023年或2024年度经审计的财务报告或者其基本开户银行出具的资信证明）；</w:t>
      </w:r>
    </w:p>
    <w:p w14:paraId="4634F82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rPr>
      </w:pPr>
      <w:r>
        <w:rPr>
          <w:rFonts w:hint="eastAsia" w:ascii="宋体" w:hAnsi="宋体" w:cs="宋体"/>
          <w:color w:val="auto"/>
          <w:szCs w:val="21"/>
          <w:highlight w:val="none"/>
          <w:shd w:val="clear" w:color="auto" w:fill="FFFFFF"/>
          <w:lang w:val="en-US" w:eastAsia="zh-CN"/>
        </w:rPr>
        <w:t>4.1.3</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5243BD2">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4.1.</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具有履行合同所必需的设备和专业技术能力（提供书面承诺函）；</w:t>
      </w:r>
    </w:p>
    <w:p w14:paraId="5A17972B">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4.1.</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有依法缴纳税收和社会保障资金的良好记录（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560F2915">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4.1.</w:t>
      </w:r>
      <w:r>
        <w:rPr>
          <w:rFonts w:hint="eastAsia" w:ascii="宋体" w:hAnsi="宋体" w:cs="宋体"/>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查询渠道：“信用中国”网站、中国政府采购网，供应商提供的仅做为信用参考，以采购人或采购代理机构查询结果为准）</w:t>
      </w:r>
      <w:r>
        <w:rPr>
          <w:rFonts w:hint="eastAsia" w:ascii="宋体" w:hAnsi="宋体" w:cs="宋体"/>
          <w:color w:val="auto"/>
          <w:szCs w:val="21"/>
          <w:highlight w:val="none"/>
          <w:shd w:val="clear" w:color="auto" w:fill="FFFFFF"/>
          <w:lang w:val="en-US" w:eastAsia="zh-CN"/>
        </w:rPr>
        <w:t>。</w:t>
      </w:r>
    </w:p>
    <w:p w14:paraId="09362301">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4.</w:t>
      </w:r>
      <w:r>
        <w:rPr>
          <w:rFonts w:hint="eastAsia" w:ascii="宋体" w:hAnsi="宋体" w:cs="宋体"/>
          <w:szCs w:val="21"/>
          <w:highlight w:val="none"/>
          <w:shd w:val="clear" w:color="auto" w:fill="FFFFFF"/>
          <w:lang w:val="en-US" w:eastAsia="zh-CN"/>
        </w:rPr>
        <w:t>2</w:t>
      </w:r>
      <w:r>
        <w:rPr>
          <w:rFonts w:hint="eastAsia" w:ascii="宋体" w:hAnsi="宋体" w:cs="宋体"/>
          <w:szCs w:val="21"/>
          <w:highlight w:val="none"/>
          <w:shd w:val="clear" w:color="auto" w:fill="FFFFFF"/>
        </w:rPr>
        <w:t>.单位负责人为同一人或者存在直接控股、管理关系的不同供应商，不得参加同一合同项下的政府采购活动</w:t>
      </w:r>
      <w:r>
        <w:rPr>
          <w:rFonts w:hint="eastAsia" w:ascii="宋体" w:hAnsi="宋体" w:cs="宋体"/>
          <w:szCs w:val="21"/>
          <w:highlight w:val="none"/>
          <w:shd w:val="clear" w:color="auto" w:fill="FFFFFF"/>
          <w:lang w:eastAsia="zh-CN"/>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w:t>
      </w:r>
      <w:r>
        <w:rPr>
          <w:rFonts w:hint="eastAsia" w:ascii="宋体" w:hAnsi="宋体" w:cs="宋体"/>
          <w:color w:val="000000" w:themeColor="text1"/>
          <w:kern w:val="0"/>
          <w:szCs w:val="21"/>
          <w:highlight w:val="none"/>
          <w:lang w:val="en-US" w:eastAsia="zh-CN"/>
          <w14:textFill>
            <w14:solidFill>
              <w14:schemeClr w14:val="tx1"/>
            </w14:solidFill>
          </w14:textFill>
        </w:rPr>
        <w:t>并加盖公章</w:t>
      </w:r>
      <w:r>
        <w:rPr>
          <w:rFonts w:hint="eastAsia" w:ascii="宋体" w:hAnsi="宋体" w:eastAsia="宋体" w:cs="宋体"/>
          <w:color w:val="000000" w:themeColor="text1"/>
          <w:kern w:val="0"/>
          <w:szCs w:val="21"/>
          <w:highlight w:val="none"/>
          <w:lang w:val="en-US" w:eastAsia="zh-CN"/>
          <w14:textFill>
            <w14:solidFill>
              <w14:schemeClr w14:val="tx1"/>
            </w14:solidFill>
          </w14:textFill>
        </w:rPr>
        <w:t>（需包含公司基本信息、股东信息及股权变更信息）或提供承诺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14:paraId="7CE9A0F2">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highlight w:val="none"/>
          <w:shd w:val="clear" w:color="auto" w:fill="FFFFFF"/>
        </w:rPr>
        <w:t>4.</w:t>
      </w:r>
      <w:r>
        <w:rPr>
          <w:rFonts w:hint="eastAsia" w:ascii="宋体" w:hAnsi="宋体" w:cs="宋体"/>
          <w:szCs w:val="21"/>
          <w:highlight w:val="none"/>
          <w:shd w:val="clear" w:color="auto" w:fill="FFFFFF"/>
          <w:lang w:val="en-US" w:eastAsia="zh-CN"/>
        </w:rPr>
        <w:t>3</w:t>
      </w:r>
      <w:r>
        <w:rPr>
          <w:rFonts w:hint="eastAsia" w:ascii="宋体" w:hAnsi="宋体" w:cs="宋体"/>
          <w:szCs w:val="21"/>
          <w:highlight w:val="none"/>
          <w:shd w:val="clear" w:color="auto" w:fill="FFFFFF"/>
        </w:rPr>
        <w:t>.其他特定资格要求：在环境影响评价信用平台备案，具备</w:t>
      </w:r>
      <w:r>
        <w:rPr>
          <w:rFonts w:hint="eastAsia" w:ascii="宋体" w:hAnsi="宋体" w:cs="宋体"/>
          <w:szCs w:val="21"/>
          <w:shd w:val="clear" w:color="auto" w:fill="FFFFFF"/>
        </w:rPr>
        <w:t>核与辐射影响评价资质；具有有效期内的CMA认证,并提供加盖公章的能力附表，并通过验证认监委官网查询。</w:t>
      </w:r>
    </w:p>
    <w:p w14:paraId="05D04080">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5.投标费用</w:t>
      </w:r>
    </w:p>
    <w:p w14:paraId="21473143">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不论投标结果如何，供应商均应自行承担所有与投标有关的全部费用。</w:t>
      </w:r>
    </w:p>
    <w:p w14:paraId="4339AB1C">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6.联合体投标：本项目不接受联合体投标。</w:t>
      </w:r>
    </w:p>
    <w:p w14:paraId="16662DDC">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7.关联企业投标</w:t>
      </w:r>
    </w:p>
    <w:p w14:paraId="68FA1ED8">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7.1 本采购文件所称关联企业,是指存在关联关系的企业。“关联关系”的界定适用《中华人民共和国公司法》第二百一十六条、《中华人民共和国政府采购法实施条例》第十八条之规定。</w:t>
      </w:r>
    </w:p>
    <w:p w14:paraId="5E7E4113">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p>
    <w:p w14:paraId="2C93525E">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7.3 为采购项目提供整体设计、规范编制或者项目管理、监理、检测等服务的供应商，不得再参加该采购项目的投标活动。</w:t>
      </w:r>
    </w:p>
    <w:p w14:paraId="2ACB992C">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8.转包与分包</w:t>
      </w:r>
    </w:p>
    <w:p w14:paraId="5FBFE93A">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8.1本项目不允许采取转包方式履行合同。</w:t>
      </w:r>
    </w:p>
    <w:p w14:paraId="60633168">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8.2本项目不允许采取分包方式履行合同。</w:t>
      </w:r>
    </w:p>
    <w:p w14:paraId="586B4CBB">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9.特别说明：</w:t>
      </w:r>
    </w:p>
    <w:p w14:paraId="276B75A1">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9.1 供应商投标所使用的资格、信誉、荣誉、业绩与企业认证必须为本法人所拥有。  </w:t>
      </w:r>
    </w:p>
    <w:p w14:paraId="608C7734">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9.2 供应商代表只能接受一个供应商的委托参加投标。</w:t>
      </w:r>
    </w:p>
    <w:p w14:paraId="07C5FE4E">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9.3 《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1A2DE532">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9.4供应商在投标活动中提供虚假材料或从事其他违法活动的,其投标无效，由相关部门查处。</w:t>
      </w:r>
    </w:p>
    <w:p w14:paraId="5A1C0916">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10.质疑和投诉</w:t>
      </w:r>
    </w:p>
    <w:p w14:paraId="009584FC">
      <w:pPr>
        <w:snapToGrid w:val="0"/>
        <w:spacing w:line="360" w:lineRule="auto"/>
        <w:ind w:firstLine="411" w:firstLineChars="196"/>
        <w:jc w:val="left"/>
        <w:rPr>
          <w:rFonts w:hint="eastAsia" w:ascii="宋体" w:hAnsi="宋体" w:cs="宋体"/>
          <w:kern w:val="0"/>
          <w:szCs w:val="21"/>
        </w:rPr>
      </w:pPr>
      <w:r>
        <w:rPr>
          <w:rFonts w:hint="eastAsia" w:ascii="宋体" w:hAnsi="宋体" w:cs="宋体"/>
          <w:kern w:val="0"/>
          <w:szCs w:val="21"/>
        </w:rPr>
        <w:t xml:space="preserve">10.1 </w:t>
      </w:r>
      <w:r>
        <w:rPr>
          <w:rFonts w:hint="eastAsia" w:ascii="宋体" w:hAnsi="宋体" w:cs="宋体"/>
          <w:bCs/>
          <w:kern w:val="0"/>
          <w:szCs w:val="21"/>
        </w:rPr>
        <w:t>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p w14:paraId="031B71EC">
      <w:pPr>
        <w:shd w:val="clear" w:color="auto" w:fill="FFFFFF"/>
        <w:snapToGrid w:val="0"/>
        <w:spacing w:line="360" w:lineRule="auto"/>
        <w:ind w:firstLine="480"/>
        <w:jc w:val="left"/>
        <w:rPr>
          <w:rFonts w:hint="eastAsia" w:ascii="宋体" w:hAnsi="宋体" w:cs="宋体"/>
          <w:kern w:val="0"/>
          <w:szCs w:val="21"/>
        </w:rPr>
      </w:pPr>
      <w:r>
        <w:rPr>
          <w:rFonts w:hint="eastAsia" w:ascii="宋体" w:hAnsi="宋体" w:cs="宋体"/>
          <w:kern w:val="0"/>
          <w:szCs w:val="21"/>
        </w:rPr>
        <w:t xml:space="preserve">10.2 </w:t>
      </w:r>
      <w:r>
        <w:rPr>
          <w:rFonts w:hint="eastAsia" w:ascii="宋体" w:hAnsi="宋体" w:cs="宋体"/>
          <w:bCs/>
          <w:kern w:val="0"/>
          <w:szCs w:val="21"/>
        </w:rPr>
        <w:t>质疑、投诉应当采用书面形式，质疑书、投诉书均应明确阐述采购文件、磋商过程和成交结果中使自己合法权益受到损害的实质性内容，提供相关事实、依据和证据及其来源或线索，便于有关单位调查、答复和处理。</w:t>
      </w:r>
    </w:p>
    <w:p w14:paraId="4EEE0AF4">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11.供应商的风险</w:t>
      </w:r>
    </w:p>
    <w:p w14:paraId="1D271C07">
      <w:pPr>
        <w:snapToGrid w:val="0"/>
        <w:spacing w:line="360" w:lineRule="auto"/>
        <w:ind w:firstLine="480"/>
        <w:jc w:val="left"/>
        <w:rPr>
          <w:rFonts w:hint="eastAsia" w:ascii="宋体" w:hAnsi="宋体" w:cs="宋体"/>
          <w:kern w:val="0"/>
          <w:sz w:val="24"/>
        </w:rPr>
      </w:pPr>
      <w:r>
        <w:rPr>
          <w:rFonts w:hint="eastAsia" w:ascii="宋体" w:hAnsi="宋体" w:cs="宋体"/>
          <w:kern w:val="0"/>
          <w:szCs w:val="21"/>
        </w:rPr>
        <w:t>供应商没有按照采购文件要求提供全部资料，或者供应商没有对采购文件在各方面都作出实质性响应是供应商的风险，并可能导致其投标被拒绝。</w:t>
      </w:r>
    </w:p>
    <w:p w14:paraId="006AFA8F">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二、采购文件</w:t>
      </w:r>
    </w:p>
    <w:p w14:paraId="231AF467">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12.采购文件的构成。本采购文件由以下部分组成：</w:t>
      </w:r>
    </w:p>
    <w:p w14:paraId="5C1ECC97">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12.1 竞争性磋商公告</w:t>
      </w:r>
    </w:p>
    <w:p w14:paraId="249B928A">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12.2 采购需求</w:t>
      </w:r>
    </w:p>
    <w:p w14:paraId="7F517379">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12.3 供应商须知</w:t>
      </w:r>
    </w:p>
    <w:p w14:paraId="72C7E3C3">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12.4 评标办法</w:t>
      </w:r>
    </w:p>
    <w:p w14:paraId="7979A4F3">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12.5 合同主要条款</w:t>
      </w:r>
    </w:p>
    <w:p w14:paraId="4AB9FAE2">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12.6 响应文件格式</w:t>
      </w:r>
    </w:p>
    <w:p w14:paraId="5BDA8CA3">
      <w:pPr>
        <w:snapToGrid w:val="0"/>
        <w:spacing w:line="360" w:lineRule="auto"/>
        <w:ind w:firstLine="417" w:firstLineChars="198"/>
        <w:rPr>
          <w:rFonts w:hint="eastAsia" w:ascii="宋体" w:hAnsi="宋体" w:cs="宋体"/>
          <w:b/>
          <w:bCs/>
          <w:kern w:val="0"/>
          <w:szCs w:val="21"/>
        </w:rPr>
      </w:pPr>
      <w:r>
        <w:rPr>
          <w:rFonts w:hint="eastAsia" w:ascii="宋体" w:hAnsi="宋体" w:cs="宋体"/>
          <w:b/>
          <w:bCs/>
          <w:kern w:val="0"/>
          <w:szCs w:val="21"/>
        </w:rPr>
        <w:t>13.采购文件的澄清与修改</w:t>
      </w:r>
    </w:p>
    <w:p w14:paraId="6A522F91">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13.1 采购人对已发出的采购文件进行必要澄清、修改或补充的，应当在采购文件要求提交响应文件截止时间3</w:t>
      </w:r>
      <w:r>
        <w:rPr>
          <w:rFonts w:hint="eastAsia" w:ascii="宋体" w:hAnsi="宋体" w:cs="宋体"/>
          <w:bCs/>
          <w:kern w:val="0"/>
          <w:szCs w:val="21"/>
        </w:rPr>
        <w:t>日</w:t>
      </w:r>
      <w:r>
        <w:rPr>
          <w:rFonts w:hint="eastAsia" w:ascii="宋体" w:hAnsi="宋体" w:cs="宋体"/>
          <w:kern w:val="0"/>
          <w:szCs w:val="21"/>
        </w:rPr>
        <w:t>前，在原采购公告发布相关媒体上发布更正公告或变更公告。采购文件公示期间对采购文件进行的澄清、修改或补充不受上述限制。</w:t>
      </w:r>
    </w:p>
    <w:p w14:paraId="6DF7AC28">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13.2 采购文件澄清、修改或补充的内容为采购文件的组成部分。</w:t>
      </w:r>
    </w:p>
    <w:p w14:paraId="51947C9B">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13.3 采购文件的澄清、修改或补充都应以法定形式发布。采购人未对采购文件进行的澄清、修改或补充无效，评标时不予认可。</w:t>
      </w:r>
    </w:p>
    <w:p w14:paraId="487D2CBC">
      <w:pPr>
        <w:snapToGrid w:val="0"/>
        <w:spacing w:line="360" w:lineRule="auto"/>
        <w:ind w:firstLine="480"/>
        <w:jc w:val="left"/>
        <w:rPr>
          <w:rFonts w:hint="eastAsia" w:ascii="宋体" w:hAnsi="宋体" w:cs="宋体"/>
          <w:kern w:val="0"/>
          <w:sz w:val="24"/>
        </w:rPr>
      </w:pPr>
      <w:r>
        <w:rPr>
          <w:rFonts w:hint="eastAsia" w:ascii="宋体" w:hAnsi="宋体" w:cs="宋体"/>
          <w:kern w:val="0"/>
          <w:szCs w:val="21"/>
        </w:rPr>
        <w:t>13.4 </w:t>
      </w:r>
      <w:r>
        <w:rPr>
          <w:rFonts w:hint="eastAsia" w:ascii="宋体" w:hAnsi="宋体" w:cs="宋体"/>
          <w:bCs/>
          <w:kern w:val="0"/>
          <w:szCs w:val="21"/>
        </w:rPr>
        <w:t>采购人</w:t>
      </w:r>
      <w:r>
        <w:rPr>
          <w:rFonts w:hint="eastAsia" w:ascii="宋体" w:hAnsi="宋体" w:cs="宋体"/>
          <w:kern w:val="0"/>
          <w:szCs w:val="21"/>
        </w:rPr>
        <w:t>可以视采购具体情况延长磋商截止时间和磋商时间，但至少应当在采购文件要求提交响应文件的截止时间3</w:t>
      </w:r>
      <w:r>
        <w:rPr>
          <w:rFonts w:hint="eastAsia" w:ascii="宋体" w:hAnsi="宋体" w:cs="宋体"/>
          <w:bCs/>
          <w:kern w:val="0"/>
          <w:szCs w:val="21"/>
        </w:rPr>
        <w:t>日</w:t>
      </w:r>
      <w:r>
        <w:rPr>
          <w:rFonts w:hint="eastAsia" w:ascii="宋体" w:hAnsi="宋体" w:cs="宋体"/>
          <w:kern w:val="0"/>
          <w:szCs w:val="21"/>
        </w:rPr>
        <w:t>前，将变更时间通知所有潜在供应商。</w:t>
      </w:r>
    </w:p>
    <w:p w14:paraId="052A0DC1">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三、响应文件的编制</w:t>
      </w:r>
    </w:p>
    <w:p w14:paraId="395E5658">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14.要求</w:t>
      </w:r>
    </w:p>
    <w:p w14:paraId="73232E67">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14.1 供应商应仔细阅读采购文件的所有内容，按照采购文件提供的格式编写响应文件，不得缺少或留空任何采购文件要求填写的表格或提交的资料。采购文件提供格式的按格式填列，未提供格式的可自行拟定。响应文件应对采购文件的要求作出实质性响应（包括供应商资格要求、技术要求、商务要求和响应文件格式中对磋商的要求），供应商对所提供的全部资料的合法性、真实性负责。</w:t>
      </w:r>
    </w:p>
    <w:p w14:paraId="27B82DB7">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14.2 供应商应完整签署响应文件格式附件中《竞争性磋商响应书》和《抵制商业贿赂承诺》，不得增减或修改内容。否则视为对采购文件未作出实质性响应。</w:t>
      </w:r>
    </w:p>
    <w:p w14:paraId="5FBE888A">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15.响应文件的语言和计量单位</w:t>
      </w:r>
    </w:p>
    <w:p w14:paraId="2B8905C7">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15.1 响应文件以及供应商与采购人就有关磋商事宜的所有来往函电均应使用简体中文书写。</w:t>
      </w:r>
    </w:p>
    <w:p w14:paraId="42AF6F7F">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15.2 关于磋商计量单位，采购文件已有明确规定的，使用采购文件规定的计量单位；采购文件没有规定的，应采用中华人民共和国法定计量单位。否则视为对采购文件未作出实质性响应。</w:t>
      </w:r>
    </w:p>
    <w:p w14:paraId="5F552A8F">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15.3 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614E9E77">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16.响应文件的组成</w:t>
      </w:r>
      <w:r>
        <w:rPr>
          <w:rFonts w:hint="eastAsia" w:ascii="宋体" w:hAnsi="宋体" w:cs="宋体"/>
          <w:kern w:val="0"/>
          <w:szCs w:val="21"/>
        </w:rPr>
        <w:t>。</w:t>
      </w:r>
      <w:r>
        <w:rPr>
          <w:rFonts w:hint="eastAsia" w:ascii="宋体" w:hAnsi="宋体" w:cs="宋体"/>
          <w:b/>
          <w:bCs/>
          <w:kern w:val="0"/>
          <w:szCs w:val="21"/>
        </w:rPr>
        <w:t>响应文件应包括下列部分：</w:t>
      </w:r>
    </w:p>
    <w:p w14:paraId="2022385D">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16.1、竞争性磋商响应书及初次报价一览表</w:t>
      </w:r>
    </w:p>
    <w:p w14:paraId="5BD9084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16.2、报价明细表</w:t>
      </w:r>
    </w:p>
    <w:p w14:paraId="30203483">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16.3、服务响应表</w:t>
      </w:r>
    </w:p>
    <w:p w14:paraId="5E8B4474">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16.4、商务响应表</w:t>
      </w:r>
    </w:p>
    <w:p w14:paraId="1FCDFF31">
      <w:pPr>
        <w:snapToGrid w:val="0"/>
        <w:spacing w:line="360" w:lineRule="auto"/>
        <w:ind w:left="208" w:leftChars="99" w:firstLine="210" w:firstLineChars="100"/>
        <w:jc w:val="left"/>
        <w:rPr>
          <w:rFonts w:hint="eastAsia" w:ascii="宋体" w:hAnsi="宋体" w:cs="宋体"/>
          <w:kern w:val="0"/>
          <w:szCs w:val="21"/>
        </w:rPr>
      </w:pPr>
      <w:r>
        <w:rPr>
          <w:rFonts w:hint="eastAsia" w:ascii="宋体" w:hAnsi="宋体" w:cs="宋体"/>
          <w:kern w:val="0"/>
          <w:szCs w:val="21"/>
        </w:rPr>
        <w:t>16.5、法定代表人身份证明</w:t>
      </w:r>
    </w:p>
    <w:p w14:paraId="3CC3C79A">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16.6、法定代表人授权书</w:t>
      </w:r>
    </w:p>
    <w:p w14:paraId="3DCD3FC1">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16.7、证明文件</w:t>
      </w:r>
    </w:p>
    <w:p w14:paraId="06139CAB">
      <w:pPr>
        <w:snapToGrid w:val="0"/>
        <w:spacing w:line="360" w:lineRule="auto"/>
        <w:ind w:firstLine="420"/>
        <w:rPr>
          <w:rFonts w:hint="eastAsia" w:ascii="宋体" w:hAnsi="宋体" w:cs="宋体"/>
          <w:kern w:val="0"/>
          <w:szCs w:val="21"/>
        </w:rPr>
      </w:pPr>
      <w:r>
        <w:rPr>
          <w:rFonts w:hint="eastAsia" w:ascii="宋体" w:hAnsi="宋体" w:cs="宋体"/>
          <w:kern w:val="0"/>
          <w:szCs w:val="21"/>
        </w:rPr>
        <w:t>16.8、供应商承诺书</w:t>
      </w:r>
    </w:p>
    <w:p w14:paraId="396DFF86">
      <w:pPr>
        <w:pStyle w:val="8"/>
        <w:widowControl w:val="0"/>
        <w:snapToGrid w:val="0"/>
        <w:spacing w:beforeAutospacing="0" w:afterAutospacing="0" w:line="360" w:lineRule="auto"/>
        <w:rPr>
          <w:rFonts w:hint="eastAsia"/>
          <w:sz w:val="21"/>
          <w:szCs w:val="21"/>
        </w:rPr>
      </w:pPr>
      <w:r>
        <w:rPr>
          <w:rFonts w:hint="eastAsia"/>
          <w:sz w:val="21"/>
          <w:szCs w:val="21"/>
        </w:rPr>
        <w:t>16.9、供应商信用承诺函</w:t>
      </w:r>
    </w:p>
    <w:p w14:paraId="4BF08262">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17.响应文件有效期</w:t>
      </w:r>
    </w:p>
    <w:p w14:paraId="64C6C71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17.1 响应文件从采购公告所规定的投标截止期之后开始生效，在</w:t>
      </w:r>
      <w:r>
        <w:rPr>
          <w:rFonts w:hint="eastAsia" w:ascii="宋体" w:hAnsi="宋体" w:cs="宋体"/>
          <w:bCs/>
          <w:kern w:val="0"/>
          <w:szCs w:val="21"/>
        </w:rPr>
        <w:t>供应商须知前附表</w:t>
      </w:r>
      <w:r>
        <w:rPr>
          <w:rFonts w:hint="eastAsia" w:ascii="宋体" w:hAnsi="宋体" w:cs="宋体"/>
          <w:kern w:val="0"/>
          <w:szCs w:val="21"/>
        </w:rPr>
        <w:t>第13项所规定的期限内保持有效。有效期不足将导致其响应文件被拒绝。成交供应商的响应文件有效期至合同完全履行止。</w:t>
      </w:r>
    </w:p>
    <w:p w14:paraId="38D17163">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17.2特殊情况下采购人可于投标有效期满之前书面要求供应商同意延长有效期，供应商应在采购人规定的期限内以书面形式予以答复。供应商可以拒绝上述要求。供应商答复不明确或者逾期未答复的，均视为拒绝上述要求。对于接受该要求的供应商，既不要求也不允许其修改响应文件。</w:t>
      </w:r>
    </w:p>
    <w:p w14:paraId="55F7B23D">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18.投标报价</w:t>
      </w:r>
    </w:p>
    <w:p w14:paraId="1A7DAEBF">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18.1 所有磋商报价均以人民币元为计算单位。</w:t>
      </w:r>
    </w:p>
    <w:p w14:paraId="62A58E08">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18.2 供应商要按初次报价一览表的内容填写。</w:t>
      </w:r>
    </w:p>
    <w:p w14:paraId="0446AF0A">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18.3 </w:t>
      </w:r>
      <w:r>
        <w:rPr>
          <w:rFonts w:hint="eastAsia" w:ascii="宋体" w:hAnsi="宋体" w:cs="宋体"/>
          <w:spacing w:val="10"/>
          <w:kern w:val="0"/>
          <w:szCs w:val="21"/>
        </w:rPr>
        <w:t>供应商投报多标包的，应对每标包分别报价并分别填报</w:t>
      </w:r>
      <w:r>
        <w:rPr>
          <w:rFonts w:hint="eastAsia" w:ascii="宋体" w:hAnsi="宋体" w:cs="宋体"/>
          <w:kern w:val="0"/>
          <w:szCs w:val="21"/>
        </w:rPr>
        <w:t>初次报价一览表</w:t>
      </w:r>
      <w:r>
        <w:rPr>
          <w:rFonts w:hint="eastAsia" w:ascii="宋体" w:hAnsi="宋体" w:cs="宋体"/>
          <w:spacing w:val="10"/>
          <w:kern w:val="0"/>
          <w:szCs w:val="21"/>
        </w:rPr>
        <w:t>。</w:t>
      </w:r>
    </w:p>
    <w:p w14:paraId="26B5B5DA">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18.4 初次报价一览表中标明的价格在政府采购合同执行过程中是固定不变的，供应商不得以任何理由予以变更。以可调整的价格提交的投标将被作为无效投标处理。</w:t>
      </w:r>
    </w:p>
    <w:p w14:paraId="240E2DE9">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18.5 采购人不接受可选择的投标报价。</w:t>
      </w:r>
    </w:p>
    <w:p w14:paraId="4F040295">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18.6 对于供应商在初次报价一览表和响应文件中列出的赠送条款，在评审时不得作为价格评分因素或者调整评标价格的依据。</w:t>
      </w:r>
    </w:p>
    <w:p w14:paraId="67E3FE25">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19.投标保证金（无）</w:t>
      </w:r>
    </w:p>
    <w:p w14:paraId="3099C07D">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20.</w:t>
      </w:r>
      <w:r>
        <w:rPr>
          <w:rFonts w:hint="eastAsia" w:ascii="宋体" w:hAnsi="宋体" w:cs="宋体"/>
          <w:b/>
          <w:bCs/>
          <w:kern w:val="0"/>
          <w:szCs w:val="21"/>
        </w:rPr>
        <w:t>响应</w:t>
      </w:r>
      <w:r>
        <w:rPr>
          <w:rFonts w:hint="eastAsia" w:ascii="宋体" w:hAnsi="宋体" w:cs="宋体"/>
          <w:b/>
          <w:kern w:val="0"/>
          <w:szCs w:val="21"/>
        </w:rPr>
        <w:t>文件的签署及其他规定</w:t>
      </w:r>
    </w:p>
    <w:p w14:paraId="157A363B">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20.1响应文件应按第六章“响应文件格式”进行编写，如有必要，可以增加附页，作为响应文件的组成部分。其中，磋商报价一览表在满足采购文件实质性要求的基础上，可以提出比采购文件要求更有利于采购人的承诺。</w:t>
      </w:r>
    </w:p>
    <w:p w14:paraId="0C7F3F77">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20.2 响应文件应当对采购文件有关服务期、响应文件有效期、质量要求、技术标准和要求、磋商范围等实质性内容作出响应。</w:t>
      </w:r>
    </w:p>
    <w:p w14:paraId="08B27D65">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20.3响应文件应用不褪色的材料书写或打印，并由供应商的法定代表人盖章或盖单位公章；响应文件应尽量避免涂改、行间插字或删除，如果出现上述情况，改动之处应加盖单位公章或由供应商的法定代表人盖章确认。签字或盖章的具体要求见供应商须知前附表。</w:t>
      </w:r>
    </w:p>
    <w:p w14:paraId="428131E8">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20.4响应文件份数见供应商须知前附表。响应文件正本和副本的封面上应清楚地标记“正本”或“副本”的字样。</w:t>
      </w:r>
    </w:p>
    <w:p w14:paraId="71645D2E">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20.5响应文件的具体装订要求见供应商须知前附表规定。</w:t>
      </w:r>
    </w:p>
    <w:p w14:paraId="3257ADFD">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四、响应文件的递交</w:t>
      </w:r>
    </w:p>
    <w:p w14:paraId="68BA9B8C">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21. 响应文件的密封、标记</w:t>
      </w:r>
    </w:p>
    <w:p w14:paraId="59EE457D">
      <w:pPr>
        <w:spacing w:line="360" w:lineRule="auto"/>
        <w:ind w:firstLine="424" w:firstLineChars="202"/>
        <w:rPr>
          <w:rFonts w:hint="eastAsia" w:ascii="宋体" w:hAnsi="宋体" w:cs="宋体"/>
          <w:kern w:val="0"/>
          <w:szCs w:val="21"/>
        </w:rPr>
      </w:pPr>
      <w:r>
        <w:rPr>
          <w:rFonts w:hint="eastAsia" w:ascii="宋体" w:hAnsi="宋体" w:cs="宋体"/>
          <w:kern w:val="0"/>
          <w:szCs w:val="21"/>
        </w:rPr>
        <w:t>21.1</w:t>
      </w:r>
      <w:r>
        <w:rPr>
          <w:rFonts w:hint="eastAsia" w:ascii="宋体" w:hAnsi="宋体" w:cs="宋体"/>
        </w:rPr>
        <w:t>响应文件应密封包装，并在封套的封口处加盖供应商单位章或由供应商的法定代表人（单位负责人）或其授权的代理人签字。</w:t>
      </w:r>
    </w:p>
    <w:p w14:paraId="24ECC160">
      <w:pPr>
        <w:snapToGrid w:val="0"/>
        <w:spacing w:line="360" w:lineRule="auto"/>
        <w:ind w:firstLine="420" w:firstLineChars="200"/>
        <w:jc w:val="left"/>
        <w:rPr>
          <w:rFonts w:hint="eastAsia" w:ascii="宋体" w:hAnsi="宋体" w:cs="宋体"/>
        </w:rPr>
      </w:pPr>
      <w:r>
        <w:rPr>
          <w:rFonts w:hint="eastAsia" w:ascii="宋体" w:hAnsi="宋体" w:cs="宋体"/>
        </w:rPr>
        <w:t>21.2 未按本章第21.1项要求密封的</w:t>
      </w:r>
      <w:r>
        <w:rPr>
          <w:rFonts w:hint="eastAsia" w:ascii="宋体" w:hAnsi="宋体" w:cs="宋体"/>
          <w:kern w:val="0"/>
          <w:szCs w:val="21"/>
        </w:rPr>
        <w:t>响应</w:t>
      </w:r>
      <w:r>
        <w:rPr>
          <w:rFonts w:hint="eastAsia" w:ascii="宋体" w:hAnsi="宋体" w:cs="宋体"/>
        </w:rPr>
        <w:t>文件，采购人不予受理。</w:t>
      </w:r>
    </w:p>
    <w:p w14:paraId="29C3481C">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22. 响应文件的递交</w:t>
      </w:r>
    </w:p>
    <w:p w14:paraId="43B2118B">
      <w:pPr>
        <w:autoSpaceDE w:val="0"/>
        <w:autoSpaceDN w:val="0"/>
        <w:adjustRightInd w:val="0"/>
        <w:snapToGrid w:val="0"/>
        <w:spacing w:line="360" w:lineRule="auto"/>
        <w:ind w:right="-34" w:rightChars="-16" w:firstLine="420" w:firstLineChars="200"/>
        <w:jc w:val="left"/>
        <w:rPr>
          <w:rFonts w:hint="eastAsia" w:ascii="宋体" w:hAnsi="宋体" w:cs="宋体"/>
          <w:kern w:val="0"/>
          <w:szCs w:val="21"/>
        </w:rPr>
      </w:pPr>
      <w:r>
        <w:rPr>
          <w:rFonts w:hint="eastAsia" w:ascii="宋体" w:hAnsi="宋体" w:cs="宋体"/>
          <w:kern w:val="0"/>
          <w:szCs w:val="21"/>
        </w:rPr>
        <w:t>22.1 供应商应在规定的磋商截止时间前递交响应文件。</w:t>
      </w:r>
    </w:p>
    <w:p w14:paraId="2157E441">
      <w:pPr>
        <w:autoSpaceDE w:val="0"/>
        <w:autoSpaceDN w:val="0"/>
        <w:adjustRightInd w:val="0"/>
        <w:snapToGrid w:val="0"/>
        <w:spacing w:line="360" w:lineRule="auto"/>
        <w:ind w:right="-34" w:rightChars="-16" w:firstLine="420" w:firstLineChars="200"/>
        <w:jc w:val="left"/>
        <w:rPr>
          <w:rFonts w:hint="eastAsia" w:ascii="宋体" w:hAnsi="宋体" w:cs="宋体"/>
          <w:kern w:val="0"/>
          <w:szCs w:val="21"/>
        </w:rPr>
      </w:pPr>
      <w:r>
        <w:rPr>
          <w:rFonts w:hint="eastAsia" w:ascii="宋体" w:hAnsi="宋体" w:cs="宋体"/>
          <w:kern w:val="0"/>
          <w:szCs w:val="21"/>
        </w:rPr>
        <w:t>22.2 供应商递交响应文件的地点：见供应商须知前附表。</w:t>
      </w:r>
    </w:p>
    <w:p w14:paraId="43DC5486">
      <w:pPr>
        <w:autoSpaceDE w:val="0"/>
        <w:autoSpaceDN w:val="0"/>
        <w:adjustRightInd w:val="0"/>
        <w:snapToGrid w:val="0"/>
        <w:spacing w:line="360" w:lineRule="auto"/>
        <w:ind w:right="-34" w:rightChars="-16" w:firstLine="420" w:firstLineChars="200"/>
        <w:jc w:val="left"/>
        <w:rPr>
          <w:rFonts w:hint="eastAsia" w:ascii="宋体" w:hAnsi="宋体" w:cs="宋体"/>
          <w:kern w:val="0"/>
          <w:szCs w:val="21"/>
        </w:rPr>
      </w:pPr>
      <w:r>
        <w:rPr>
          <w:rFonts w:hint="eastAsia" w:ascii="宋体" w:hAnsi="宋体" w:cs="宋体"/>
          <w:kern w:val="0"/>
          <w:szCs w:val="21"/>
        </w:rPr>
        <w:t>22.3 除供应商须知前附表另有规定外，供应商所递交的响应文件不予退还。</w:t>
      </w:r>
    </w:p>
    <w:p w14:paraId="76A37A62">
      <w:pPr>
        <w:autoSpaceDE w:val="0"/>
        <w:autoSpaceDN w:val="0"/>
        <w:adjustRightInd w:val="0"/>
        <w:snapToGrid w:val="0"/>
        <w:spacing w:line="360" w:lineRule="auto"/>
        <w:ind w:right="-34" w:rightChars="-16" w:firstLine="420" w:firstLineChars="200"/>
        <w:jc w:val="left"/>
        <w:rPr>
          <w:rFonts w:hint="eastAsia" w:ascii="宋体" w:hAnsi="宋体" w:cs="宋体"/>
          <w:kern w:val="0"/>
          <w:szCs w:val="21"/>
        </w:rPr>
      </w:pPr>
      <w:r>
        <w:rPr>
          <w:rFonts w:hint="eastAsia" w:ascii="宋体" w:hAnsi="宋体" w:cs="宋体"/>
          <w:kern w:val="0"/>
          <w:szCs w:val="21"/>
        </w:rPr>
        <w:t>22.4 逾期送达的或者未送达指定地点的响应文件，采购人不予受理。</w:t>
      </w:r>
    </w:p>
    <w:p w14:paraId="789AFC68">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23. 响应文件的修改和撤回</w:t>
      </w:r>
    </w:p>
    <w:p w14:paraId="6CD216E4">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23.1 供应商在投标截止时间前，可以对所提交的响应文件进行补充、修改或者撤回，并书面通知采购人。补充、修改的内容和撤回通知应当按本须知要求签署、盖章、密封，并作为响应文件的组成部分。</w:t>
      </w:r>
    </w:p>
    <w:p w14:paraId="52C5256F">
      <w:pPr>
        <w:snapToGrid w:val="0"/>
        <w:spacing w:line="360" w:lineRule="auto"/>
        <w:ind w:firstLine="420" w:firstLineChars="200"/>
        <w:jc w:val="left"/>
        <w:rPr>
          <w:rFonts w:hint="eastAsia" w:ascii="宋体" w:hAnsi="宋体" w:cs="宋体"/>
          <w:kern w:val="0"/>
          <w:sz w:val="24"/>
        </w:rPr>
      </w:pPr>
      <w:r>
        <w:rPr>
          <w:rFonts w:hint="eastAsia" w:ascii="宋体" w:hAnsi="宋体" w:cs="宋体"/>
          <w:kern w:val="0"/>
          <w:szCs w:val="21"/>
        </w:rPr>
        <w:t>23.2 供应商在磋商截止期后不得修改、撤回响应文件。供应商在投标截止期后修改响应文件的，其投标将被拒绝。</w:t>
      </w:r>
    </w:p>
    <w:p w14:paraId="7039EFDC">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五、评标</w:t>
      </w:r>
    </w:p>
    <w:p w14:paraId="79B3B145">
      <w:pPr>
        <w:snapToGrid w:val="0"/>
        <w:spacing w:line="360" w:lineRule="auto"/>
        <w:ind w:firstLine="422" w:firstLineChars="200"/>
        <w:jc w:val="left"/>
        <w:rPr>
          <w:rFonts w:hint="eastAsia" w:ascii="宋体" w:hAnsi="宋体" w:cs="宋体"/>
          <w:kern w:val="0"/>
          <w:szCs w:val="21"/>
        </w:rPr>
      </w:pPr>
      <w:r>
        <w:rPr>
          <w:rFonts w:hint="eastAsia" w:ascii="宋体" w:hAnsi="宋体" w:cs="宋体"/>
          <w:b/>
          <w:bCs/>
          <w:kern w:val="0"/>
          <w:szCs w:val="21"/>
        </w:rPr>
        <w:t>24. 组建磋商小组</w:t>
      </w:r>
    </w:p>
    <w:p w14:paraId="7DA4A910">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24.1 磋商小组由采购人代表和评审专家组成。成员由3人以上单数组成。</w:t>
      </w:r>
      <w:r>
        <w:rPr>
          <w:rFonts w:hint="eastAsia" w:ascii="宋体" w:hAnsi="宋体" w:cs="宋体"/>
          <w:szCs w:val="21"/>
        </w:rPr>
        <w:t>在开标后由磋商小组对</w:t>
      </w:r>
      <w:r>
        <w:rPr>
          <w:rFonts w:hint="eastAsia" w:ascii="宋体" w:hAnsi="宋体" w:cs="宋体"/>
          <w:kern w:val="0"/>
          <w:szCs w:val="21"/>
        </w:rPr>
        <w:t>响应文件</w:t>
      </w:r>
      <w:r>
        <w:rPr>
          <w:rFonts w:hint="eastAsia" w:ascii="宋体" w:hAnsi="宋体" w:cs="宋体"/>
          <w:szCs w:val="21"/>
        </w:rPr>
        <w:t>进行审查、质疑、评估和比较，并做合理的建议。</w:t>
      </w:r>
    </w:p>
    <w:p w14:paraId="30F6B48A">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24.2磋商小组成员要依法独立评审，并对评审意见承担个人责任。</w:t>
      </w:r>
      <w:r>
        <w:rPr>
          <w:rFonts w:hint="eastAsia" w:ascii="宋体" w:hAnsi="宋体" w:cs="宋体"/>
          <w:szCs w:val="21"/>
        </w:rPr>
        <w:t>磋商小组成员对需要共同认定的事项存在争议的，按照少数服从多数的原则</w:t>
      </w:r>
      <w:r>
        <w:rPr>
          <w:rFonts w:hint="eastAsia" w:ascii="宋体" w:hAnsi="宋体" w:cs="宋体"/>
          <w:kern w:val="0"/>
          <w:szCs w:val="21"/>
        </w:rPr>
        <w:t>做</w:t>
      </w:r>
      <w:r>
        <w:rPr>
          <w:rFonts w:hint="eastAsia" w:ascii="宋体" w:hAnsi="宋体" w:cs="宋体"/>
          <w:szCs w:val="21"/>
        </w:rPr>
        <w:t>出结论。持不同意见的磋商小组成员应当在评审报告上签署不同意见</w:t>
      </w:r>
      <w:r>
        <w:rPr>
          <w:rFonts w:hint="eastAsia" w:ascii="宋体" w:hAnsi="宋体" w:cs="宋体"/>
          <w:kern w:val="0"/>
          <w:szCs w:val="21"/>
        </w:rPr>
        <w:t>并说明</w:t>
      </w:r>
      <w:r>
        <w:rPr>
          <w:rFonts w:hint="eastAsia" w:ascii="宋体" w:hAnsi="宋体" w:cs="宋体"/>
          <w:szCs w:val="21"/>
        </w:rPr>
        <w:t>理由，否则视为同意。</w:t>
      </w:r>
    </w:p>
    <w:p w14:paraId="0378D100">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 xml:space="preserve">25. </w:t>
      </w:r>
      <w:r>
        <w:rPr>
          <w:rFonts w:hint="eastAsia" w:ascii="宋体" w:hAnsi="宋体" w:cs="宋体"/>
          <w:b/>
          <w:bCs/>
          <w:kern w:val="0"/>
          <w:szCs w:val="21"/>
        </w:rPr>
        <w:t>响应</w:t>
      </w:r>
      <w:r>
        <w:rPr>
          <w:rFonts w:hint="eastAsia" w:ascii="宋体" w:hAnsi="宋体" w:cs="宋体"/>
          <w:b/>
          <w:bCs/>
          <w:szCs w:val="21"/>
        </w:rPr>
        <w:t>文件的初审</w:t>
      </w:r>
    </w:p>
    <w:p w14:paraId="4CF6AFB0">
      <w:pPr>
        <w:pStyle w:val="33"/>
        <w:rPr>
          <w:rFonts w:hint="eastAsia"/>
        </w:rPr>
      </w:pPr>
      <w:r>
        <w:rPr>
          <w:rFonts w:hint="eastAsia"/>
        </w:rPr>
        <w:t>25.1对所有供应商的评估，都采用相同的程序和标准。评标过程将严格按照采购文件的要求和条件进行。</w:t>
      </w:r>
    </w:p>
    <w:p w14:paraId="2EBEBFBE">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25.2 磋商小组将对响应文件进行检查，以确定响应文件是否完整、有无计算上的错误、文件是否已正确签署等。</w:t>
      </w:r>
    </w:p>
    <w:p w14:paraId="66CE9677">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25.3 响应文件报价出现前后不一致的，除采购文件另有规定外，修正错误的原则如下：</w:t>
      </w:r>
    </w:p>
    <w:p w14:paraId="1E6F4726">
      <w:pPr>
        <w:pStyle w:val="33"/>
        <w:rPr>
          <w:rFonts w:hint="eastAsia"/>
        </w:rPr>
      </w:pPr>
      <w:r>
        <w:rPr>
          <w:rFonts w:hint="eastAsia"/>
        </w:rPr>
        <w:t>25.3.1响应文件初次报价一览表（报价表）内容与响应文件中相应内容不一致的，以初次报价一览表（报价表）为准；</w:t>
      </w:r>
    </w:p>
    <w:p w14:paraId="2E093035">
      <w:pPr>
        <w:pStyle w:val="33"/>
        <w:rPr>
          <w:rFonts w:hint="eastAsia"/>
        </w:rPr>
      </w:pPr>
      <w:r>
        <w:rPr>
          <w:rFonts w:hint="eastAsia"/>
        </w:rPr>
        <w:t>25.3.2大写金额与小写金额不一致的，以大写金额为准；</w:t>
      </w:r>
    </w:p>
    <w:p w14:paraId="318B2BF5">
      <w:pPr>
        <w:pStyle w:val="33"/>
        <w:rPr>
          <w:rFonts w:hint="eastAsia"/>
        </w:rPr>
      </w:pPr>
      <w:r>
        <w:rPr>
          <w:rFonts w:hint="eastAsia"/>
        </w:rPr>
        <w:t>25.3.3单价金额小数点或者百分比有明显错位的，以初次报价一览表的总价为准，并修改单价；</w:t>
      </w:r>
    </w:p>
    <w:p w14:paraId="43223384">
      <w:pPr>
        <w:pStyle w:val="33"/>
        <w:rPr>
          <w:rFonts w:hint="eastAsia"/>
        </w:rPr>
      </w:pPr>
      <w:r>
        <w:rPr>
          <w:rFonts w:hint="eastAsia"/>
        </w:rPr>
        <w:t>25.3.4总价金额与按单价汇总金额不一致的，以单价金额计算结果为准。</w:t>
      </w:r>
    </w:p>
    <w:p w14:paraId="121F1CCF">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25.3.5对不同文字文本响应文件的解释发生异议的，以中文文本为准。</w:t>
      </w:r>
    </w:p>
    <w:p w14:paraId="4EA0DA1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25.3.6同时出现两种以上不一致的，按照前款规定的顺序修正。修正后的报价按照财政部87号令第五十一条第二款的规定经供应商确认后产生约束力，供应商不确认的，其投标无效。</w:t>
      </w:r>
    </w:p>
    <w:p w14:paraId="0BDC44C2">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25.4 资格性检查和符合性检查。</w:t>
      </w:r>
    </w:p>
    <w:p w14:paraId="1C467F20">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kern w:val="0"/>
          <w:szCs w:val="21"/>
        </w:rPr>
        <w:t>25.4.1</w:t>
      </w:r>
      <w:r>
        <w:rPr>
          <w:rFonts w:hint="eastAsia" w:ascii="宋体" w:hAnsi="宋体" w:cs="宋体"/>
          <w:szCs w:val="21"/>
        </w:rPr>
        <w:t>资格性检查。依据法规政策和采购文件的规定，在对</w:t>
      </w:r>
      <w:r>
        <w:rPr>
          <w:rFonts w:hint="eastAsia" w:ascii="宋体" w:hAnsi="宋体" w:cs="宋体"/>
          <w:szCs w:val="21"/>
          <w:shd w:val="clear" w:color="auto" w:fill="FFFFFF"/>
        </w:rPr>
        <w:t>响应文件</w:t>
      </w:r>
      <w:r>
        <w:rPr>
          <w:rFonts w:hint="eastAsia" w:ascii="宋体" w:hAnsi="宋体" w:cs="宋体"/>
          <w:szCs w:val="21"/>
        </w:rPr>
        <w:t>详细评估之前，采购人将依据供应商提交的</w:t>
      </w:r>
      <w:r>
        <w:rPr>
          <w:rFonts w:hint="eastAsia" w:ascii="宋体" w:hAnsi="宋体" w:cs="宋体"/>
          <w:szCs w:val="21"/>
          <w:shd w:val="clear" w:color="auto" w:fill="FFFFFF"/>
        </w:rPr>
        <w:t>响应文件</w:t>
      </w:r>
      <w:r>
        <w:rPr>
          <w:rFonts w:hint="eastAsia" w:ascii="宋体" w:hAnsi="宋体" w:cs="宋体"/>
          <w:szCs w:val="21"/>
        </w:rPr>
        <w:t>按采购公告第二项和采购文件第三章4.供应商应提交的证明文件所述的资格标准对供应商进行资格审查,以确定其是否具备磋商资格。如果供应商不具备磋商资格、不满足采购文件所规定的资格标准或提供资格证明文件不全,其投标将被作为无效磋商。在审查过程中，采购人有权要求供应商按采购文件的规定提供相关资格证明材料的原件以供审查。供应商应在规定的时限内提供。供应商拒不提供的，或者不能在规定时限内提供的，视为其不具备该资格条件。</w:t>
      </w:r>
    </w:p>
    <w:p w14:paraId="5787AE6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25.4.2 资格审查后合格的供应商不足3家的，不得评标。</w:t>
      </w:r>
    </w:p>
    <w:p w14:paraId="0B39FBE9">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25.4.3 符合性检查。依据采购文件的规定，磋商小组将从</w:t>
      </w:r>
      <w:r>
        <w:rPr>
          <w:rFonts w:hint="eastAsia" w:ascii="宋体" w:hAnsi="宋体" w:cs="宋体"/>
          <w:szCs w:val="21"/>
          <w:shd w:val="clear" w:color="auto" w:fill="FFFFFF"/>
        </w:rPr>
        <w:t>响应文件</w:t>
      </w:r>
      <w:r>
        <w:rPr>
          <w:rFonts w:hint="eastAsia" w:ascii="宋体" w:hAnsi="宋体" w:cs="宋体"/>
          <w:kern w:val="0"/>
          <w:szCs w:val="21"/>
        </w:rPr>
        <w:t>的有效性、完整性和对采购文件的响应程度进行审查，以确定是否符合对采购文件的实质性要求作出响应。对没有实质性响应的响应文件将不进行评估，其投标被作为无效磋商。凡有下列情况之一者，响应文件也将被视为未实质性响应采购文件要求：</w:t>
      </w:r>
    </w:p>
    <w:p w14:paraId="4A81DB5B">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（1）</w:t>
      </w:r>
      <w:r>
        <w:rPr>
          <w:rFonts w:hint="eastAsia" w:ascii="宋体" w:hAnsi="宋体" w:cs="宋体"/>
          <w:szCs w:val="21"/>
          <w:shd w:val="clear" w:color="auto" w:fill="FFFFFF"/>
        </w:rPr>
        <w:t>响应文件</w:t>
      </w:r>
      <w:r>
        <w:rPr>
          <w:rFonts w:hint="eastAsia" w:ascii="宋体" w:hAnsi="宋体" w:cs="宋体"/>
          <w:szCs w:val="21"/>
        </w:rPr>
        <w:t>未按规定签字、盖章的。</w:t>
      </w:r>
    </w:p>
    <w:p w14:paraId="72C9175C">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（2）供应商未能出具有效身份证明，或与身份不符的。</w:t>
      </w:r>
    </w:p>
    <w:p w14:paraId="27921471">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（3）资格证明文件不全的，或不符合采购文件标明的资格要求的。</w:t>
      </w:r>
    </w:p>
    <w:p w14:paraId="2A26FBCF">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（4）</w:t>
      </w:r>
      <w:r>
        <w:rPr>
          <w:rFonts w:hint="eastAsia" w:ascii="宋体" w:hAnsi="宋体" w:cs="宋体"/>
          <w:szCs w:val="21"/>
          <w:shd w:val="clear" w:color="auto" w:fill="FFFFFF"/>
        </w:rPr>
        <w:t>响应文件</w:t>
      </w:r>
      <w:r>
        <w:rPr>
          <w:rFonts w:hint="eastAsia" w:ascii="宋体" w:hAnsi="宋体" w:cs="宋体"/>
          <w:szCs w:val="21"/>
        </w:rPr>
        <w:t>有效期、服务期限、质量要求等不满足采购文件要求的。</w:t>
      </w:r>
    </w:p>
    <w:p w14:paraId="3496F5FD">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（5）未按采购文件提供的格式填列、项目不齐全或内容虚假的。</w:t>
      </w:r>
    </w:p>
    <w:p w14:paraId="1E67B0D2">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（6）</w:t>
      </w:r>
      <w:r>
        <w:rPr>
          <w:rFonts w:hint="eastAsia" w:ascii="宋体" w:hAnsi="宋体" w:cs="宋体"/>
          <w:szCs w:val="21"/>
          <w:shd w:val="clear" w:color="auto" w:fill="FFFFFF"/>
        </w:rPr>
        <w:t>响应文件</w:t>
      </w:r>
      <w:r>
        <w:rPr>
          <w:rFonts w:hint="eastAsia" w:ascii="宋体" w:hAnsi="宋体" w:cs="宋体"/>
          <w:szCs w:val="21"/>
        </w:rPr>
        <w:t>的实质性内容未使用中文表述，或意思表述不明确，或前后矛盾，或使用计量单位不符合采购文件要求的。</w:t>
      </w:r>
    </w:p>
    <w:p w14:paraId="0AF72DD3">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（7）</w:t>
      </w:r>
      <w:r>
        <w:rPr>
          <w:rFonts w:hint="eastAsia" w:ascii="宋体" w:hAnsi="宋体" w:cs="宋体"/>
          <w:szCs w:val="21"/>
          <w:shd w:val="clear" w:color="auto" w:fill="FFFFFF"/>
        </w:rPr>
        <w:t>响应文件</w:t>
      </w:r>
      <w:r>
        <w:rPr>
          <w:rFonts w:hint="eastAsia" w:ascii="宋体" w:hAnsi="宋体" w:cs="宋体"/>
          <w:szCs w:val="21"/>
        </w:rPr>
        <w:t>的关键内容字迹模糊、无法辨认,或</w:t>
      </w:r>
      <w:r>
        <w:rPr>
          <w:rFonts w:hint="eastAsia" w:ascii="宋体" w:hAnsi="宋体" w:cs="宋体"/>
          <w:kern w:val="0"/>
          <w:szCs w:val="21"/>
        </w:rPr>
        <w:t>响应</w:t>
      </w:r>
      <w:r>
        <w:rPr>
          <w:rFonts w:hint="eastAsia" w:ascii="宋体" w:hAnsi="宋体" w:cs="宋体"/>
          <w:szCs w:val="21"/>
        </w:rPr>
        <w:t>文件中经修正的内容字迹模糊无法辩认，或修改处未按规定签名盖章的。</w:t>
      </w:r>
    </w:p>
    <w:p w14:paraId="47A5C0B5">
      <w:pPr>
        <w:tabs>
          <w:tab w:val="left" w:pos="0"/>
        </w:tabs>
        <w:snapToGrid w:val="0"/>
        <w:spacing w:line="360" w:lineRule="auto"/>
        <w:ind w:firstLine="420" w:firstLineChars="200"/>
        <w:contextualSpacing/>
        <w:jc w:val="left"/>
        <w:rPr>
          <w:rFonts w:hint="eastAsia" w:ascii="宋体" w:hAnsi="宋体" w:cs="宋体"/>
          <w:kern w:val="0"/>
          <w:szCs w:val="21"/>
        </w:rPr>
      </w:pPr>
      <w:r>
        <w:rPr>
          <w:rFonts w:hint="eastAsia" w:ascii="宋体" w:hAnsi="宋体" w:cs="宋体"/>
          <w:szCs w:val="21"/>
        </w:rPr>
        <w:t>（8）</w:t>
      </w:r>
      <w:r>
        <w:rPr>
          <w:rFonts w:hint="eastAsia" w:ascii="宋体" w:hAnsi="宋体" w:cs="宋体"/>
          <w:szCs w:val="21"/>
          <w:shd w:val="clear" w:color="auto" w:fill="FFFFFF"/>
        </w:rPr>
        <w:t>响应文件</w:t>
      </w:r>
      <w:r>
        <w:rPr>
          <w:rFonts w:hint="eastAsia" w:ascii="宋体" w:hAnsi="宋体" w:cs="宋体"/>
          <w:szCs w:val="21"/>
        </w:rPr>
        <w:t>内容未按采购文件响应的。</w:t>
      </w:r>
    </w:p>
    <w:p w14:paraId="3CDEBD6A">
      <w:pPr>
        <w:tabs>
          <w:tab w:val="left" w:pos="0"/>
        </w:tabs>
        <w:snapToGrid w:val="0"/>
        <w:spacing w:line="360" w:lineRule="auto"/>
        <w:ind w:firstLine="420" w:firstLineChars="200"/>
        <w:contextualSpacing/>
        <w:jc w:val="left"/>
        <w:rPr>
          <w:rFonts w:hint="eastAsia" w:ascii="宋体" w:hAnsi="宋体" w:cs="宋体"/>
          <w:kern w:val="0"/>
          <w:szCs w:val="21"/>
        </w:rPr>
      </w:pPr>
      <w:r>
        <w:rPr>
          <w:rFonts w:hint="eastAsia" w:ascii="宋体" w:hAnsi="宋体" w:cs="宋体"/>
          <w:kern w:val="0"/>
          <w:szCs w:val="21"/>
        </w:rPr>
        <w:t>（9）不符合采购文件中规定的其它实质性条款。</w:t>
      </w:r>
    </w:p>
    <w:p w14:paraId="4815674B">
      <w:pPr>
        <w:tabs>
          <w:tab w:val="left" w:pos="0"/>
        </w:tabs>
        <w:snapToGrid w:val="0"/>
        <w:spacing w:line="360" w:lineRule="auto"/>
        <w:ind w:firstLine="420" w:firstLineChars="200"/>
        <w:contextualSpacing/>
        <w:jc w:val="left"/>
        <w:rPr>
          <w:rFonts w:hint="eastAsia" w:ascii="宋体" w:hAnsi="宋体" w:cs="宋体"/>
          <w:kern w:val="0"/>
          <w:szCs w:val="21"/>
        </w:rPr>
      </w:pPr>
      <w:r>
        <w:rPr>
          <w:rFonts w:hint="eastAsia" w:ascii="宋体" w:hAnsi="宋体" w:cs="宋体"/>
          <w:kern w:val="0"/>
          <w:szCs w:val="21"/>
        </w:rPr>
        <w:t>磋商小组决定投标的响应性只根据响应文件本身的内容，而不寻求其他的外部证据。</w:t>
      </w:r>
    </w:p>
    <w:p w14:paraId="782895A3">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25.4.4 对资格性检查和符合性检查不合格的供应商，将通过评标系统告知其理由。</w:t>
      </w:r>
    </w:p>
    <w:p w14:paraId="480195E9">
      <w:pPr>
        <w:pStyle w:val="33"/>
        <w:rPr>
          <w:rFonts w:hint="eastAsia"/>
        </w:rPr>
      </w:pPr>
      <w:r>
        <w:rPr>
          <w:rFonts w:hint="eastAsia"/>
        </w:rPr>
        <w:t>25.5 在评审过程中，磋商小组发现供应商有下列情形之一的，视为供应商串通投标，其磋商无效：</w:t>
      </w:r>
    </w:p>
    <w:p w14:paraId="7FE0E3AF">
      <w:pPr>
        <w:tabs>
          <w:tab w:val="left" w:pos="0"/>
        </w:tabs>
        <w:snapToGrid w:val="0"/>
        <w:spacing w:line="360" w:lineRule="auto"/>
        <w:ind w:left="105" w:leftChars="50" w:firstLine="315" w:firstLineChars="150"/>
        <w:contextualSpacing/>
        <w:jc w:val="left"/>
        <w:rPr>
          <w:rFonts w:hint="eastAsia" w:ascii="宋体" w:hAnsi="宋体" w:cs="宋体"/>
          <w:kern w:val="0"/>
          <w:szCs w:val="21"/>
        </w:rPr>
      </w:pPr>
      <w:r>
        <w:rPr>
          <w:rFonts w:hint="eastAsia" w:ascii="宋体" w:hAnsi="宋体" w:cs="宋体"/>
          <w:kern w:val="0"/>
          <w:szCs w:val="21"/>
        </w:rPr>
        <w:t>25.5.1不同供应商的</w:t>
      </w:r>
      <w:r>
        <w:rPr>
          <w:rFonts w:hint="eastAsia" w:ascii="宋体" w:hAnsi="宋体" w:cs="宋体"/>
          <w:szCs w:val="21"/>
          <w:shd w:val="clear" w:color="auto" w:fill="FFFFFF"/>
        </w:rPr>
        <w:t>响应文件</w:t>
      </w:r>
      <w:r>
        <w:rPr>
          <w:rFonts w:hint="eastAsia" w:ascii="宋体" w:hAnsi="宋体" w:cs="宋体"/>
          <w:kern w:val="0"/>
          <w:szCs w:val="21"/>
        </w:rPr>
        <w:t>异常一致。</w:t>
      </w:r>
    </w:p>
    <w:p w14:paraId="718B9AD2">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25.5.2不同供应商的</w:t>
      </w:r>
      <w:r>
        <w:rPr>
          <w:rFonts w:hint="eastAsia" w:ascii="宋体" w:hAnsi="宋体" w:cs="宋体"/>
          <w:szCs w:val="21"/>
          <w:shd w:val="clear" w:color="auto" w:fill="FFFFFF"/>
        </w:rPr>
        <w:t>响应文件</w:t>
      </w:r>
      <w:r>
        <w:rPr>
          <w:rFonts w:hint="eastAsia" w:ascii="宋体" w:hAnsi="宋体" w:cs="宋体"/>
          <w:szCs w:val="21"/>
        </w:rPr>
        <w:t>由同一单位或者个人编制；</w:t>
      </w:r>
    </w:p>
    <w:p w14:paraId="13BF5A03">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25.5.3不同供应商委托同一单位或者个人办理投标事宜；</w:t>
      </w:r>
    </w:p>
    <w:p w14:paraId="2EECD1F9">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25.5.4不同供应商的</w:t>
      </w:r>
      <w:r>
        <w:rPr>
          <w:rFonts w:hint="eastAsia" w:ascii="宋体" w:hAnsi="宋体" w:cs="宋体"/>
          <w:szCs w:val="21"/>
          <w:shd w:val="clear" w:color="auto" w:fill="FFFFFF"/>
        </w:rPr>
        <w:t>响应文件</w:t>
      </w:r>
      <w:r>
        <w:rPr>
          <w:rFonts w:hint="eastAsia" w:ascii="宋体" w:hAnsi="宋体" w:cs="宋体"/>
          <w:szCs w:val="21"/>
        </w:rPr>
        <w:t>载明的项目管理成员或者联系人员为同一人；　　</w:t>
      </w:r>
    </w:p>
    <w:p w14:paraId="4E400FBA">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25.5.5不同供应商的</w:t>
      </w:r>
      <w:r>
        <w:rPr>
          <w:rFonts w:hint="eastAsia" w:ascii="宋体" w:hAnsi="宋体" w:cs="宋体"/>
          <w:szCs w:val="21"/>
          <w:shd w:val="clear" w:color="auto" w:fill="FFFFFF"/>
        </w:rPr>
        <w:t>响应文件</w:t>
      </w:r>
      <w:r>
        <w:rPr>
          <w:rFonts w:hint="eastAsia" w:ascii="宋体" w:hAnsi="宋体" w:cs="宋体"/>
          <w:szCs w:val="21"/>
        </w:rPr>
        <w:t>相互混装；</w:t>
      </w:r>
    </w:p>
    <w:p w14:paraId="0AA83D59">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25.5.6不同供应商的投标保证金从同一单位或者个人的账户转出（若收取）。</w:t>
      </w:r>
    </w:p>
    <w:p w14:paraId="73462C96">
      <w:pPr>
        <w:adjustRightInd w:val="0"/>
        <w:snapToGrid w:val="0"/>
        <w:spacing w:line="360" w:lineRule="auto"/>
        <w:ind w:left="19" w:leftChars="9" w:firstLine="399" w:firstLineChars="190"/>
        <w:jc w:val="left"/>
        <w:textAlignment w:val="baseline"/>
        <w:rPr>
          <w:rFonts w:hint="eastAsia" w:ascii="宋体" w:hAnsi="宋体" w:cs="宋体"/>
          <w:szCs w:val="21"/>
        </w:rPr>
      </w:pPr>
      <w:r>
        <w:rPr>
          <w:rFonts w:hint="eastAsia" w:ascii="宋体" w:hAnsi="宋体" w:cs="宋体"/>
          <w:kern w:val="0"/>
          <w:szCs w:val="21"/>
        </w:rPr>
        <w:t>25.5.7 有证据证明供应商串通投标的其他情形的；</w:t>
      </w:r>
    </w:p>
    <w:p w14:paraId="66296B9A">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25.5.8 不同供应商的</w:t>
      </w:r>
      <w:r>
        <w:rPr>
          <w:rFonts w:hint="eastAsia" w:ascii="宋体" w:hAnsi="宋体" w:cs="宋体"/>
          <w:szCs w:val="21"/>
          <w:shd w:val="clear" w:color="auto" w:fill="FFFFFF"/>
        </w:rPr>
        <w:t>响应文件</w:t>
      </w:r>
      <w:r>
        <w:rPr>
          <w:rFonts w:hint="eastAsia" w:ascii="宋体" w:hAnsi="宋体" w:cs="宋体"/>
          <w:kern w:val="0"/>
          <w:szCs w:val="21"/>
        </w:rPr>
        <w:t>制作机器码一致；</w:t>
      </w:r>
    </w:p>
    <w:p w14:paraId="5E11EF8D">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25.5.9 磋商小组认定的其他串通投标情形。</w:t>
      </w:r>
    </w:p>
    <w:p w14:paraId="711FD0AE">
      <w:pPr>
        <w:snapToGrid w:val="0"/>
        <w:spacing w:line="360" w:lineRule="auto"/>
        <w:ind w:firstLine="422" w:firstLineChars="200"/>
        <w:jc w:val="left"/>
        <w:rPr>
          <w:rFonts w:hint="eastAsia" w:ascii="宋体" w:hAnsi="宋体" w:cs="宋体"/>
          <w:kern w:val="0"/>
          <w:szCs w:val="21"/>
        </w:rPr>
      </w:pPr>
      <w:r>
        <w:rPr>
          <w:rFonts w:hint="eastAsia" w:ascii="宋体" w:hAnsi="宋体" w:cs="宋体"/>
          <w:b/>
          <w:bCs/>
          <w:kern w:val="0"/>
          <w:szCs w:val="21"/>
        </w:rPr>
        <w:t>26. 响应文件的澄清</w:t>
      </w:r>
    </w:p>
    <w:p w14:paraId="6C95A8F5">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对响应文件中含义不明确、同类问题表述不一致或者有明显文字和计算错误的内容，磋商小组可以书面形式要求供应商作出必要的澄清。供应商的澄清应当在磋商小组规定的时间内以书面形式作出，由其供应商代表签字。但澄清事项不得超出响应文件的范围，不得实质性改变响应文件的内容，不得通过澄清等方式对供应商实行差别对待。磋商小组不得接受供应商主动提出的澄清和解释。</w:t>
      </w:r>
    </w:p>
    <w:p w14:paraId="447FA1AF">
      <w:pPr>
        <w:snapToGrid w:val="0"/>
        <w:spacing w:line="360" w:lineRule="auto"/>
        <w:ind w:firstLine="422" w:firstLineChars="200"/>
        <w:jc w:val="left"/>
        <w:rPr>
          <w:rFonts w:hint="eastAsia" w:ascii="宋体" w:hAnsi="宋体" w:cs="宋体"/>
          <w:b/>
          <w:bCs/>
          <w:kern w:val="0"/>
          <w:szCs w:val="21"/>
        </w:rPr>
      </w:pPr>
      <w:r>
        <w:rPr>
          <w:rFonts w:hint="eastAsia" w:ascii="宋体" w:hAnsi="宋体" w:cs="宋体"/>
          <w:b/>
          <w:bCs/>
          <w:kern w:val="0"/>
          <w:szCs w:val="21"/>
        </w:rPr>
        <w:t>27. 比较与评价</w:t>
      </w:r>
    </w:p>
    <w:p w14:paraId="6F6A98F4">
      <w:pPr>
        <w:pStyle w:val="33"/>
        <w:rPr>
          <w:rFonts w:hint="eastAsia"/>
        </w:rPr>
      </w:pPr>
      <w:r>
        <w:rPr>
          <w:rFonts w:hint="eastAsia"/>
        </w:rPr>
        <w:t>27.1 磋商小组将按本采购文件规定的评标方法与标准，对资格性检查和符合性检查合格的响应文件进行商务和技术评估，综合比较与评价。</w:t>
      </w:r>
    </w:p>
    <w:p w14:paraId="677AB56F">
      <w:pPr>
        <w:pStyle w:val="33"/>
        <w:rPr>
          <w:rFonts w:hint="eastAsia"/>
        </w:rPr>
      </w:pPr>
      <w:r>
        <w:rPr>
          <w:rFonts w:hint="eastAsia"/>
        </w:rPr>
        <w:t>27.2对漏（缺）报项的处理：采购文件中要求列入报价的费用（含配置、功能），漏（缺）报的视同已含在投标总价中。</w:t>
      </w:r>
    </w:p>
    <w:p w14:paraId="698F59A2">
      <w:pPr>
        <w:pStyle w:val="33"/>
        <w:rPr>
          <w:rFonts w:hint="eastAsia"/>
          <w:b/>
          <w:bCs/>
        </w:rPr>
      </w:pPr>
      <w:r>
        <w:rPr>
          <w:rFonts w:hint="eastAsia"/>
        </w:rPr>
        <w:t>27.3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3B6E94C9">
      <w:pPr>
        <w:snapToGrid w:val="0"/>
        <w:spacing w:line="360" w:lineRule="auto"/>
        <w:ind w:firstLine="422" w:firstLineChars="200"/>
        <w:jc w:val="left"/>
        <w:rPr>
          <w:rFonts w:hint="eastAsia" w:ascii="宋体" w:hAnsi="宋体" w:cs="宋体"/>
          <w:kern w:val="0"/>
          <w:szCs w:val="21"/>
        </w:rPr>
      </w:pPr>
      <w:r>
        <w:rPr>
          <w:rFonts w:hint="eastAsia" w:ascii="宋体" w:hAnsi="宋体" w:cs="宋体"/>
          <w:b/>
          <w:bCs/>
          <w:kern w:val="0"/>
          <w:szCs w:val="21"/>
        </w:rPr>
        <w:t>28. 评标过程及保密原则</w:t>
      </w:r>
    </w:p>
    <w:p w14:paraId="1C4EC34E">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28.1 凡与本次采购有关人员对属于审查、澄清、评价和比较磋商的有关资料以及定标意向等，均不得向供应商或其他人员透露。否则,将按有关规定追究相关人员的责任。</w:t>
      </w:r>
    </w:p>
    <w:p w14:paraId="14A74A7A">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28.2 在评标期间，供应商试图影响或干预评审的任何行为，将导致其磋商被作为无效磋商，并承担相应的法律责任。</w:t>
      </w:r>
    </w:p>
    <w:p w14:paraId="70E0D434">
      <w:pPr>
        <w:snapToGrid w:val="0"/>
        <w:spacing w:line="360" w:lineRule="auto"/>
        <w:ind w:firstLine="422" w:firstLineChars="200"/>
        <w:jc w:val="left"/>
        <w:rPr>
          <w:rFonts w:hint="eastAsia" w:ascii="宋体" w:hAnsi="宋体" w:cs="宋体"/>
          <w:b/>
          <w:kern w:val="0"/>
          <w:szCs w:val="21"/>
        </w:rPr>
      </w:pPr>
      <w:r>
        <w:rPr>
          <w:rFonts w:hint="eastAsia" w:ascii="宋体" w:hAnsi="宋体" w:cs="宋体"/>
          <w:b/>
          <w:kern w:val="0"/>
          <w:szCs w:val="21"/>
        </w:rPr>
        <w:t>29.评标异议登记</w:t>
      </w:r>
    </w:p>
    <w:p w14:paraId="7C39BD55">
      <w:pPr>
        <w:snapToGrid w:val="0"/>
        <w:spacing w:line="360" w:lineRule="auto"/>
        <w:ind w:firstLine="420" w:firstLineChars="200"/>
        <w:jc w:val="left"/>
        <w:rPr>
          <w:rFonts w:hint="eastAsia" w:ascii="宋体" w:hAnsi="宋体" w:cs="宋体"/>
          <w:kern w:val="0"/>
          <w:sz w:val="24"/>
        </w:rPr>
      </w:pPr>
      <w:r>
        <w:rPr>
          <w:rFonts w:hint="eastAsia" w:ascii="宋体" w:hAnsi="宋体" w:cs="宋体"/>
          <w:bCs/>
          <w:kern w:val="0"/>
          <w:szCs w:val="21"/>
        </w:rPr>
        <w:t>采购人</w:t>
      </w:r>
      <w:r>
        <w:rPr>
          <w:rFonts w:hint="eastAsia" w:ascii="宋体" w:hAnsi="宋体" w:cs="宋体"/>
          <w:kern w:val="0"/>
          <w:szCs w:val="21"/>
        </w:rPr>
        <w:t>工作人员对评审专家等相关人员在评审过程中发现、提出的异议进行逐项登记。</w:t>
      </w:r>
    </w:p>
    <w:p w14:paraId="4E215C31">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六、定标</w:t>
      </w:r>
    </w:p>
    <w:p w14:paraId="70DA9672">
      <w:pPr>
        <w:snapToGrid w:val="0"/>
        <w:spacing w:line="360" w:lineRule="auto"/>
        <w:ind w:firstLine="422" w:firstLineChars="200"/>
        <w:rPr>
          <w:rFonts w:hint="eastAsia" w:ascii="宋体" w:hAnsi="宋体" w:cs="宋体"/>
          <w:kern w:val="0"/>
          <w:szCs w:val="21"/>
        </w:rPr>
      </w:pPr>
      <w:r>
        <w:rPr>
          <w:rFonts w:hint="eastAsia" w:ascii="宋体" w:hAnsi="宋体" w:cs="宋体"/>
          <w:b/>
          <w:bCs/>
          <w:kern w:val="0"/>
          <w:szCs w:val="21"/>
        </w:rPr>
        <w:t>30. 定标原则</w:t>
      </w:r>
    </w:p>
    <w:p w14:paraId="0CCA7AAB">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30.1 最低投标价不作为成交的保证。</w:t>
      </w:r>
    </w:p>
    <w:p w14:paraId="4ED0B149">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30.2 确定实质上响应采购文件且满足下列条件的为成交候选供应商（或成交供应商）</w:t>
      </w:r>
    </w:p>
    <w:p w14:paraId="372E1C14">
      <w:pPr>
        <w:snapToGrid w:val="0"/>
        <w:spacing w:line="360" w:lineRule="auto"/>
        <w:ind w:firstLine="420" w:firstLineChars="200"/>
        <w:rPr>
          <w:rFonts w:hint="eastAsia" w:ascii="宋体" w:hAnsi="宋体" w:cs="宋体"/>
          <w:szCs w:val="21"/>
        </w:rPr>
      </w:pPr>
      <w:bookmarkStart w:id="51" w:name="_Toc32200"/>
      <w:r>
        <w:rPr>
          <w:rFonts w:hint="eastAsia" w:ascii="宋体" w:hAnsi="宋体" w:cs="宋体"/>
          <w:bCs/>
          <w:kern w:val="0"/>
          <w:szCs w:val="21"/>
        </w:rPr>
        <w:t>30.2.1</w:t>
      </w:r>
      <w:bookmarkEnd w:id="51"/>
      <w:r>
        <w:rPr>
          <w:rFonts w:hint="eastAsia" w:ascii="宋体" w:hAnsi="宋体" w:cs="宋体"/>
          <w:bCs/>
          <w:kern w:val="0"/>
          <w:szCs w:val="21"/>
        </w:rPr>
        <w:t>本次评标采用</w:t>
      </w:r>
      <w:r>
        <w:rPr>
          <w:rFonts w:hint="eastAsia" w:ascii="宋体" w:hAnsi="宋体" w:cs="宋体"/>
          <w:szCs w:val="21"/>
        </w:rPr>
        <w:t>综合评分法，是指响应文件满足采购文件全部实质性要求，且按照评审因素的量化指标评审得分最高的供应商为成交供应商的评标方法。</w:t>
      </w:r>
    </w:p>
    <w:p w14:paraId="7EF80DF1">
      <w:pPr>
        <w:snapToGrid w:val="0"/>
        <w:spacing w:line="360" w:lineRule="auto"/>
        <w:ind w:firstLine="420" w:firstLineChars="200"/>
        <w:rPr>
          <w:rFonts w:hint="eastAsia" w:ascii="宋体" w:hAnsi="宋体" w:cs="宋体"/>
          <w:szCs w:val="21"/>
        </w:rPr>
      </w:pPr>
      <w:r>
        <w:rPr>
          <w:rFonts w:hint="eastAsia" w:ascii="宋体" w:hAnsi="宋体" w:cs="宋体"/>
          <w:szCs w:val="21"/>
        </w:rPr>
        <w:t>采用综合评分法的，评标结果按评审后得分由高到低顺序排列。</w:t>
      </w:r>
      <w:r>
        <w:rPr>
          <w:rFonts w:hint="eastAsia" w:ascii="宋体" w:hAnsi="宋体" w:cs="宋体"/>
          <w:szCs w:val="21"/>
          <w:shd w:val="clear" w:color="auto" w:fill="FFFFFF"/>
        </w:rPr>
        <w:t>响应文件</w:t>
      </w:r>
      <w:r>
        <w:rPr>
          <w:rFonts w:hint="eastAsia" w:ascii="宋体" w:hAnsi="宋体" w:cs="宋体"/>
          <w:szCs w:val="21"/>
        </w:rPr>
        <w:t>满足采购文件全部实质性要求，且按照评审因素的量化指标评审得分最高的供应商为排名第一的成交供应商，以此类推。得分相同的，按磋商报价由低到高顺序排列。得分且磋商报价相同的，按技术部分得分顺序排列。得分与技术指标优劣均相同的，通过随机抽取产生。</w:t>
      </w:r>
    </w:p>
    <w:p w14:paraId="0D3BDF39">
      <w:pPr>
        <w:snapToGrid w:val="0"/>
        <w:spacing w:line="360" w:lineRule="auto"/>
        <w:ind w:firstLine="422" w:firstLineChars="200"/>
        <w:rPr>
          <w:rFonts w:hint="eastAsia" w:ascii="宋体" w:hAnsi="宋体" w:cs="宋体"/>
          <w:kern w:val="0"/>
          <w:szCs w:val="21"/>
        </w:rPr>
      </w:pPr>
      <w:r>
        <w:rPr>
          <w:rFonts w:hint="eastAsia" w:ascii="宋体" w:hAnsi="宋体" w:cs="宋体"/>
          <w:b/>
          <w:bCs/>
          <w:kern w:val="0"/>
          <w:szCs w:val="21"/>
        </w:rPr>
        <w:t>31. 确定成交供应商和成交候选供应商</w:t>
      </w:r>
    </w:p>
    <w:p w14:paraId="4CEF4D2C">
      <w:pPr>
        <w:snapToGrid w:val="0"/>
        <w:spacing w:line="360" w:lineRule="auto"/>
        <w:ind w:firstLine="420" w:firstLineChars="200"/>
        <w:jc w:val="left"/>
        <w:rPr>
          <w:rFonts w:hint="eastAsia" w:ascii="宋体" w:hAnsi="宋体" w:cs="宋体"/>
          <w:kern w:val="0"/>
          <w:szCs w:val="21"/>
        </w:rPr>
      </w:pPr>
      <w:r>
        <w:rPr>
          <w:rFonts w:hint="eastAsia" w:ascii="宋体" w:hAnsi="宋体" w:cs="宋体"/>
          <w:bCs/>
          <w:kern w:val="0"/>
          <w:szCs w:val="21"/>
        </w:rPr>
        <w:t>本项目由采购人授权磋商小组确定一名成交供应商并推荐一名成交候选供应商</w:t>
      </w:r>
      <w:r>
        <w:rPr>
          <w:rFonts w:hint="eastAsia" w:ascii="宋体" w:hAnsi="宋体" w:cs="宋体"/>
          <w:kern w:val="0"/>
          <w:szCs w:val="21"/>
        </w:rPr>
        <w:t>。</w:t>
      </w:r>
    </w:p>
    <w:p w14:paraId="1370650F">
      <w:pPr>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32. 成交通知书及成交结果公告</w:t>
      </w:r>
    </w:p>
    <w:p w14:paraId="59E19C48">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32.1评审结束后，采购人将成交供应商的情况在本采购项目采购公告发布的同一媒介予以公示，公示期限3个工作日，公示期结束后向成交供应商发出成交通知书。</w:t>
      </w:r>
    </w:p>
    <w:p w14:paraId="3F3559F6">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32.2成交供应商在规定的时间内不领取成交通知书的，视为成交后自动放弃成交资格；成交供应商在有效报价中报价最低,非不可抗力放弃成交资格的。发生上述情况的承担由此引起的一切后果。</w:t>
      </w:r>
    </w:p>
    <w:p w14:paraId="7CC90A1B">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32.3成交通知书对采购人和成交供应商具有同等法律效力。成交通知书发出后，采购人改变成交结果，或者成交供应商放弃成交，应按相关法律、规章、规范性文件的要求承担相应的法律责任。</w:t>
      </w:r>
    </w:p>
    <w:p w14:paraId="4795A28C">
      <w:pPr>
        <w:snapToGrid w:val="0"/>
        <w:spacing w:line="360" w:lineRule="auto"/>
        <w:ind w:firstLine="420" w:firstLineChars="200"/>
        <w:jc w:val="left"/>
        <w:rPr>
          <w:rFonts w:hint="eastAsia" w:ascii="宋体" w:hAnsi="宋体" w:cs="宋体"/>
          <w:bCs/>
          <w:kern w:val="0"/>
          <w:szCs w:val="21"/>
        </w:rPr>
      </w:pPr>
      <w:r>
        <w:rPr>
          <w:rFonts w:hint="eastAsia" w:ascii="宋体" w:hAnsi="宋体" w:cs="宋体"/>
          <w:kern w:val="0"/>
          <w:szCs w:val="21"/>
        </w:rPr>
        <w:t>32</w:t>
      </w:r>
      <w:r>
        <w:rPr>
          <w:rFonts w:hint="eastAsia" w:ascii="宋体" w:hAnsi="宋体" w:cs="宋体"/>
          <w:bCs/>
          <w:kern w:val="0"/>
          <w:szCs w:val="21"/>
        </w:rPr>
        <w:t>.4成交通知书将作为签订合同的依据。合同签订后，成交通知书成为合同的一部分。</w:t>
      </w:r>
    </w:p>
    <w:p w14:paraId="5289AEB3">
      <w:pPr>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33. 采购人宣布废标的权利</w:t>
      </w:r>
    </w:p>
    <w:p w14:paraId="06FFDAB4">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33.1出现下列情况之一时，采购人有权宣布废标，并将理由通知所有供应商：</w:t>
      </w:r>
    </w:p>
    <w:p w14:paraId="2075DE6B">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33.1.1出现影响采购公正的违法、违规行为的。</w:t>
      </w:r>
    </w:p>
    <w:p w14:paraId="64E27D18">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33.1.2供应商的报价均超过了采购预算金额，采购人不能支付的。</w:t>
      </w:r>
    </w:p>
    <w:p w14:paraId="5FE5F3D5">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33.1.3因重大变故，采购任务取消的。</w:t>
      </w:r>
    </w:p>
    <w:p w14:paraId="13C824B9">
      <w:pPr>
        <w:snapToGrid w:val="0"/>
        <w:spacing w:line="360" w:lineRule="auto"/>
        <w:ind w:firstLine="420" w:firstLineChars="200"/>
        <w:rPr>
          <w:rFonts w:hint="eastAsia" w:ascii="宋体" w:hAnsi="宋体" w:cs="宋体"/>
          <w:szCs w:val="21"/>
        </w:rPr>
      </w:pPr>
      <w:r>
        <w:rPr>
          <w:rFonts w:hint="eastAsia" w:ascii="宋体" w:hAnsi="宋体" w:cs="宋体"/>
          <w:bCs/>
          <w:kern w:val="0"/>
          <w:szCs w:val="21"/>
        </w:rPr>
        <w:t>33</w:t>
      </w:r>
      <w:r>
        <w:rPr>
          <w:rFonts w:hint="eastAsia" w:ascii="宋体" w:hAnsi="宋体" w:cs="宋体"/>
          <w:kern w:val="0"/>
          <w:szCs w:val="21"/>
        </w:rPr>
        <w:t xml:space="preserve">.2 </w:t>
      </w:r>
      <w:r>
        <w:rPr>
          <w:rFonts w:hint="eastAsia" w:ascii="宋体" w:hAnsi="宋体" w:cs="宋体"/>
          <w:szCs w:val="21"/>
        </w:rPr>
        <w:t>投标截止后供应商不足3家或通过资格性检查或符合性检查的供应商不足3家的，除采购任务取消情形外，按照以下方式处理：</w:t>
      </w:r>
    </w:p>
    <w:p w14:paraId="003587BB">
      <w:pPr>
        <w:numPr>
          <w:ilvl w:val="0"/>
          <w:numId w:val="2"/>
        </w:numPr>
        <w:snapToGrid w:val="0"/>
        <w:spacing w:line="360" w:lineRule="auto"/>
        <w:ind w:firstLine="420" w:firstLineChars="200"/>
        <w:rPr>
          <w:rFonts w:hint="eastAsia" w:ascii="宋体" w:hAnsi="宋体" w:cs="宋体"/>
          <w:szCs w:val="21"/>
        </w:rPr>
      </w:pPr>
      <w:r>
        <w:rPr>
          <w:rFonts w:hint="eastAsia" w:ascii="宋体" w:hAnsi="宋体" w:cs="宋体"/>
          <w:szCs w:val="21"/>
        </w:rPr>
        <w:t>采购文件存在不合理条款或者招标程序不符合规定的，采购人正后依法重新招标；　</w:t>
      </w:r>
    </w:p>
    <w:p w14:paraId="20A4BF17">
      <w:pPr>
        <w:snapToGrid w:val="0"/>
        <w:spacing w:line="360" w:lineRule="auto"/>
        <w:ind w:firstLine="420" w:firstLineChars="200"/>
        <w:rPr>
          <w:rFonts w:hint="eastAsia" w:ascii="宋体" w:hAnsi="宋体" w:cs="宋体"/>
          <w:b/>
          <w:kern w:val="0"/>
          <w:sz w:val="52"/>
          <w:szCs w:val="52"/>
        </w:rPr>
      </w:pPr>
      <w:r>
        <w:rPr>
          <w:rFonts w:hint="eastAsia" w:ascii="宋体" w:hAnsi="宋体" w:cs="宋体"/>
          <w:szCs w:val="21"/>
        </w:rPr>
        <w:t>（2）采购文件没有不合理条款、招标程序符合规定，需要采用其他采购方式采购的，采购人应当依法报财政部门批准。</w:t>
      </w:r>
    </w:p>
    <w:p w14:paraId="6B43AAFF">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七、合同授予</w:t>
      </w:r>
    </w:p>
    <w:p w14:paraId="1E03F877">
      <w:pPr>
        <w:snapToGrid w:val="0"/>
        <w:spacing w:line="360" w:lineRule="auto"/>
        <w:ind w:firstLine="472" w:firstLineChars="224"/>
        <w:rPr>
          <w:rFonts w:hint="eastAsia" w:ascii="宋体" w:hAnsi="宋体" w:cs="宋体"/>
          <w:kern w:val="0"/>
          <w:szCs w:val="21"/>
        </w:rPr>
      </w:pPr>
      <w:r>
        <w:rPr>
          <w:rFonts w:hint="eastAsia" w:ascii="宋体" w:hAnsi="宋体" w:cs="宋体"/>
          <w:b/>
          <w:bCs/>
          <w:kern w:val="0"/>
          <w:szCs w:val="21"/>
        </w:rPr>
        <w:t>34.合同签订</w:t>
      </w:r>
    </w:p>
    <w:p w14:paraId="195FC294">
      <w:pPr>
        <w:snapToGrid w:val="0"/>
        <w:spacing w:line="360" w:lineRule="auto"/>
        <w:ind w:firstLine="420" w:firstLineChars="200"/>
        <w:jc w:val="left"/>
        <w:rPr>
          <w:rFonts w:hint="eastAsia" w:ascii="宋体" w:hAnsi="宋体" w:cs="宋体"/>
          <w:kern w:val="0"/>
          <w:szCs w:val="21"/>
          <w:u w:val="single"/>
        </w:rPr>
      </w:pPr>
      <w:bookmarkStart w:id="52" w:name="_Toc8594"/>
      <w:r>
        <w:rPr>
          <w:rFonts w:hint="eastAsia" w:ascii="宋体" w:hAnsi="宋体" w:cs="宋体"/>
          <w:kern w:val="0"/>
          <w:szCs w:val="21"/>
        </w:rPr>
        <w:t>34.1 采购人、成交供应商自成交通知书发出之日起，在采购文件第三章《供应商须知前附表》规定的时间内，根据采购文件确定的事项和成交供应商</w:t>
      </w:r>
      <w:r>
        <w:rPr>
          <w:rFonts w:hint="eastAsia" w:ascii="宋体" w:hAnsi="宋体" w:cs="宋体"/>
          <w:szCs w:val="21"/>
          <w:shd w:val="clear" w:color="auto" w:fill="FFFFFF"/>
        </w:rPr>
        <w:t>响应文件</w:t>
      </w:r>
      <w:r>
        <w:rPr>
          <w:rFonts w:hint="eastAsia" w:ascii="宋体" w:hAnsi="宋体" w:cs="宋体"/>
          <w:kern w:val="0"/>
          <w:szCs w:val="21"/>
        </w:rPr>
        <w:t>签订合同。双方所签订的合同不得对采购文件和成交供应商</w:t>
      </w:r>
      <w:r>
        <w:rPr>
          <w:rFonts w:hint="eastAsia" w:ascii="宋体" w:hAnsi="宋体" w:cs="宋体"/>
          <w:szCs w:val="21"/>
          <w:shd w:val="clear" w:color="auto" w:fill="FFFFFF"/>
        </w:rPr>
        <w:t>响应文件</w:t>
      </w:r>
      <w:r>
        <w:rPr>
          <w:rFonts w:hint="eastAsia" w:ascii="宋体" w:hAnsi="宋体" w:cs="宋体"/>
          <w:kern w:val="0"/>
          <w:szCs w:val="21"/>
        </w:rPr>
        <w:t>作实质性修改。</w:t>
      </w:r>
    </w:p>
    <w:p w14:paraId="09B856F9">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34.2 采购文件、采购文件的修改文件、成交供应商的</w:t>
      </w:r>
      <w:r>
        <w:rPr>
          <w:rFonts w:hint="eastAsia" w:ascii="宋体" w:hAnsi="宋体" w:cs="宋体"/>
          <w:szCs w:val="21"/>
          <w:shd w:val="clear" w:color="auto" w:fill="FFFFFF"/>
        </w:rPr>
        <w:t>响应文件</w:t>
      </w:r>
      <w:r>
        <w:rPr>
          <w:rFonts w:hint="eastAsia" w:ascii="宋体" w:hAnsi="宋体" w:cs="宋体"/>
          <w:kern w:val="0"/>
          <w:szCs w:val="21"/>
        </w:rPr>
        <w:t>、补充或修改的文件及澄清或承诺文件等，均为双方签订合同的组成部分，并与合同一并作为本采购文件所列采购项目的互补性法律文件，与合同具有同等法律效力。</w:t>
      </w:r>
    </w:p>
    <w:p w14:paraId="7FED5290">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34.3 成交供应商放弃成交、因不可抗力不能履行合同、不按照采购文件要求提交履约保证金，或者被查实存在影响成交结果的违法行为等情形，不符合成交条件的，采购人可以按照磋商小组提出的成交候选供应商名单排序依次确定其他成交候选供应商为成交供应商，也可以重新招标。</w:t>
      </w:r>
    </w:p>
    <w:bookmarkEnd w:id="52"/>
    <w:p w14:paraId="4E8562C9">
      <w:pPr>
        <w:rPr>
          <w:rFonts w:hint="eastAsia" w:ascii="宋体" w:hAnsi="宋体" w:cs="宋体"/>
        </w:rPr>
      </w:pPr>
      <w:r>
        <w:rPr>
          <w:rFonts w:hint="eastAsia" w:ascii="宋体" w:hAnsi="宋体" w:cs="宋体"/>
        </w:rPr>
        <w:br w:type="page"/>
      </w:r>
    </w:p>
    <w:p w14:paraId="6E2B9840">
      <w:pPr>
        <w:widowControl/>
        <w:snapToGrid w:val="0"/>
        <w:jc w:val="center"/>
        <w:outlineLvl w:val="0"/>
        <w:rPr>
          <w:rFonts w:hint="eastAsia" w:ascii="宋体" w:hAnsi="宋体" w:cs="宋体"/>
          <w:kern w:val="0"/>
          <w:sz w:val="24"/>
        </w:rPr>
      </w:pPr>
      <w:bookmarkStart w:id="53" w:name="_Toc31399"/>
      <w:r>
        <w:rPr>
          <w:rFonts w:hint="eastAsia" w:ascii="宋体" w:hAnsi="宋体" w:cs="宋体"/>
          <w:b/>
          <w:bCs/>
          <w:kern w:val="0"/>
          <w:sz w:val="32"/>
          <w:szCs w:val="32"/>
        </w:rPr>
        <w:t>第四章  评标办法及评分标准</w:t>
      </w:r>
      <w:bookmarkEnd w:id="49"/>
      <w:bookmarkEnd w:id="53"/>
    </w:p>
    <w:p w14:paraId="197CCA49">
      <w:pPr>
        <w:rPr>
          <w:rFonts w:hint="eastAsia" w:ascii="宋体" w:hAnsi="宋体" w:cs="宋体"/>
        </w:rPr>
      </w:pPr>
    </w:p>
    <w:p w14:paraId="63690FE2">
      <w:pPr>
        <w:tabs>
          <w:tab w:val="left" w:pos="1620"/>
        </w:tabs>
        <w:snapToGrid w:val="0"/>
        <w:spacing w:line="360" w:lineRule="auto"/>
        <w:rPr>
          <w:rFonts w:hint="eastAsia" w:ascii="宋体" w:hAnsi="宋体" w:cs="宋体"/>
          <w:szCs w:val="21"/>
        </w:rPr>
      </w:pPr>
      <w:r>
        <w:rPr>
          <w:rFonts w:hint="eastAsia" w:ascii="宋体" w:hAnsi="宋体" w:cs="宋体"/>
          <w:szCs w:val="21"/>
        </w:rPr>
        <w:t>（一）评标原则</w:t>
      </w:r>
    </w:p>
    <w:p w14:paraId="5093483D">
      <w:pPr>
        <w:tabs>
          <w:tab w:val="left" w:pos="1620"/>
        </w:tabs>
        <w:snapToGrid w:val="0"/>
        <w:spacing w:line="360" w:lineRule="auto"/>
        <w:ind w:firstLine="462" w:firstLineChars="220"/>
        <w:rPr>
          <w:rFonts w:hint="eastAsia" w:ascii="宋体" w:hAnsi="宋体" w:cs="宋体"/>
          <w:szCs w:val="21"/>
        </w:rPr>
      </w:pPr>
      <w:r>
        <w:rPr>
          <w:rFonts w:hint="eastAsia" w:ascii="宋体" w:hAnsi="宋体" w:cs="宋体"/>
          <w:szCs w:val="21"/>
        </w:rPr>
        <w:t>按照“公平、公正”的原则对待所有供应商，按照采购文件的相关规定进行评标、定标。</w:t>
      </w:r>
    </w:p>
    <w:p w14:paraId="3D471EA8">
      <w:pPr>
        <w:tabs>
          <w:tab w:val="left" w:pos="1620"/>
        </w:tabs>
        <w:snapToGrid w:val="0"/>
        <w:spacing w:line="360" w:lineRule="auto"/>
        <w:rPr>
          <w:rFonts w:hint="eastAsia" w:ascii="宋体" w:hAnsi="宋体" w:cs="宋体"/>
          <w:szCs w:val="21"/>
        </w:rPr>
      </w:pPr>
      <w:r>
        <w:rPr>
          <w:rFonts w:hint="eastAsia" w:ascii="宋体" w:hAnsi="宋体" w:cs="宋体"/>
          <w:szCs w:val="21"/>
        </w:rPr>
        <w:t>（二）评标办法</w:t>
      </w:r>
    </w:p>
    <w:p w14:paraId="6C6FEC58">
      <w:pPr>
        <w:tabs>
          <w:tab w:val="left" w:pos="1620"/>
        </w:tabs>
        <w:snapToGrid w:val="0"/>
        <w:spacing w:line="360" w:lineRule="auto"/>
        <w:ind w:firstLine="462" w:firstLineChars="220"/>
        <w:rPr>
          <w:rFonts w:hint="eastAsia" w:ascii="宋体" w:hAnsi="宋体" w:cs="宋体"/>
          <w:szCs w:val="21"/>
        </w:rPr>
      </w:pPr>
      <w:r>
        <w:rPr>
          <w:rFonts w:hint="eastAsia" w:ascii="宋体" w:hAnsi="宋体" w:cs="宋体"/>
          <w:szCs w:val="21"/>
        </w:rPr>
        <w:t>1．本项目采用综合评分法，总分为100分。</w:t>
      </w:r>
    </w:p>
    <w:p w14:paraId="1CCAD997">
      <w:pPr>
        <w:tabs>
          <w:tab w:val="left" w:pos="1620"/>
        </w:tabs>
        <w:snapToGrid w:val="0"/>
        <w:spacing w:line="360" w:lineRule="auto"/>
        <w:ind w:firstLine="462" w:firstLineChars="220"/>
        <w:rPr>
          <w:rFonts w:hint="eastAsia" w:ascii="宋体" w:hAnsi="宋体" w:cs="宋体"/>
          <w:szCs w:val="21"/>
        </w:rPr>
      </w:pPr>
      <w:r>
        <w:rPr>
          <w:rFonts w:hint="eastAsia" w:ascii="宋体" w:hAnsi="宋体" w:cs="宋体"/>
          <w:szCs w:val="21"/>
        </w:rPr>
        <w:t>2．磋商小组按照采购文件中规定的评标方法和标准，对</w:t>
      </w:r>
      <w:r>
        <w:rPr>
          <w:rFonts w:hint="eastAsia" w:ascii="宋体" w:hAnsi="宋体" w:cs="宋体"/>
          <w:kern w:val="0"/>
          <w:szCs w:val="21"/>
        </w:rPr>
        <w:t>响应</w:t>
      </w:r>
      <w:r>
        <w:rPr>
          <w:rFonts w:hint="eastAsia" w:ascii="宋体" w:hAnsi="宋体" w:cs="宋体"/>
          <w:szCs w:val="21"/>
        </w:rPr>
        <w:t>文件进行综合比较与评价。</w:t>
      </w:r>
    </w:p>
    <w:p w14:paraId="2D0A45CE">
      <w:pPr>
        <w:tabs>
          <w:tab w:val="left" w:pos="1620"/>
        </w:tabs>
        <w:snapToGrid w:val="0"/>
        <w:spacing w:line="360" w:lineRule="auto"/>
        <w:ind w:firstLine="462" w:firstLineChars="220"/>
        <w:rPr>
          <w:rFonts w:hint="eastAsia" w:ascii="宋体" w:hAnsi="宋体" w:cs="宋体"/>
          <w:szCs w:val="21"/>
        </w:rPr>
      </w:pPr>
      <w:r>
        <w:rPr>
          <w:rFonts w:hint="eastAsia" w:ascii="宋体" w:hAnsi="宋体" w:cs="宋体"/>
          <w:szCs w:val="21"/>
        </w:rPr>
        <w:t>3. 评标结果按评审后得分由高到低顺序排列，得分相同的，按投标报价由低到高顺序排列。得分且投标报价相同的，按技术部分得分顺序排列。</w:t>
      </w:r>
    </w:p>
    <w:p w14:paraId="7E24C267">
      <w:pPr>
        <w:tabs>
          <w:tab w:val="left" w:pos="1620"/>
        </w:tabs>
        <w:snapToGrid w:val="0"/>
        <w:spacing w:line="360" w:lineRule="auto"/>
        <w:ind w:firstLine="462" w:firstLineChars="220"/>
        <w:rPr>
          <w:rFonts w:hint="eastAsia" w:ascii="宋体" w:hAnsi="宋体" w:cs="宋体"/>
          <w:szCs w:val="21"/>
        </w:rPr>
        <w:sectPr>
          <w:pgSz w:w="11906" w:h="16838"/>
          <w:pgMar w:top="1240" w:right="1205" w:bottom="1111" w:left="1387" w:header="0" w:footer="894" w:gutter="0"/>
          <w:cols w:space="720" w:num="1"/>
        </w:sectPr>
      </w:pPr>
      <w:r>
        <w:rPr>
          <w:rFonts w:hint="eastAsia" w:ascii="宋体" w:hAnsi="宋体" w:cs="宋体"/>
          <w:szCs w:val="21"/>
        </w:rPr>
        <w:t>4.</w:t>
      </w:r>
      <w:r>
        <w:rPr>
          <w:rFonts w:hint="eastAsia" w:ascii="宋体" w:hAnsi="宋体" w:cs="宋体"/>
          <w:kern w:val="0"/>
          <w:szCs w:val="21"/>
        </w:rPr>
        <w:t>响应</w:t>
      </w:r>
      <w:r>
        <w:rPr>
          <w:rFonts w:hint="eastAsia" w:ascii="宋体" w:hAnsi="宋体" w:cs="宋体"/>
          <w:szCs w:val="21"/>
        </w:rPr>
        <w:t>文件满足采购文件全部实质性要求，且评审得分最高的供应商为成交供应商。</w:t>
      </w:r>
    </w:p>
    <w:p w14:paraId="6342F010">
      <w:pPr>
        <w:tabs>
          <w:tab w:val="left" w:pos="1620"/>
        </w:tabs>
        <w:snapToGrid w:val="0"/>
        <w:spacing w:line="360" w:lineRule="auto"/>
        <w:rPr>
          <w:rFonts w:hint="eastAsia" w:ascii="宋体" w:hAnsi="宋体" w:cs="宋体"/>
          <w:szCs w:val="21"/>
        </w:rPr>
      </w:pPr>
    </w:p>
    <w:p w14:paraId="1A007F64">
      <w:pPr>
        <w:tabs>
          <w:tab w:val="left" w:pos="1620"/>
        </w:tabs>
        <w:snapToGrid w:val="0"/>
        <w:spacing w:line="360" w:lineRule="auto"/>
        <w:rPr>
          <w:rFonts w:hint="eastAsia" w:ascii="宋体" w:hAnsi="宋体" w:cs="宋体"/>
          <w:szCs w:val="21"/>
        </w:rPr>
      </w:pPr>
      <w:r>
        <w:rPr>
          <w:rFonts w:hint="eastAsia" w:ascii="宋体" w:hAnsi="宋体" w:cs="宋体"/>
          <w:szCs w:val="21"/>
        </w:rPr>
        <w:t>（三）评标程序</w:t>
      </w:r>
    </w:p>
    <w:p w14:paraId="2023D02F">
      <w:pPr>
        <w:snapToGrid w:val="0"/>
        <w:spacing w:line="360" w:lineRule="auto"/>
        <w:ind w:firstLine="420" w:firstLineChars="200"/>
        <w:rPr>
          <w:rFonts w:hint="eastAsia" w:ascii="宋体" w:hAnsi="宋体" w:cs="宋体"/>
          <w:szCs w:val="21"/>
        </w:rPr>
      </w:pPr>
      <w:r>
        <w:rPr>
          <w:rFonts w:hint="eastAsia" w:ascii="宋体" w:hAnsi="宋体" w:cs="宋体"/>
          <w:szCs w:val="21"/>
        </w:rPr>
        <w:t>1.详细评审（100分）</w:t>
      </w:r>
    </w:p>
    <w:tbl>
      <w:tblPr>
        <w:tblStyle w:val="3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3EA8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vAlign w:val="center"/>
          </w:tcPr>
          <w:p w14:paraId="18F65F09">
            <w:pPr>
              <w:tabs>
                <w:tab w:val="left" w:pos="3000"/>
              </w:tabs>
              <w:snapToGrid w:val="0"/>
              <w:jc w:val="center"/>
              <w:rPr>
                <w:rFonts w:hint="eastAsia" w:ascii="宋体" w:hAnsi="宋体" w:cs="宋体"/>
                <w:szCs w:val="21"/>
                <w:highlight w:val="none"/>
              </w:rPr>
            </w:pPr>
            <w:r>
              <w:rPr>
                <w:rFonts w:hint="eastAsia" w:ascii="宋体" w:hAnsi="宋体" w:cs="宋体"/>
                <w:szCs w:val="21"/>
                <w:highlight w:val="none"/>
              </w:rPr>
              <w:t>评审内容</w:t>
            </w:r>
          </w:p>
        </w:tc>
      </w:tr>
      <w:tr w14:paraId="33A1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vAlign w:val="center"/>
          </w:tcPr>
          <w:p w14:paraId="67EC5286">
            <w:pPr>
              <w:snapToGrid w:val="0"/>
              <w:spacing w:line="320" w:lineRule="exact"/>
              <w:jc w:val="left"/>
              <w:rPr>
                <w:rFonts w:hint="eastAsia" w:ascii="宋体" w:hAnsi="宋体" w:cs="宋体"/>
                <w:szCs w:val="21"/>
                <w:highlight w:val="none"/>
              </w:rPr>
            </w:pPr>
            <w:r>
              <w:rPr>
                <w:rFonts w:hint="eastAsia" w:ascii="宋体" w:hAnsi="宋体" w:cs="宋体"/>
                <w:szCs w:val="21"/>
                <w:highlight w:val="none"/>
              </w:rPr>
              <w:t>价格标部分 (20分)</w:t>
            </w:r>
          </w:p>
        </w:tc>
        <w:tc>
          <w:tcPr>
            <w:tcW w:w="8243" w:type="dxa"/>
            <w:gridSpan w:val="2"/>
            <w:vAlign w:val="center"/>
          </w:tcPr>
          <w:p w14:paraId="7026D8F6">
            <w:pPr>
              <w:pStyle w:val="51"/>
              <w:snapToGrid w:val="0"/>
              <w:spacing w:line="360" w:lineRule="exact"/>
              <w:jc w:val="both"/>
              <w:rPr>
                <w:rFonts w:hint="eastAsia" w:hAnsi="宋体"/>
                <w:color w:val="auto"/>
                <w:sz w:val="21"/>
                <w:szCs w:val="21"/>
                <w:highlight w:val="none"/>
              </w:rPr>
            </w:pPr>
            <w:r>
              <w:rPr>
                <w:rFonts w:hint="eastAsia" w:hAnsi="宋体"/>
                <w:color w:val="auto"/>
                <w:sz w:val="21"/>
                <w:szCs w:val="21"/>
                <w:highlight w:val="none"/>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1D5E3FFE">
            <w:pPr>
              <w:pStyle w:val="51"/>
              <w:snapToGrid w:val="0"/>
              <w:spacing w:line="360" w:lineRule="exact"/>
              <w:jc w:val="both"/>
              <w:rPr>
                <w:rFonts w:hint="eastAsia" w:hAnsi="宋体"/>
                <w:color w:val="auto"/>
                <w:sz w:val="21"/>
                <w:szCs w:val="21"/>
                <w:highlight w:val="none"/>
              </w:rPr>
            </w:pPr>
            <w:r>
              <w:rPr>
                <w:rFonts w:hint="eastAsia" w:hAnsi="宋体"/>
                <w:color w:val="auto"/>
                <w:sz w:val="21"/>
                <w:szCs w:val="21"/>
                <w:highlight w:val="none"/>
              </w:rPr>
              <w:t>有效磋商报价：磋商报价不高于采购预算价的为有效磋商报价。</w:t>
            </w:r>
          </w:p>
          <w:p w14:paraId="43C9B908">
            <w:pPr>
              <w:pStyle w:val="51"/>
              <w:snapToGrid w:val="0"/>
              <w:spacing w:line="360" w:lineRule="exact"/>
              <w:jc w:val="both"/>
              <w:rPr>
                <w:rFonts w:hint="eastAsia" w:hAnsi="宋体"/>
                <w:color w:val="auto"/>
                <w:sz w:val="21"/>
                <w:szCs w:val="21"/>
                <w:highlight w:val="none"/>
              </w:rPr>
            </w:pPr>
            <w:r>
              <w:rPr>
                <w:rFonts w:hint="eastAsia" w:hAnsi="宋体"/>
                <w:color w:val="auto"/>
                <w:sz w:val="21"/>
                <w:szCs w:val="21"/>
                <w:highlight w:val="none"/>
              </w:rPr>
              <w:t>评标基准值的确定：满足采购文件要求且磋商价格最低的有效磋商报价为评标基准价。</w:t>
            </w:r>
          </w:p>
          <w:p w14:paraId="2CCC45DE">
            <w:pPr>
              <w:snapToGrid w:val="0"/>
              <w:spacing w:line="360" w:lineRule="exact"/>
              <w:rPr>
                <w:rFonts w:hint="eastAsia" w:ascii="宋体" w:hAnsi="宋体" w:cs="宋体"/>
                <w:highlight w:val="none"/>
              </w:rPr>
            </w:pPr>
            <w:r>
              <w:rPr>
                <w:rFonts w:hint="eastAsia" w:ascii="宋体" w:hAnsi="宋体" w:cs="宋体"/>
                <w:szCs w:val="21"/>
                <w:highlight w:val="none"/>
              </w:rPr>
              <w:t>磋商报价得分=(磋商基准价/最后磋商报价)×20×100%；</w:t>
            </w:r>
          </w:p>
        </w:tc>
      </w:tr>
      <w:tr w14:paraId="1387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39" w:type="dxa"/>
            <w:vMerge w:val="restart"/>
            <w:vAlign w:val="center"/>
          </w:tcPr>
          <w:p w14:paraId="485FEED3">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技术部分（60分）</w:t>
            </w:r>
          </w:p>
        </w:tc>
        <w:tc>
          <w:tcPr>
            <w:tcW w:w="1473" w:type="dxa"/>
            <w:vAlign w:val="center"/>
          </w:tcPr>
          <w:p w14:paraId="2359F77C">
            <w:pPr>
              <w:snapToGrid w:val="0"/>
              <w:spacing w:line="320" w:lineRule="exact"/>
              <w:jc w:val="center"/>
              <w:rPr>
                <w:rFonts w:hint="eastAsia"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szCs w:val="21"/>
                <w:highlight w:val="none"/>
              </w:rPr>
              <w:t>服务能力的响应程度</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分）</w:t>
            </w:r>
          </w:p>
        </w:tc>
        <w:tc>
          <w:tcPr>
            <w:tcW w:w="6770" w:type="dxa"/>
            <w:vAlign w:val="center"/>
          </w:tcPr>
          <w:p w14:paraId="4D7819ED">
            <w:pPr>
              <w:rPr>
                <w:rFonts w:hint="eastAsia" w:ascii="宋体" w:hAnsi="宋体" w:cs="宋体"/>
                <w:szCs w:val="21"/>
                <w:highlight w:val="none"/>
              </w:rPr>
            </w:pPr>
            <w:r>
              <w:rPr>
                <w:rFonts w:hint="eastAsia" w:ascii="宋体" w:hAnsi="宋体" w:cs="宋体"/>
                <w:szCs w:val="21"/>
                <w:highlight w:val="none"/>
              </w:rPr>
              <w:t>供应商对“第二章 采购需求 三、技术要求”的响应，全部满足磋商文件要求的得</w:t>
            </w:r>
            <w:r>
              <w:rPr>
                <w:rFonts w:hint="eastAsia" w:ascii="宋体" w:hAnsi="宋体" w:cs="宋体"/>
                <w:szCs w:val="21"/>
                <w:highlight w:val="none"/>
                <w:lang w:val="en-US" w:eastAsia="zh-CN"/>
              </w:rPr>
              <w:t>20</w:t>
            </w:r>
            <w:r>
              <w:rPr>
                <w:rFonts w:hint="eastAsia" w:ascii="宋体" w:hAnsi="宋体" w:cs="宋体"/>
                <w:szCs w:val="21"/>
                <w:highlight w:val="none"/>
              </w:rPr>
              <w:t>分；一项不满足扣</w:t>
            </w:r>
            <w:r>
              <w:rPr>
                <w:rFonts w:hint="eastAsia" w:ascii="宋体" w:hAnsi="宋体" w:cs="宋体"/>
                <w:szCs w:val="21"/>
                <w:highlight w:val="none"/>
                <w:lang w:val="en-US" w:eastAsia="zh-CN"/>
              </w:rPr>
              <w:t>4</w:t>
            </w:r>
            <w:r>
              <w:rPr>
                <w:rFonts w:hint="eastAsia" w:ascii="宋体" w:hAnsi="宋体" w:cs="宋体"/>
                <w:szCs w:val="21"/>
                <w:highlight w:val="none"/>
              </w:rPr>
              <w:t>分。如得分为0，则磋商无效。</w:t>
            </w:r>
          </w:p>
        </w:tc>
      </w:tr>
      <w:tr w14:paraId="38BD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4EE0EC64">
            <w:pPr>
              <w:snapToGrid w:val="0"/>
              <w:spacing w:line="320" w:lineRule="exact"/>
              <w:jc w:val="center"/>
              <w:rPr>
                <w:rFonts w:hint="eastAsia" w:ascii="宋体" w:hAnsi="宋体" w:cs="宋体"/>
                <w:szCs w:val="21"/>
                <w:highlight w:val="none"/>
              </w:rPr>
            </w:pPr>
          </w:p>
        </w:tc>
        <w:tc>
          <w:tcPr>
            <w:tcW w:w="1473" w:type="dxa"/>
            <w:vAlign w:val="center"/>
          </w:tcPr>
          <w:p w14:paraId="25D9A9D9">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2.实施计划（1</w:t>
            </w:r>
            <w:r>
              <w:rPr>
                <w:rFonts w:hint="eastAsia" w:ascii="宋体" w:hAnsi="宋体" w:cs="宋体"/>
                <w:szCs w:val="21"/>
                <w:highlight w:val="none"/>
                <w:lang w:val="en-US" w:eastAsia="zh-CN"/>
              </w:rPr>
              <w:t>0</w:t>
            </w:r>
            <w:r>
              <w:rPr>
                <w:rFonts w:hint="eastAsia" w:ascii="宋体" w:hAnsi="宋体" w:cs="宋体"/>
                <w:szCs w:val="21"/>
                <w:highlight w:val="none"/>
              </w:rPr>
              <w:t>分）</w:t>
            </w:r>
          </w:p>
        </w:tc>
        <w:tc>
          <w:tcPr>
            <w:tcW w:w="6770" w:type="dxa"/>
            <w:vAlign w:val="center"/>
          </w:tcPr>
          <w:p w14:paraId="2A55A46D">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根据供应商制定的实施方案进行打分，包含但不限于以下内容：</w:t>
            </w:r>
          </w:p>
          <w:p w14:paraId="3291C516">
            <w:pPr>
              <w:widowControl/>
              <w:numPr>
                <w:ilvl w:val="0"/>
                <w:numId w:val="3"/>
              </w:numPr>
              <w:snapToGrid w:val="0"/>
              <w:spacing w:line="320" w:lineRule="exact"/>
              <w:rPr>
                <w:highlight w:val="none"/>
              </w:rPr>
            </w:pPr>
            <w:r>
              <w:rPr>
                <w:rFonts w:hint="eastAsia" w:ascii="宋体" w:hAnsi="宋体" w:cs="宋体"/>
                <w:szCs w:val="21"/>
                <w:highlight w:val="none"/>
              </w:rPr>
              <w:t>项目基本情况分析及重点分析；2、进度安排与人员配置；3、监测与数据质量保障；4、报告编制与成果交付；5.验收方案。</w:t>
            </w:r>
          </w:p>
          <w:p w14:paraId="1D42AE84">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方案完善，对项目分析准确、进度安排合理，完全满足采购需求的得1</w:t>
            </w:r>
            <w:r>
              <w:rPr>
                <w:rFonts w:hint="eastAsia" w:ascii="宋体" w:hAnsi="宋体" w:cs="宋体"/>
                <w:szCs w:val="21"/>
                <w:highlight w:val="none"/>
                <w:lang w:val="en-US" w:eastAsia="zh-CN"/>
              </w:rPr>
              <w:t>0</w:t>
            </w:r>
            <w:r>
              <w:rPr>
                <w:rFonts w:hint="eastAsia" w:ascii="宋体" w:hAnsi="宋体" w:cs="宋体"/>
                <w:szCs w:val="21"/>
                <w:highlight w:val="none"/>
              </w:rPr>
              <w:t>分；</w:t>
            </w:r>
          </w:p>
          <w:p w14:paraId="222DC968">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方案基本满足采购需求的得</w:t>
            </w:r>
            <w:r>
              <w:rPr>
                <w:rFonts w:hint="eastAsia" w:ascii="宋体" w:hAnsi="宋体" w:cs="宋体"/>
                <w:szCs w:val="21"/>
                <w:highlight w:val="none"/>
                <w:lang w:val="en-US" w:eastAsia="zh-CN"/>
              </w:rPr>
              <w:t>6</w:t>
            </w:r>
            <w:r>
              <w:rPr>
                <w:rFonts w:hint="eastAsia" w:ascii="宋体" w:hAnsi="宋体" w:cs="宋体"/>
                <w:szCs w:val="21"/>
                <w:highlight w:val="none"/>
              </w:rPr>
              <w:t>分；</w:t>
            </w:r>
          </w:p>
          <w:p w14:paraId="5194713F">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方案有待完善的得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46C96F41">
            <w:pPr>
              <w:widowControl/>
              <w:snapToGrid w:val="0"/>
              <w:spacing w:line="320" w:lineRule="exact"/>
              <w:rPr>
                <w:rFonts w:hint="eastAsia" w:ascii="仿宋_GB2312" w:hAnsi="仿宋_GB2312" w:eastAsia="仿宋_GB2312" w:cs="仿宋_GB2312"/>
                <w:highlight w:val="none"/>
              </w:rPr>
            </w:pPr>
            <w:r>
              <w:rPr>
                <w:rFonts w:hint="eastAsia" w:ascii="宋体" w:hAnsi="宋体" w:cs="宋体"/>
                <w:szCs w:val="21"/>
                <w:highlight w:val="none"/>
              </w:rPr>
              <w:t>缺项得0分。</w:t>
            </w:r>
          </w:p>
        </w:tc>
      </w:tr>
      <w:tr w14:paraId="0175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39" w:type="dxa"/>
            <w:vMerge w:val="continue"/>
            <w:vAlign w:val="center"/>
          </w:tcPr>
          <w:p w14:paraId="67D2A194">
            <w:pPr>
              <w:snapToGrid w:val="0"/>
              <w:spacing w:line="320" w:lineRule="exact"/>
              <w:jc w:val="center"/>
              <w:rPr>
                <w:rFonts w:hint="eastAsia" w:ascii="宋体" w:hAnsi="宋体" w:cs="宋体"/>
                <w:szCs w:val="21"/>
                <w:highlight w:val="none"/>
              </w:rPr>
            </w:pPr>
          </w:p>
        </w:tc>
        <w:tc>
          <w:tcPr>
            <w:tcW w:w="1473" w:type="dxa"/>
            <w:vAlign w:val="center"/>
          </w:tcPr>
          <w:p w14:paraId="168DA1E8">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3.监测方案（</w:t>
            </w:r>
            <w:r>
              <w:rPr>
                <w:rFonts w:hint="eastAsia" w:ascii="宋体" w:hAnsi="宋体" w:cs="宋体"/>
                <w:szCs w:val="21"/>
                <w:highlight w:val="none"/>
                <w:lang w:val="en-US" w:eastAsia="zh-CN"/>
              </w:rPr>
              <w:t>10</w:t>
            </w:r>
            <w:r>
              <w:rPr>
                <w:rFonts w:hint="eastAsia" w:ascii="宋体" w:hAnsi="宋体" w:cs="宋体"/>
                <w:szCs w:val="21"/>
                <w:highlight w:val="none"/>
              </w:rPr>
              <w:t>分）</w:t>
            </w:r>
          </w:p>
        </w:tc>
        <w:tc>
          <w:tcPr>
            <w:tcW w:w="6770" w:type="dxa"/>
            <w:vAlign w:val="center"/>
          </w:tcPr>
          <w:p w14:paraId="5288ED6A">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根据供应商制定的实施方案进行打分，包含但不限于以下内容：</w:t>
            </w:r>
          </w:p>
          <w:p w14:paraId="6A08D4D2">
            <w:pPr>
              <w:widowControl/>
              <w:snapToGrid w:val="0"/>
              <w:spacing w:line="320" w:lineRule="exact"/>
              <w:rPr>
                <w:highlight w:val="none"/>
              </w:rPr>
            </w:pPr>
            <w:r>
              <w:rPr>
                <w:rFonts w:hint="eastAsia" w:ascii="宋体" w:hAnsi="宋体" w:cs="宋体"/>
                <w:szCs w:val="21"/>
                <w:highlight w:val="none"/>
              </w:rPr>
              <w:t>1、</w:t>
            </w:r>
            <w:r>
              <w:rPr>
                <w:rFonts w:ascii="宋体" w:hAnsi="宋体" w:cs="宋体"/>
                <w:szCs w:val="21"/>
                <w:highlight w:val="none"/>
              </w:rPr>
              <w:t>监测方案（点位设置、频次、指标）</w:t>
            </w:r>
            <w:r>
              <w:rPr>
                <w:rFonts w:hint="eastAsia" w:ascii="宋体" w:hAnsi="宋体" w:cs="宋体"/>
                <w:szCs w:val="21"/>
                <w:highlight w:val="none"/>
              </w:rPr>
              <w:t>；2、监测点位布设；3、监测方法与技术标准；4、数据记录与处理；</w:t>
            </w:r>
          </w:p>
          <w:p w14:paraId="6FD969E8">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方案完善、点位覆盖全面、监测技术先进、数据记录完整，全面满足采购需求的得1</w:t>
            </w:r>
            <w:r>
              <w:rPr>
                <w:rFonts w:hint="eastAsia" w:ascii="宋体" w:hAnsi="宋体" w:cs="宋体"/>
                <w:szCs w:val="21"/>
                <w:highlight w:val="none"/>
                <w:lang w:val="en-US" w:eastAsia="zh-CN"/>
              </w:rPr>
              <w:t>0</w:t>
            </w:r>
            <w:r>
              <w:rPr>
                <w:rFonts w:hint="eastAsia" w:ascii="宋体" w:hAnsi="宋体" w:cs="宋体"/>
                <w:szCs w:val="21"/>
                <w:highlight w:val="none"/>
              </w:rPr>
              <w:t>分；</w:t>
            </w:r>
          </w:p>
          <w:p w14:paraId="02C0DF86">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方案基本满足采购需求的得</w:t>
            </w:r>
            <w:r>
              <w:rPr>
                <w:rFonts w:hint="eastAsia" w:ascii="宋体" w:hAnsi="宋体" w:cs="宋体"/>
                <w:szCs w:val="21"/>
                <w:highlight w:val="none"/>
                <w:lang w:val="en-US" w:eastAsia="zh-CN"/>
              </w:rPr>
              <w:t>6</w:t>
            </w:r>
            <w:r>
              <w:rPr>
                <w:rFonts w:hint="eastAsia" w:ascii="宋体" w:hAnsi="宋体" w:cs="宋体"/>
                <w:szCs w:val="21"/>
                <w:highlight w:val="none"/>
              </w:rPr>
              <w:t>分；</w:t>
            </w:r>
          </w:p>
          <w:p w14:paraId="3C4BBD12">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方案有待完善的得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40A12785">
            <w:pPr>
              <w:widowControl/>
              <w:snapToGrid w:val="0"/>
              <w:spacing w:line="320" w:lineRule="exact"/>
              <w:rPr>
                <w:rFonts w:hint="eastAsia" w:ascii="宋体" w:hAnsi="宋体" w:cs="宋体"/>
                <w:bCs/>
                <w:color w:val="000000"/>
                <w:szCs w:val="21"/>
                <w:highlight w:val="none"/>
              </w:rPr>
            </w:pPr>
            <w:r>
              <w:rPr>
                <w:rFonts w:hint="eastAsia" w:ascii="宋体" w:hAnsi="宋体" w:cs="宋体"/>
                <w:szCs w:val="21"/>
                <w:highlight w:val="none"/>
              </w:rPr>
              <w:t>缺项得0分。</w:t>
            </w:r>
          </w:p>
        </w:tc>
      </w:tr>
      <w:tr w14:paraId="280A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1239" w:type="dxa"/>
            <w:vMerge w:val="continue"/>
            <w:vAlign w:val="center"/>
          </w:tcPr>
          <w:p w14:paraId="23BF058F">
            <w:pPr>
              <w:snapToGrid w:val="0"/>
              <w:spacing w:line="320" w:lineRule="exact"/>
              <w:jc w:val="center"/>
              <w:rPr>
                <w:rFonts w:hint="eastAsia" w:ascii="宋体" w:hAnsi="宋体" w:cs="宋体"/>
                <w:szCs w:val="21"/>
                <w:highlight w:val="none"/>
              </w:rPr>
            </w:pPr>
          </w:p>
        </w:tc>
        <w:tc>
          <w:tcPr>
            <w:tcW w:w="1473" w:type="dxa"/>
            <w:vAlign w:val="center"/>
          </w:tcPr>
          <w:p w14:paraId="7245156A">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4.监测设备</w:t>
            </w:r>
          </w:p>
          <w:p w14:paraId="5F538060">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分)</w:t>
            </w:r>
          </w:p>
        </w:tc>
        <w:tc>
          <w:tcPr>
            <w:tcW w:w="6770" w:type="dxa"/>
            <w:vAlign w:val="center"/>
          </w:tcPr>
          <w:p w14:paraId="2170C4A9">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根据供应商提供设备情况进行打分，包括但不限于：</w:t>
            </w:r>
          </w:p>
          <w:p w14:paraId="7E353C71">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1.拥有机房屏蔽防护、机房布局与辅助设施、防护用品、监测用品等所需的监测设备及辅助设备，提供相关设备/用品清单及相关证明材料；</w:t>
            </w:r>
          </w:p>
          <w:p w14:paraId="5B5CABF7">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2.监测设备经过法定计量技术及机构检定/校准，提交校准证明材料。</w:t>
            </w:r>
          </w:p>
          <w:p w14:paraId="0D3E18BF">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设备齐全、具有完善的设备校准机制，能提供校准证书的，得</w:t>
            </w:r>
            <w:r>
              <w:rPr>
                <w:rFonts w:hint="eastAsia" w:ascii="宋体" w:hAnsi="宋体" w:cs="宋体"/>
                <w:szCs w:val="21"/>
                <w:highlight w:val="none"/>
                <w:lang w:val="en-US" w:eastAsia="zh-CN"/>
              </w:rPr>
              <w:t>10</w:t>
            </w:r>
            <w:r>
              <w:rPr>
                <w:rFonts w:hint="eastAsia" w:ascii="宋体" w:hAnsi="宋体" w:cs="宋体"/>
                <w:szCs w:val="21"/>
                <w:highlight w:val="none"/>
              </w:rPr>
              <w:t>分 。</w:t>
            </w:r>
          </w:p>
          <w:p w14:paraId="22480E16">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设备种类及校准工作基本满足需求的，得6分。</w:t>
            </w:r>
          </w:p>
          <w:p w14:paraId="41512C65">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设备种类及校准工作缺失或不规范的，得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622106B1">
            <w:pPr>
              <w:widowControl/>
              <w:snapToGrid w:val="0"/>
              <w:spacing w:line="320" w:lineRule="exact"/>
              <w:rPr>
                <w:highlight w:val="none"/>
              </w:rPr>
            </w:pPr>
            <w:r>
              <w:rPr>
                <w:rFonts w:hint="eastAsia" w:ascii="宋体" w:hAnsi="宋体" w:cs="宋体"/>
                <w:szCs w:val="21"/>
                <w:highlight w:val="none"/>
              </w:rPr>
              <w:t>缺项得0分。</w:t>
            </w:r>
          </w:p>
        </w:tc>
      </w:tr>
      <w:tr w14:paraId="0432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39" w:type="dxa"/>
            <w:vMerge w:val="continue"/>
            <w:vAlign w:val="center"/>
          </w:tcPr>
          <w:p w14:paraId="38A844FE">
            <w:pPr>
              <w:snapToGrid w:val="0"/>
              <w:spacing w:line="320" w:lineRule="exact"/>
              <w:jc w:val="center"/>
              <w:rPr>
                <w:rFonts w:hint="eastAsia" w:ascii="宋体" w:hAnsi="宋体" w:cs="宋体"/>
                <w:szCs w:val="21"/>
                <w:highlight w:val="none"/>
              </w:rPr>
            </w:pPr>
          </w:p>
        </w:tc>
        <w:tc>
          <w:tcPr>
            <w:tcW w:w="1473" w:type="dxa"/>
            <w:vAlign w:val="center"/>
          </w:tcPr>
          <w:p w14:paraId="2A6B8C95">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5.辐射安全管理（5分）</w:t>
            </w:r>
          </w:p>
        </w:tc>
        <w:tc>
          <w:tcPr>
            <w:tcW w:w="6770" w:type="dxa"/>
            <w:vAlign w:val="center"/>
          </w:tcPr>
          <w:p w14:paraId="7AFCEE77">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根据供应商制定的辐射安全管理措施进行打分，包含但不限于以下内容：</w:t>
            </w:r>
          </w:p>
          <w:p w14:paraId="5455503A">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1.人员定期培训及持证上岗；2.辐射分区及标识管理；3.辐射安全制度。</w:t>
            </w:r>
          </w:p>
          <w:p w14:paraId="67F3AACB">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安全管理措施规范、风险极低、可实施性强，完全满足采购需求的得5分；</w:t>
            </w:r>
          </w:p>
          <w:p w14:paraId="09EC12E7">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安全管理措施基本符合要求，可能存在轻微安全隐患的得3分；</w:t>
            </w:r>
          </w:p>
          <w:p w14:paraId="409DE3A3">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安全管理措施有待完善的得1分。</w:t>
            </w:r>
          </w:p>
        </w:tc>
      </w:tr>
      <w:tr w14:paraId="4245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continue"/>
            <w:vAlign w:val="center"/>
          </w:tcPr>
          <w:p w14:paraId="285BE026">
            <w:pPr>
              <w:snapToGrid w:val="0"/>
              <w:spacing w:line="320" w:lineRule="exact"/>
              <w:jc w:val="center"/>
              <w:rPr>
                <w:rFonts w:hint="eastAsia" w:ascii="宋体" w:hAnsi="宋体" w:cs="宋体"/>
                <w:szCs w:val="21"/>
                <w:highlight w:val="none"/>
              </w:rPr>
            </w:pPr>
          </w:p>
        </w:tc>
        <w:tc>
          <w:tcPr>
            <w:tcW w:w="1473" w:type="dxa"/>
            <w:tcBorders>
              <w:top w:val="single" w:color="auto" w:sz="4" w:space="0"/>
            </w:tcBorders>
            <w:vAlign w:val="center"/>
          </w:tcPr>
          <w:p w14:paraId="67B2E2E0">
            <w:pPr>
              <w:widowControl/>
              <w:snapToGrid w:val="0"/>
              <w:spacing w:line="360" w:lineRule="exact"/>
              <w:jc w:val="center"/>
              <w:rPr>
                <w:rFonts w:hint="eastAsia" w:ascii="宋体" w:hAnsi="宋体" w:cs="宋体"/>
                <w:szCs w:val="21"/>
                <w:highlight w:val="none"/>
              </w:rPr>
            </w:pPr>
            <w:r>
              <w:rPr>
                <w:rFonts w:hint="eastAsia" w:ascii="宋体" w:hAnsi="宋体" w:cs="宋体"/>
                <w:szCs w:val="21"/>
                <w:highlight w:val="none"/>
              </w:rPr>
              <w:t>6.应急服务方案及保障措施（5分）</w:t>
            </w:r>
          </w:p>
        </w:tc>
        <w:tc>
          <w:tcPr>
            <w:tcW w:w="6770" w:type="dxa"/>
            <w:vAlign w:val="center"/>
          </w:tcPr>
          <w:p w14:paraId="54B699BE">
            <w:pPr>
              <w:widowControl/>
              <w:snapToGrid w:val="0"/>
              <w:spacing w:line="360" w:lineRule="exact"/>
              <w:rPr>
                <w:rFonts w:hint="eastAsia" w:ascii="宋体" w:hAnsi="宋体" w:cs="宋体"/>
                <w:szCs w:val="21"/>
                <w:highlight w:val="none"/>
              </w:rPr>
            </w:pPr>
            <w:r>
              <w:rPr>
                <w:rFonts w:hint="eastAsia" w:ascii="宋体" w:hAnsi="宋体" w:cs="宋体"/>
                <w:bCs/>
                <w:color w:val="000000"/>
                <w:szCs w:val="21"/>
                <w:highlight w:val="none"/>
              </w:rPr>
              <w:t>投标人针对本项目提供</w:t>
            </w:r>
            <w:r>
              <w:rPr>
                <w:rFonts w:hint="eastAsia" w:ascii="宋体" w:hAnsi="宋体" w:cs="宋体"/>
                <w:szCs w:val="21"/>
                <w:highlight w:val="none"/>
              </w:rPr>
              <w:t>应急服务方案及保障措施，包含（但不限于）以下内容：应急事件及其应急响应流程及响应时间、应急保障措施（人员配备、设备等）。</w:t>
            </w:r>
          </w:p>
          <w:p w14:paraId="7C34FD37">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措施详尽、应急响应时间极快、应急保障充分的得5分；</w:t>
            </w:r>
          </w:p>
          <w:p w14:paraId="17E3161A">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应急响应时间较快、应急保障较充分的得3分；</w:t>
            </w:r>
          </w:p>
          <w:p w14:paraId="7DD3A54E">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应急响应时间较长、应急保障不充分的得1分；</w:t>
            </w:r>
          </w:p>
          <w:p w14:paraId="3B799494">
            <w:pPr>
              <w:widowControl/>
              <w:snapToGrid w:val="0"/>
              <w:spacing w:line="360" w:lineRule="exact"/>
              <w:rPr>
                <w:highlight w:val="none"/>
              </w:rPr>
            </w:pPr>
            <w:r>
              <w:rPr>
                <w:rFonts w:ascii="宋体" w:hAnsi="宋体" w:cs="宋体"/>
                <w:kern w:val="0"/>
                <w:highlight w:val="none"/>
                <w:lang w:eastAsia="en-US"/>
              </w:rPr>
              <w:t>缺项不得分</w:t>
            </w:r>
            <w:r>
              <w:rPr>
                <w:rFonts w:hint="eastAsia" w:ascii="宋体" w:hAnsi="宋体" w:cs="宋体"/>
                <w:szCs w:val="21"/>
                <w:highlight w:val="none"/>
              </w:rPr>
              <w:t>。</w:t>
            </w:r>
          </w:p>
        </w:tc>
      </w:tr>
      <w:tr w14:paraId="5F96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vAlign w:val="center"/>
          </w:tcPr>
          <w:p w14:paraId="06FD74E3">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商务评价</w:t>
            </w:r>
          </w:p>
          <w:p w14:paraId="4479D400">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(20分)</w:t>
            </w:r>
          </w:p>
        </w:tc>
        <w:tc>
          <w:tcPr>
            <w:tcW w:w="1473" w:type="dxa"/>
            <w:tcBorders>
              <w:top w:val="single" w:color="auto" w:sz="4" w:space="0"/>
            </w:tcBorders>
            <w:vAlign w:val="center"/>
          </w:tcPr>
          <w:p w14:paraId="10C6CBEF">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1.人员配备</w:t>
            </w:r>
          </w:p>
          <w:p w14:paraId="358A51B0">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分）</w:t>
            </w:r>
          </w:p>
        </w:tc>
        <w:tc>
          <w:tcPr>
            <w:tcW w:w="6770" w:type="dxa"/>
            <w:vAlign w:val="center"/>
          </w:tcPr>
          <w:p w14:paraId="166C99D1">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（1）项目负责人：拟投入本项目的项目负责人具有</w:t>
            </w:r>
            <w:r>
              <w:rPr>
                <w:rFonts w:hint="eastAsia" w:ascii="宋体" w:hAnsi="宋体" w:cs="宋体"/>
                <w:szCs w:val="21"/>
                <w:highlight w:val="none"/>
                <w:lang w:val="zh-CN"/>
              </w:rPr>
              <w:t>核与辐射类环境影响评价</w:t>
            </w:r>
            <w:r>
              <w:rPr>
                <w:rFonts w:hint="eastAsia" w:ascii="宋体" w:hAnsi="宋体" w:cs="宋体"/>
                <w:szCs w:val="21"/>
                <w:highlight w:val="none"/>
              </w:rPr>
              <w:t>高级工程师资质的</w:t>
            </w:r>
            <w:r>
              <w:rPr>
                <w:rFonts w:hint="eastAsia" w:ascii="宋体" w:hAnsi="宋体" w:cs="宋体"/>
                <w:szCs w:val="21"/>
                <w:highlight w:val="none"/>
                <w:lang w:eastAsia="zh-CN"/>
              </w:rPr>
              <w:t>，</w:t>
            </w:r>
            <w:r>
              <w:rPr>
                <w:rFonts w:hint="eastAsia" w:ascii="宋体" w:hAnsi="宋体" w:cs="宋体"/>
                <w:szCs w:val="21"/>
                <w:highlight w:val="none"/>
                <w:lang w:val="en-US" w:eastAsia="zh-CN"/>
              </w:rPr>
              <w:t>每提供</w:t>
            </w:r>
            <w:r>
              <w:rPr>
                <w:rFonts w:hint="eastAsia" w:ascii="宋体" w:hAnsi="宋体" w:cs="宋体"/>
                <w:szCs w:val="21"/>
                <w:highlight w:val="none"/>
              </w:rPr>
              <w:t>一人得3分</w:t>
            </w:r>
            <w:r>
              <w:rPr>
                <w:rFonts w:hint="eastAsia" w:ascii="宋体" w:hAnsi="宋体" w:cs="宋体"/>
                <w:szCs w:val="21"/>
                <w:highlight w:val="none"/>
                <w:lang w:eastAsia="zh-CN"/>
              </w:rPr>
              <w:t>，</w:t>
            </w:r>
            <w:r>
              <w:rPr>
                <w:rFonts w:hint="eastAsia" w:ascii="宋体" w:hAnsi="宋体" w:cs="宋体"/>
                <w:szCs w:val="21"/>
                <w:highlight w:val="none"/>
                <w:lang w:val="en-US" w:eastAsia="zh-CN"/>
              </w:rPr>
              <w:t>此项最高3分</w:t>
            </w:r>
            <w:r>
              <w:rPr>
                <w:rFonts w:hint="eastAsia" w:ascii="宋体" w:hAnsi="宋体" w:cs="宋体"/>
                <w:szCs w:val="21"/>
                <w:highlight w:val="none"/>
              </w:rPr>
              <w:t>。</w:t>
            </w:r>
          </w:p>
          <w:p w14:paraId="5F55A856">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项目</w:t>
            </w:r>
            <w:r>
              <w:rPr>
                <w:rFonts w:hint="eastAsia" w:ascii="宋体" w:hAnsi="宋体" w:cs="宋体"/>
                <w:szCs w:val="21"/>
                <w:highlight w:val="none"/>
              </w:rPr>
              <w:t>配备</w:t>
            </w:r>
            <w:r>
              <w:rPr>
                <w:rFonts w:ascii="宋体" w:hAnsi="宋体" w:cs="宋体"/>
                <w:szCs w:val="21"/>
                <w:highlight w:val="none"/>
              </w:rPr>
              <w:t>检测人员</w:t>
            </w:r>
            <w:r>
              <w:rPr>
                <w:rFonts w:hint="eastAsia" w:ascii="宋体" w:hAnsi="宋体" w:cs="宋体"/>
                <w:szCs w:val="21"/>
                <w:highlight w:val="none"/>
              </w:rPr>
              <w:t>：</w:t>
            </w:r>
          </w:p>
          <w:p w14:paraId="7427DB08">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拟派项目团队人员具有《注册核安全工程师证书》</w:t>
            </w:r>
            <w:r>
              <w:rPr>
                <w:rFonts w:hint="eastAsia" w:ascii="宋体" w:hAnsi="宋体" w:cs="宋体"/>
                <w:szCs w:val="21"/>
                <w:highlight w:val="none"/>
                <w:lang w:val="en-US" w:eastAsia="zh-CN"/>
              </w:rPr>
              <w:t>的，每提供一人得2分，此项最高4分</w:t>
            </w:r>
            <w:r>
              <w:rPr>
                <w:rFonts w:hint="eastAsia" w:ascii="宋体" w:hAnsi="宋体" w:cs="宋体"/>
                <w:szCs w:val="21"/>
                <w:highlight w:val="none"/>
              </w:rPr>
              <w:t>；</w:t>
            </w:r>
          </w:p>
          <w:p w14:paraId="380AC269">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拟派项目团队人员持有省级及以上的《放射卫生检测与评价技术培训考核合格证书》</w:t>
            </w:r>
            <w:r>
              <w:rPr>
                <w:rFonts w:hint="eastAsia" w:ascii="宋体" w:hAnsi="宋体" w:cs="宋体"/>
                <w:szCs w:val="21"/>
                <w:highlight w:val="none"/>
                <w:lang w:eastAsia="zh-CN"/>
              </w:rPr>
              <w:t>，</w:t>
            </w:r>
            <w:r>
              <w:rPr>
                <w:rFonts w:hint="eastAsia" w:ascii="宋体" w:hAnsi="宋体" w:cs="宋体"/>
                <w:szCs w:val="21"/>
                <w:highlight w:val="none"/>
                <w:lang w:val="en-US" w:eastAsia="zh-CN"/>
              </w:rPr>
              <w:t>每提供一人得1分，此项最高</w:t>
            </w:r>
            <w:r>
              <w:rPr>
                <w:rFonts w:hint="eastAsia" w:ascii="宋体" w:hAnsi="宋体" w:cs="宋体"/>
                <w:szCs w:val="21"/>
                <w:highlight w:val="none"/>
              </w:rPr>
              <w:t>3分。</w:t>
            </w:r>
          </w:p>
          <w:p w14:paraId="0FD0FD68">
            <w:pPr>
              <w:widowControl/>
              <w:snapToGrid w:val="0"/>
              <w:spacing w:line="360" w:lineRule="exact"/>
              <w:rPr>
                <w:highlight w:val="none"/>
              </w:rPr>
            </w:pPr>
            <w:r>
              <w:rPr>
                <w:rFonts w:hint="eastAsia" w:ascii="宋体" w:hAnsi="宋体" w:cs="宋体"/>
                <w:szCs w:val="21"/>
                <w:highlight w:val="none"/>
              </w:rPr>
              <w:t>注：以上人员应提供</w:t>
            </w:r>
            <w:r>
              <w:rPr>
                <w:rFonts w:hint="eastAsia" w:ascii="宋体" w:hAnsi="宋体" w:cs="宋体"/>
                <w:szCs w:val="21"/>
                <w:highlight w:val="none"/>
                <w:lang w:val="en-US" w:eastAsia="zh-CN"/>
              </w:rPr>
              <w:t>相关证书证明及</w:t>
            </w:r>
            <w:r>
              <w:rPr>
                <w:rFonts w:hint="eastAsia" w:ascii="宋体" w:hAnsi="宋体" w:cs="宋体"/>
                <w:szCs w:val="21"/>
                <w:highlight w:val="none"/>
              </w:rPr>
              <w:t>采购活动近三个月或上季度任意一个月的社保证明。</w:t>
            </w:r>
          </w:p>
        </w:tc>
      </w:tr>
      <w:tr w14:paraId="760C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vAlign w:val="center"/>
          </w:tcPr>
          <w:p w14:paraId="1E9490DA">
            <w:pPr>
              <w:snapToGrid w:val="0"/>
              <w:spacing w:line="320" w:lineRule="exact"/>
              <w:jc w:val="center"/>
              <w:rPr>
                <w:rFonts w:hint="eastAsia" w:ascii="宋体" w:hAnsi="宋体" w:cs="宋体"/>
                <w:szCs w:val="21"/>
                <w:highlight w:val="none"/>
              </w:rPr>
            </w:pPr>
          </w:p>
        </w:tc>
        <w:tc>
          <w:tcPr>
            <w:tcW w:w="1473" w:type="dxa"/>
            <w:tcBorders>
              <w:top w:val="single" w:color="auto" w:sz="4" w:space="0"/>
            </w:tcBorders>
            <w:vAlign w:val="center"/>
          </w:tcPr>
          <w:p w14:paraId="4485B93C">
            <w:pPr>
              <w:snapToGrid w:val="0"/>
              <w:spacing w:line="320" w:lineRule="exact"/>
              <w:jc w:val="center"/>
              <w:rPr>
                <w:rFonts w:hint="eastAsia"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2.类似业绩（6分）</w:t>
            </w:r>
          </w:p>
        </w:tc>
        <w:tc>
          <w:tcPr>
            <w:tcW w:w="6770" w:type="dxa"/>
            <w:vAlign w:val="center"/>
          </w:tcPr>
          <w:p w14:paraId="59201BEC">
            <w:pPr>
              <w:widowControl/>
              <w:snapToGrid w:val="0"/>
              <w:spacing w:line="3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供应商2022年1月1日具有的类似辐射环评业绩(以合同文件为准），每提供一份得2分，最多得6分。</w:t>
            </w:r>
          </w:p>
          <w:p w14:paraId="3FDC0081">
            <w:pPr>
              <w:pStyle w:val="2"/>
              <w:rPr>
                <w:rFonts w:hint="eastAsia"/>
                <w:highlight w:val="none"/>
              </w:rPr>
            </w:pPr>
            <w:r>
              <w:rPr>
                <w:rFonts w:hint="eastAsia"/>
                <w:kern w:val="2"/>
                <w:sz w:val="21"/>
                <w:highlight w:val="none"/>
              </w:rPr>
              <w:t>注：提供环境部门审核通过证明。</w:t>
            </w:r>
          </w:p>
        </w:tc>
      </w:tr>
      <w:tr w14:paraId="4A75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239" w:type="dxa"/>
            <w:vMerge w:val="continue"/>
            <w:vAlign w:val="center"/>
          </w:tcPr>
          <w:p w14:paraId="4CD5BC26">
            <w:pPr>
              <w:snapToGrid w:val="0"/>
              <w:spacing w:line="320" w:lineRule="exact"/>
              <w:jc w:val="center"/>
              <w:rPr>
                <w:rFonts w:hint="eastAsia" w:ascii="宋体" w:hAnsi="宋体" w:cs="宋体"/>
                <w:szCs w:val="21"/>
                <w:highlight w:val="none"/>
              </w:rPr>
            </w:pPr>
          </w:p>
        </w:tc>
        <w:tc>
          <w:tcPr>
            <w:tcW w:w="1473" w:type="dxa"/>
            <w:vAlign w:val="center"/>
          </w:tcPr>
          <w:p w14:paraId="3E9FD40C">
            <w:pPr>
              <w:snapToGrid w:val="0"/>
              <w:spacing w:line="320" w:lineRule="exact"/>
              <w:jc w:val="center"/>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服务承诺(</w:t>
            </w:r>
            <w:r>
              <w:rPr>
                <w:rFonts w:hint="eastAsia" w:ascii="宋体" w:hAnsi="宋体" w:cs="宋体"/>
                <w:szCs w:val="21"/>
                <w:highlight w:val="none"/>
                <w:lang w:val="en-US" w:eastAsia="zh-CN"/>
              </w:rPr>
              <w:t>4</w:t>
            </w:r>
            <w:r>
              <w:rPr>
                <w:rFonts w:hint="eastAsia" w:ascii="宋体" w:hAnsi="宋体" w:cs="宋体"/>
                <w:szCs w:val="21"/>
                <w:highlight w:val="none"/>
              </w:rPr>
              <w:t>分)</w:t>
            </w:r>
          </w:p>
        </w:tc>
        <w:tc>
          <w:tcPr>
            <w:tcW w:w="6770" w:type="dxa"/>
            <w:vAlign w:val="center"/>
          </w:tcPr>
          <w:p w14:paraId="1496ACD3">
            <w:pPr>
              <w:snapToGrid w:val="0"/>
              <w:spacing w:line="320" w:lineRule="exact"/>
              <w:rPr>
                <w:rFonts w:hint="eastAsia" w:ascii="宋体" w:hAnsi="宋体" w:cs="宋体"/>
                <w:highlight w:val="none"/>
              </w:rPr>
            </w:pPr>
            <w:r>
              <w:rPr>
                <w:rFonts w:hint="eastAsia" w:ascii="宋体" w:hAnsi="宋体" w:cs="宋体"/>
                <w:highlight w:val="none"/>
              </w:rPr>
              <w:t>供应商针对本项目提供的提供审报批流程的时间节点；明确延期责任及补救措施，</w:t>
            </w:r>
            <w:r>
              <w:rPr>
                <w:rFonts w:ascii="宋体" w:hAnsi="宋体" w:cs="宋体"/>
                <w:highlight w:val="none"/>
              </w:rPr>
              <w:t>提供</w:t>
            </w:r>
            <w:r>
              <w:rPr>
                <w:rFonts w:hint="eastAsia" w:ascii="宋体" w:hAnsi="宋体" w:cs="宋体"/>
                <w:highlight w:val="none"/>
              </w:rPr>
              <w:t>无偿</w:t>
            </w:r>
            <w:r>
              <w:rPr>
                <w:rFonts w:ascii="宋体" w:hAnsi="宋体" w:cs="宋体"/>
                <w:highlight w:val="none"/>
              </w:rPr>
              <w:t>复测</w:t>
            </w:r>
            <w:r>
              <w:rPr>
                <w:rFonts w:hint="eastAsia" w:ascii="宋体" w:hAnsi="宋体" w:cs="宋体"/>
                <w:highlight w:val="none"/>
              </w:rPr>
              <w:t>时间的节点</w:t>
            </w:r>
            <w:r>
              <w:rPr>
                <w:rFonts w:ascii="宋体" w:hAnsi="宋体" w:cs="宋体"/>
                <w:highlight w:val="none"/>
              </w:rPr>
              <w:t>、技术咨询、整改支持</w:t>
            </w:r>
            <w:r>
              <w:rPr>
                <w:rFonts w:hint="eastAsia" w:ascii="宋体" w:hAnsi="宋体" w:cs="宋体"/>
                <w:highlight w:val="none"/>
              </w:rPr>
              <w:t>时间的节点。</w:t>
            </w:r>
          </w:p>
          <w:p w14:paraId="7370D3AC">
            <w:pPr>
              <w:snapToGrid w:val="0"/>
              <w:spacing w:line="320" w:lineRule="exact"/>
              <w:rPr>
                <w:highlight w:val="none"/>
              </w:rPr>
            </w:pPr>
            <w:r>
              <w:rPr>
                <w:rFonts w:ascii="宋体" w:hAnsi="宋体" w:cs="宋体"/>
                <w:highlight w:val="none"/>
              </w:rPr>
              <w:t>承诺</w:t>
            </w:r>
            <w:r>
              <w:rPr>
                <w:rFonts w:hint="eastAsia" w:ascii="宋体" w:hAnsi="宋体" w:cs="宋体"/>
                <w:highlight w:val="none"/>
              </w:rPr>
              <w:t>内容齐全</w:t>
            </w:r>
            <w:r>
              <w:rPr>
                <w:rFonts w:ascii="宋体" w:hAnsi="宋体" w:cs="宋体"/>
                <w:highlight w:val="none"/>
              </w:rPr>
              <w:t>明确得</w:t>
            </w:r>
            <w:r>
              <w:rPr>
                <w:rFonts w:hint="eastAsia" w:ascii="宋体" w:hAnsi="宋体" w:cs="宋体"/>
                <w:highlight w:val="none"/>
                <w:lang w:val="en-US" w:eastAsia="zh-CN"/>
              </w:rPr>
              <w:t>4</w:t>
            </w:r>
            <w:r>
              <w:rPr>
                <w:rFonts w:ascii="宋体" w:hAnsi="宋体" w:cs="宋体"/>
                <w:highlight w:val="none"/>
              </w:rPr>
              <w:t>分</w:t>
            </w:r>
            <w:r>
              <w:rPr>
                <w:rFonts w:hint="eastAsia" w:ascii="宋体" w:hAnsi="宋体" w:cs="宋体"/>
                <w:highlight w:val="none"/>
              </w:rPr>
              <w:t>，没提供承诺或未齐全明确不得分。</w:t>
            </w:r>
            <w:r>
              <w:rPr>
                <w:rFonts w:hint="eastAsia" w:ascii="宋体" w:hAnsi="宋体" w:cs="宋体"/>
                <w:szCs w:val="21"/>
                <w:highlight w:val="none"/>
              </w:rPr>
              <w:t>缺项得0分。</w:t>
            </w:r>
          </w:p>
        </w:tc>
      </w:tr>
      <w:tr w14:paraId="7D28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tcPr>
          <w:p w14:paraId="118E5DB2">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得分的计算</w:t>
            </w:r>
          </w:p>
        </w:tc>
        <w:tc>
          <w:tcPr>
            <w:tcW w:w="8243" w:type="dxa"/>
            <w:gridSpan w:val="2"/>
            <w:vAlign w:val="center"/>
          </w:tcPr>
          <w:p w14:paraId="1DAD3940">
            <w:pPr>
              <w:snapToGrid w:val="0"/>
              <w:spacing w:line="360" w:lineRule="exact"/>
              <w:rPr>
                <w:rFonts w:hint="eastAsia" w:ascii="宋体" w:hAnsi="宋体" w:cs="宋体"/>
                <w:szCs w:val="21"/>
                <w:highlight w:val="none"/>
              </w:rPr>
            </w:pPr>
            <w:r>
              <w:rPr>
                <w:rFonts w:hint="eastAsia" w:ascii="宋体" w:hAnsi="宋体" w:cs="宋体"/>
                <w:szCs w:val="21"/>
                <w:highlight w:val="none"/>
              </w:rPr>
              <w:t>磋商小组成员评分=各项评分因素的汇总得分。</w:t>
            </w:r>
          </w:p>
          <w:p w14:paraId="197A1FF3">
            <w:pPr>
              <w:snapToGrid w:val="0"/>
              <w:spacing w:line="360" w:lineRule="exact"/>
              <w:rPr>
                <w:rFonts w:hint="eastAsia" w:ascii="宋体" w:hAnsi="宋体" w:cs="宋体"/>
                <w:szCs w:val="21"/>
                <w:highlight w:val="none"/>
              </w:rPr>
            </w:pPr>
            <w:r>
              <w:rPr>
                <w:rFonts w:hint="eastAsia" w:ascii="宋体" w:hAnsi="宋体" w:cs="宋体"/>
                <w:szCs w:val="21"/>
                <w:highlight w:val="none"/>
              </w:rPr>
              <w:t>评标总得分=磋商小组所有成员合计评分/磋商小组组成人员数。</w:t>
            </w:r>
          </w:p>
        </w:tc>
      </w:tr>
    </w:tbl>
    <w:p w14:paraId="107684E7">
      <w:pPr>
        <w:snapToGrid w:val="0"/>
        <w:rPr>
          <w:rFonts w:hint="eastAsia" w:ascii="宋体" w:hAnsi="宋体" w:cs="宋体"/>
          <w:kern w:val="0"/>
          <w:szCs w:val="21"/>
        </w:rPr>
      </w:pPr>
    </w:p>
    <w:p w14:paraId="2DD54180">
      <w:pPr>
        <w:rPr>
          <w:rFonts w:hint="eastAsia" w:ascii="宋体" w:hAnsi="宋体" w:cs="宋体"/>
          <w:b/>
        </w:rPr>
      </w:pPr>
      <w:r>
        <w:rPr>
          <w:rFonts w:hint="eastAsia" w:ascii="宋体" w:hAnsi="宋体" w:cs="宋体"/>
          <w:b/>
        </w:rPr>
        <w:br w:type="page"/>
      </w:r>
    </w:p>
    <w:bookmarkEnd w:id="50"/>
    <w:p w14:paraId="693E8C16">
      <w:pPr>
        <w:rPr>
          <w:rFonts w:hint="eastAsia" w:ascii="宋体" w:hAnsi="宋体" w:cs="宋体"/>
        </w:rPr>
      </w:pPr>
      <w:bookmarkStart w:id="54" w:name="_Toc1482"/>
      <w:bookmarkStart w:id="55" w:name="_Toc1947"/>
      <w:bookmarkStart w:id="56" w:name="_Toc326786897"/>
      <w:bookmarkStart w:id="57" w:name="_Toc256519703"/>
    </w:p>
    <w:p w14:paraId="1F9117DD">
      <w:pPr>
        <w:pStyle w:val="3"/>
        <w:snapToGrid w:val="0"/>
        <w:spacing w:before="0" w:after="0" w:line="480" w:lineRule="auto"/>
        <w:jc w:val="center"/>
        <w:rPr>
          <w:rFonts w:hint="eastAsia" w:ascii="宋体" w:hAnsi="宋体" w:cs="宋体"/>
          <w:sz w:val="28"/>
          <w:szCs w:val="28"/>
        </w:rPr>
      </w:pPr>
      <w:bookmarkStart w:id="58" w:name="_Toc11904"/>
      <w:r>
        <w:rPr>
          <w:rFonts w:hint="eastAsia" w:ascii="宋体" w:hAnsi="宋体" w:cs="宋体"/>
          <w:sz w:val="28"/>
          <w:szCs w:val="28"/>
        </w:rPr>
        <w:t>第五章  采购合同</w:t>
      </w:r>
      <w:bookmarkEnd w:id="58"/>
    </w:p>
    <w:p w14:paraId="1C4D3408">
      <w:pPr>
        <w:snapToGrid w:val="0"/>
        <w:spacing w:line="360" w:lineRule="auto"/>
        <w:jc w:val="center"/>
        <w:rPr>
          <w:rFonts w:hint="eastAsia" w:ascii="宋体" w:hAnsi="宋体" w:cs="宋体"/>
          <w:szCs w:val="21"/>
        </w:rPr>
      </w:pPr>
      <w:r>
        <w:rPr>
          <w:rFonts w:hint="eastAsia" w:ascii="宋体" w:hAnsi="宋体" w:cs="宋体"/>
          <w:szCs w:val="21"/>
        </w:rPr>
        <w:t>（以实际合同为准）</w:t>
      </w:r>
    </w:p>
    <w:p w14:paraId="58D1D9F7">
      <w:pPr>
        <w:rPr>
          <w:rFonts w:hint="eastAsia" w:ascii="宋体" w:hAnsi="宋体" w:cs="宋体"/>
          <w:sz w:val="32"/>
          <w:szCs w:val="32"/>
        </w:rPr>
      </w:pPr>
    </w:p>
    <w:p w14:paraId="05A3C861">
      <w:pPr>
        <w:rPr>
          <w:rFonts w:hint="eastAsia" w:ascii="宋体" w:hAnsi="宋体" w:cs="宋体"/>
        </w:rPr>
      </w:pPr>
      <w:r>
        <w:rPr>
          <w:rFonts w:hint="eastAsia" w:ascii="宋体" w:hAnsi="宋体" w:cs="宋体"/>
        </w:rPr>
        <w:br w:type="page"/>
      </w:r>
    </w:p>
    <w:p w14:paraId="774AD713">
      <w:pPr>
        <w:pStyle w:val="7"/>
        <w:ind w:firstLine="210"/>
        <w:rPr>
          <w:rFonts w:hint="eastAsia" w:ascii="宋体" w:hAnsi="宋体" w:cs="宋体"/>
        </w:rPr>
      </w:pPr>
    </w:p>
    <w:p w14:paraId="0D29E9B1">
      <w:pPr>
        <w:pStyle w:val="3"/>
        <w:jc w:val="center"/>
        <w:rPr>
          <w:rFonts w:hint="eastAsia" w:ascii="宋体" w:hAnsi="宋体" w:cs="宋体"/>
          <w:kern w:val="0"/>
        </w:rPr>
      </w:pPr>
      <w:bookmarkStart w:id="59" w:name="_Toc18702"/>
      <w:r>
        <w:rPr>
          <w:rFonts w:hint="eastAsia" w:ascii="宋体" w:hAnsi="宋体" w:cs="宋体"/>
          <w:sz w:val="32"/>
          <w:szCs w:val="32"/>
        </w:rPr>
        <w:t>第六章  响应文件格式</w:t>
      </w:r>
      <w:bookmarkEnd w:id="54"/>
      <w:bookmarkEnd w:id="55"/>
      <w:bookmarkEnd w:id="59"/>
    </w:p>
    <w:p w14:paraId="1BF6F376">
      <w:pPr>
        <w:spacing w:line="440" w:lineRule="exact"/>
        <w:rPr>
          <w:rFonts w:hint="eastAsia" w:ascii="宋体" w:hAnsi="宋体" w:cs="宋体"/>
          <w:sz w:val="24"/>
        </w:rPr>
      </w:pPr>
    </w:p>
    <w:p w14:paraId="6BE6A645">
      <w:pPr>
        <w:jc w:val="center"/>
        <w:rPr>
          <w:rFonts w:hint="eastAsia" w:ascii="宋体" w:hAnsi="宋体" w:cs="宋体"/>
          <w:b/>
          <w:bCs/>
          <w:sz w:val="32"/>
          <w:szCs w:val="32"/>
        </w:rPr>
      </w:pPr>
      <w:bookmarkStart w:id="60" w:name="_Toc13604"/>
      <w:r>
        <w:rPr>
          <w:rFonts w:hint="eastAsia" w:ascii="宋体" w:hAnsi="宋体" w:cs="宋体"/>
          <w:b/>
          <w:bCs/>
          <w:sz w:val="32"/>
          <w:szCs w:val="32"/>
        </w:rPr>
        <w:t>目    录</w:t>
      </w:r>
      <w:bookmarkEnd w:id="60"/>
    </w:p>
    <w:p w14:paraId="0A858BF2">
      <w:pPr>
        <w:widowControl/>
        <w:wordWrap w:val="0"/>
        <w:spacing w:line="460" w:lineRule="exact"/>
        <w:ind w:firstLine="480" w:firstLineChars="200"/>
        <w:jc w:val="left"/>
        <w:rPr>
          <w:rFonts w:hint="eastAsia" w:ascii="宋体" w:hAnsi="宋体" w:cs="宋体"/>
          <w:kern w:val="0"/>
          <w:sz w:val="24"/>
        </w:rPr>
      </w:pPr>
    </w:p>
    <w:p w14:paraId="40568587">
      <w:pPr>
        <w:snapToGrid w:val="0"/>
        <w:spacing w:line="360" w:lineRule="auto"/>
        <w:ind w:firstLine="480" w:firstLineChars="200"/>
        <w:rPr>
          <w:rFonts w:hint="eastAsia" w:ascii="宋体" w:hAnsi="宋体" w:cs="宋体"/>
          <w:sz w:val="24"/>
        </w:rPr>
      </w:pPr>
      <w:bookmarkStart w:id="61" w:name="_Toc11308"/>
      <w:r>
        <w:rPr>
          <w:rFonts w:hint="eastAsia" w:ascii="宋体" w:hAnsi="宋体" w:cs="宋体"/>
          <w:sz w:val="24"/>
        </w:rPr>
        <w:t>附件1 响应文件封面（格式）</w:t>
      </w:r>
      <w:bookmarkEnd w:id="61"/>
    </w:p>
    <w:p w14:paraId="524D51E0">
      <w:pPr>
        <w:snapToGrid w:val="0"/>
        <w:spacing w:line="360" w:lineRule="auto"/>
        <w:ind w:firstLine="480" w:firstLineChars="200"/>
        <w:rPr>
          <w:rFonts w:hint="eastAsia" w:ascii="宋体" w:hAnsi="宋体" w:cs="宋体"/>
          <w:sz w:val="24"/>
        </w:rPr>
      </w:pPr>
      <w:bookmarkStart w:id="62" w:name="_Toc25345"/>
      <w:r>
        <w:rPr>
          <w:rFonts w:hint="eastAsia" w:ascii="宋体" w:hAnsi="宋体" w:cs="宋体"/>
          <w:sz w:val="24"/>
        </w:rPr>
        <w:t xml:space="preserve">附件2 </w:t>
      </w:r>
      <w:r>
        <w:rPr>
          <w:rFonts w:hint="eastAsia" w:ascii="宋体" w:hAnsi="宋体" w:cs="宋体"/>
          <w:kern w:val="0"/>
          <w:sz w:val="24"/>
        </w:rPr>
        <w:t>竞争性磋商响应书</w:t>
      </w:r>
      <w:r>
        <w:rPr>
          <w:rFonts w:hint="eastAsia" w:ascii="宋体" w:hAnsi="宋体" w:cs="宋体"/>
          <w:sz w:val="24"/>
        </w:rPr>
        <w:t>（格式）</w:t>
      </w:r>
      <w:bookmarkEnd w:id="62"/>
    </w:p>
    <w:p w14:paraId="7B4AE34D">
      <w:pPr>
        <w:snapToGrid w:val="0"/>
        <w:spacing w:line="360" w:lineRule="auto"/>
        <w:ind w:firstLine="480" w:firstLineChars="200"/>
        <w:rPr>
          <w:rFonts w:hint="eastAsia" w:ascii="宋体" w:hAnsi="宋体" w:cs="宋体"/>
          <w:sz w:val="24"/>
        </w:rPr>
      </w:pPr>
      <w:bookmarkStart w:id="63" w:name="_Toc10217"/>
      <w:r>
        <w:rPr>
          <w:rFonts w:hint="eastAsia" w:ascii="宋体" w:hAnsi="宋体" w:cs="宋体"/>
          <w:sz w:val="24"/>
        </w:rPr>
        <w:t xml:space="preserve">附件3 </w:t>
      </w:r>
      <w:r>
        <w:rPr>
          <w:rFonts w:hint="eastAsia" w:ascii="宋体" w:hAnsi="宋体" w:cs="宋体"/>
          <w:kern w:val="0"/>
          <w:sz w:val="24"/>
        </w:rPr>
        <w:t>初次报价一览表</w:t>
      </w:r>
      <w:r>
        <w:rPr>
          <w:rFonts w:hint="eastAsia" w:ascii="宋体" w:hAnsi="宋体" w:cs="宋体"/>
          <w:sz w:val="24"/>
        </w:rPr>
        <w:t>（格式）</w:t>
      </w:r>
      <w:bookmarkEnd w:id="63"/>
    </w:p>
    <w:p w14:paraId="09F72307">
      <w:pPr>
        <w:snapToGrid w:val="0"/>
        <w:spacing w:line="360" w:lineRule="auto"/>
        <w:ind w:firstLine="480" w:firstLineChars="200"/>
        <w:rPr>
          <w:rFonts w:hint="eastAsia" w:ascii="宋体" w:hAnsi="宋体" w:cs="宋体"/>
          <w:sz w:val="24"/>
        </w:rPr>
      </w:pPr>
      <w:bookmarkStart w:id="64" w:name="_Toc28392"/>
      <w:r>
        <w:rPr>
          <w:rFonts w:hint="eastAsia" w:ascii="宋体" w:hAnsi="宋体" w:cs="宋体"/>
          <w:sz w:val="24"/>
        </w:rPr>
        <w:t>附件</w:t>
      </w:r>
      <w:r>
        <w:rPr>
          <w:rFonts w:hint="eastAsia" w:ascii="宋体" w:hAnsi="宋体" w:cs="宋体"/>
          <w:sz w:val="24"/>
          <w:lang w:val="en-US" w:eastAsia="zh-CN"/>
        </w:rPr>
        <w:t>4</w:t>
      </w:r>
      <w:r>
        <w:rPr>
          <w:rFonts w:hint="eastAsia" w:ascii="宋体" w:hAnsi="宋体" w:cs="宋体"/>
          <w:sz w:val="24"/>
        </w:rPr>
        <w:t xml:space="preserve"> </w:t>
      </w:r>
      <w:r>
        <w:rPr>
          <w:rFonts w:hint="eastAsia" w:ascii="宋体" w:hAnsi="宋体" w:cs="宋体"/>
          <w:sz w:val="24"/>
          <w:lang w:val="en-US" w:eastAsia="zh-CN"/>
        </w:rPr>
        <w:t>技术</w:t>
      </w:r>
      <w:r>
        <w:rPr>
          <w:rFonts w:hint="eastAsia" w:ascii="宋体" w:hAnsi="宋体" w:cs="宋体"/>
          <w:sz w:val="24"/>
        </w:rPr>
        <w:t>响应</w:t>
      </w:r>
      <w:bookmarkEnd w:id="64"/>
      <w:r>
        <w:rPr>
          <w:rFonts w:hint="eastAsia" w:ascii="宋体" w:hAnsi="宋体" w:cs="宋体"/>
          <w:sz w:val="24"/>
        </w:rPr>
        <w:t>表（格式）</w:t>
      </w:r>
    </w:p>
    <w:p w14:paraId="69078A6D">
      <w:pPr>
        <w:snapToGrid w:val="0"/>
        <w:spacing w:line="360" w:lineRule="auto"/>
        <w:ind w:firstLine="480" w:firstLineChars="200"/>
        <w:rPr>
          <w:rFonts w:hint="eastAsia" w:ascii="宋体" w:hAnsi="宋体" w:cs="宋体"/>
          <w:sz w:val="24"/>
        </w:rPr>
      </w:pPr>
      <w:bookmarkStart w:id="65" w:name="_Toc6234"/>
      <w:r>
        <w:rPr>
          <w:rFonts w:hint="eastAsia" w:ascii="宋体" w:hAnsi="宋体" w:cs="宋体"/>
          <w:sz w:val="24"/>
        </w:rPr>
        <w:t>附件</w:t>
      </w:r>
      <w:r>
        <w:rPr>
          <w:rFonts w:hint="eastAsia" w:ascii="宋体" w:hAnsi="宋体" w:cs="宋体"/>
          <w:sz w:val="24"/>
          <w:lang w:val="en-US" w:eastAsia="zh-CN"/>
        </w:rPr>
        <w:t>5</w:t>
      </w:r>
      <w:r>
        <w:rPr>
          <w:rFonts w:hint="eastAsia" w:ascii="宋体" w:hAnsi="宋体" w:cs="宋体"/>
          <w:sz w:val="24"/>
        </w:rPr>
        <w:t xml:space="preserve"> 商务</w:t>
      </w:r>
      <w:bookmarkEnd w:id="65"/>
      <w:r>
        <w:rPr>
          <w:rFonts w:hint="eastAsia" w:ascii="宋体" w:hAnsi="宋体" w:cs="宋体"/>
          <w:sz w:val="24"/>
        </w:rPr>
        <w:t>响应表（格式）</w:t>
      </w:r>
    </w:p>
    <w:p w14:paraId="615661FC">
      <w:pPr>
        <w:snapToGrid w:val="0"/>
        <w:spacing w:line="360" w:lineRule="auto"/>
        <w:ind w:firstLine="480" w:firstLineChars="200"/>
        <w:rPr>
          <w:rFonts w:hint="eastAsia" w:ascii="宋体" w:hAnsi="宋体" w:cs="宋体"/>
          <w:sz w:val="24"/>
        </w:rPr>
      </w:pPr>
      <w:bookmarkStart w:id="66" w:name="_Toc26231"/>
      <w:r>
        <w:rPr>
          <w:rFonts w:hint="eastAsia" w:ascii="宋体" w:hAnsi="宋体" w:cs="宋体"/>
          <w:sz w:val="24"/>
        </w:rPr>
        <w:t>附件</w:t>
      </w:r>
      <w:r>
        <w:rPr>
          <w:rFonts w:hint="eastAsia" w:ascii="宋体" w:hAnsi="宋体" w:cs="宋体"/>
          <w:sz w:val="24"/>
          <w:lang w:val="en-US" w:eastAsia="zh-CN"/>
        </w:rPr>
        <w:t>6</w:t>
      </w:r>
      <w:r>
        <w:rPr>
          <w:rFonts w:hint="eastAsia" w:ascii="宋体" w:hAnsi="宋体" w:cs="宋体"/>
          <w:sz w:val="24"/>
        </w:rPr>
        <w:t xml:space="preserve"> 法定代表人身份证明（格式）</w:t>
      </w:r>
      <w:bookmarkEnd w:id="66"/>
    </w:p>
    <w:p w14:paraId="49F9EEC4">
      <w:pPr>
        <w:snapToGrid w:val="0"/>
        <w:spacing w:line="360" w:lineRule="auto"/>
        <w:ind w:firstLine="480" w:firstLineChars="200"/>
        <w:rPr>
          <w:rFonts w:hint="eastAsia" w:ascii="宋体" w:hAnsi="宋体" w:cs="宋体"/>
          <w:sz w:val="24"/>
        </w:rPr>
      </w:pPr>
      <w:bookmarkStart w:id="67" w:name="_Toc18484"/>
      <w:r>
        <w:rPr>
          <w:rFonts w:hint="eastAsia" w:ascii="宋体" w:hAnsi="宋体" w:cs="宋体"/>
          <w:sz w:val="24"/>
        </w:rPr>
        <w:t>附件</w:t>
      </w:r>
      <w:r>
        <w:rPr>
          <w:rFonts w:hint="eastAsia" w:ascii="宋体" w:hAnsi="宋体" w:cs="宋体"/>
          <w:sz w:val="24"/>
          <w:lang w:val="en-US" w:eastAsia="zh-CN"/>
        </w:rPr>
        <w:t>7</w:t>
      </w:r>
      <w:r>
        <w:rPr>
          <w:rFonts w:hint="eastAsia" w:ascii="宋体" w:hAnsi="宋体" w:cs="宋体"/>
          <w:sz w:val="24"/>
        </w:rPr>
        <w:t xml:space="preserve"> 法定代表人授权书（格式）</w:t>
      </w:r>
      <w:bookmarkEnd w:id="67"/>
    </w:p>
    <w:p w14:paraId="1449B677">
      <w:pPr>
        <w:snapToGrid w:val="0"/>
        <w:spacing w:line="360" w:lineRule="auto"/>
        <w:ind w:firstLine="480" w:firstLineChars="200"/>
        <w:rPr>
          <w:rFonts w:hint="eastAsia" w:ascii="宋体" w:hAnsi="宋体" w:cs="宋体"/>
          <w:sz w:val="24"/>
        </w:rPr>
      </w:pPr>
      <w:bookmarkStart w:id="68" w:name="_Toc31857"/>
      <w:r>
        <w:rPr>
          <w:rFonts w:hint="eastAsia" w:ascii="宋体" w:hAnsi="宋体" w:cs="宋体"/>
          <w:sz w:val="24"/>
        </w:rPr>
        <w:t>附件</w:t>
      </w:r>
      <w:r>
        <w:rPr>
          <w:rFonts w:hint="eastAsia" w:ascii="宋体" w:hAnsi="宋体" w:cs="宋体"/>
          <w:sz w:val="24"/>
          <w:lang w:val="en-US" w:eastAsia="zh-CN"/>
        </w:rPr>
        <w:t>8</w:t>
      </w:r>
      <w:r>
        <w:rPr>
          <w:rFonts w:hint="eastAsia" w:ascii="宋体" w:hAnsi="宋体" w:cs="宋体"/>
          <w:sz w:val="24"/>
        </w:rPr>
        <w:t xml:space="preserve"> 证明文件</w:t>
      </w:r>
      <w:bookmarkEnd w:id="68"/>
    </w:p>
    <w:p w14:paraId="6AE99DDD">
      <w:pPr>
        <w:snapToGrid w:val="0"/>
        <w:spacing w:line="360" w:lineRule="auto"/>
        <w:ind w:firstLine="480" w:firstLineChars="200"/>
        <w:rPr>
          <w:rFonts w:hint="eastAsia" w:ascii="宋体" w:hAnsi="宋体" w:cs="宋体"/>
          <w:sz w:val="24"/>
        </w:rPr>
      </w:pPr>
      <w:bookmarkStart w:id="69" w:name="_Toc23116"/>
      <w:r>
        <w:rPr>
          <w:rFonts w:hint="eastAsia" w:ascii="宋体" w:hAnsi="宋体" w:cs="宋体"/>
          <w:sz w:val="24"/>
        </w:rPr>
        <w:t>附件</w:t>
      </w:r>
      <w:r>
        <w:rPr>
          <w:rFonts w:hint="eastAsia" w:ascii="宋体" w:hAnsi="宋体" w:cs="宋体"/>
          <w:sz w:val="24"/>
          <w:lang w:val="en-US" w:eastAsia="zh-CN"/>
        </w:rPr>
        <w:t>9</w:t>
      </w:r>
      <w:r>
        <w:rPr>
          <w:rFonts w:hint="eastAsia" w:ascii="宋体" w:hAnsi="宋体" w:cs="宋体"/>
          <w:sz w:val="24"/>
        </w:rPr>
        <w:t xml:space="preserve"> 供应商承诺书（格式）</w:t>
      </w:r>
      <w:bookmarkEnd w:id="69"/>
    </w:p>
    <w:p w14:paraId="1F5A0EB0">
      <w:pPr>
        <w:snapToGrid w:val="0"/>
        <w:spacing w:line="360" w:lineRule="auto"/>
        <w:ind w:firstLine="480" w:firstLineChars="200"/>
        <w:rPr>
          <w:rFonts w:hint="eastAsia" w:ascii="宋体" w:hAnsi="宋体" w:cs="宋体"/>
          <w:sz w:val="24"/>
        </w:rPr>
      </w:pPr>
      <w:r>
        <w:rPr>
          <w:rFonts w:hint="eastAsia" w:ascii="宋体" w:hAnsi="宋体" w:cs="宋体"/>
          <w:sz w:val="24"/>
        </w:rPr>
        <w:t>附件1</w:t>
      </w:r>
      <w:r>
        <w:rPr>
          <w:rFonts w:hint="eastAsia" w:ascii="宋体" w:hAnsi="宋体" w:cs="宋体"/>
          <w:sz w:val="24"/>
          <w:lang w:val="en-US" w:eastAsia="zh-CN"/>
        </w:rPr>
        <w:t>0</w:t>
      </w:r>
      <w:r>
        <w:rPr>
          <w:rFonts w:hint="eastAsia" w:ascii="宋体" w:hAnsi="宋体" w:cs="宋体"/>
          <w:sz w:val="24"/>
        </w:rPr>
        <w:t xml:space="preserve"> 供应商信用承诺函（格式）</w:t>
      </w:r>
    </w:p>
    <w:p w14:paraId="5CF242E3">
      <w:pPr>
        <w:pStyle w:val="7"/>
        <w:ind w:firstLine="210"/>
        <w:rPr>
          <w:rFonts w:hint="eastAsia" w:ascii="宋体" w:hAnsi="宋体" w:cs="宋体"/>
        </w:rPr>
      </w:pPr>
    </w:p>
    <w:p w14:paraId="54FCED35">
      <w:pPr>
        <w:widowControl/>
        <w:wordWrap w:val="0"/>
        <w:snapToGrid w:val="0"/>
        <w:spacing w:line="460" w:lineRule="exact"/>
        <w:ind w:firstLine="482" w:firstLineChars="200"/>
        <w:jc w:val="center"/>
        <w:rPr>
          <w:rFonts w:hint="eastAsia" w:ascii="宋体" w:hAnsi="宋体" w:cs="宋体"/>
          <w:b/>
          <w:bCs/>
          <w:kern w:val="0"/>
          <w:sz w:val="24"/>
        </w:rPr>
      </w:pPr>
    </w:p>
    <w:p w14:paraId="0624F5EE">
      <w:pPr>
        <w:widowControl/>
        <w:wordWrap w:val="0"/>
        <w:snapToGrid w:val="0"/>
        <w:spacing w:line="460" w:lineRule="exact"/>
        <w:ind w:firstLine="482" w:firstLineChars="200"/>
        <w:jc w:val="center"/>
        <w:rPr>
          <w:rFonts w:hint="eastAsia" w:ascii="宋体" w:hAnsi="宋体" w:cs="宋体"/>
          <w:b/>
          <w:bCs/>
          <w:kern w:val="0"/>
          <w:sz w:val="24"/>
        </w:rPr>
      </w:pPr>
    </w:p>
    <w:p w14:paraId="52FB5F9C">
      <w:pPr>
        <w:widowControl/>
        <w:wordWrap w:val="0"/>
        <w:snapToGrid w:val="0"/>
        <w:spacing w:line="460" w:lineRule="exact"/>
        <w:ind w:firstLine="482" w:firstLineChars="200"/>
        <w:jc w:val="center"/>
        <w:rPr>
          <w:rFonts w:hint="eastAsia" w:ascii="宋体" w:hAnsi="宋体" w:cs="宋体"/>
          <w:b/>
          <w:bCs/>
          <w:kern w:val="0"/>
          <w:sz w:val="24"/>
        </w:rPr>
      </w:pPr>
    </w:p>
    <w:p w14:paraId="108FCDB3">
      <w:pPr>
        <w:pStyle w:val="4"/>
        <w:rPr>
          <w:rFonts w:hint="eastAsia" w:ascii="宋体" w:hAnsi="宋体" w:cs="宋体"/>
          <w:b/>
          <w:bCs/>
          <w:kern w:val="0"/>
          <w:sz w:val="24"/>
        </w:rPr>
      </w:pPr>
    </w:p>
    <w:p w14:paraId="77D30053">
      <w:pPr>
        <w:pStyle w:val="51"/>
        <w:rPr>
          <w:rFonts w:hint="eastAsia" w:hAnsi="宋体"/>
          <w:b/>
          <w:bCs/>
          <w:color w:val="auto"/>
        </w:rPr>
      </w:pPr>
    </w:p>
    <w:p w14:paraId="74C0681C">
      <w:pPr>
        <w:pStyle w:val="51"/>
        <w:rPr>
          <w:rFonts w:hint="eastAsia" w:hAnsi="宋体"/>
          <w:b/>
          <w:bCs/>
          <w:color w:val="auto"/>
        </w:rPr>
      </w:pPr>
    </w:p>
    <w:p w14:paraId="1466F309">
      <w:pPr>
        <w:rPr>
          <w:rFonts w:hint="eastAsia" w:ascii="宋体" w:hAnsi="宋体" w:cs="宋体"/>
        </w:rPr>
      </w:pPr>
      <w:r>
        <w:rPr>
          <w:rFonts w:hint="eastAsia" w:ascii="宋体" w:hAnsi="宋体" w:cs="宋体"/>
        </w:rPr>
        <w:br w:type="page"/>
      </w:r>
    </w:p>
    <w:p w14:paraId="4C86534C">
      <w:pPr>
        <w:pStyle w:val="30"/>
        <w:rPr>
          <w:rFonts w:hint="eastAsia" w:ascii="宋体" w:hAnsi="宋体" w:cs="宋体"/>
        </w:rPr>
      </w:pPr>
    </w:p>
    <w:p w14:paraId="583658D5">
      <w:pPr>
        <w:pStyle w:val="11"/>
        <w:snapToGrid w:val="0"/>
        <w:spacing w:before="20" w:after="20" w:line="360" w:lineRule="auto"/>
        <w:rPr>
          <w:rFonts w:hint="eastAsia" w:ascii="宋体" w:hAnsi="宋体" w:eastAsia="宋体" w:cs="宋体"/>
          <w:sz w:val="28"/>
          <w:szCs w:val="28"/>
        </w:rPr>
      </w:pPr>
      <w:bookmarkStart w:id="70" w:name="_Toc31798"/>
      <w:bookmarkStart w:id="71" w:name="_Toc24743"/>
      <w:r>
        <w:rPr>
          <w:rFonts w:hint="eastAsia" w:ascii="宋体" w:hAnsi="宋体" w:eastAsia="宋体" w:cs="宋体"/>
          <w:sz w:val="28"/>
          <w:szCs w:val="28"/>
        </w:rPr>
        <w:t>附件1               响应文件封面（格式）</w:t>
      </w:r>
      <w:bookmarkEnd w:id="70"/>
      <w:bookmarkEnd w:id="71"/>
    </w:p>
    <w:p w14:paraId="37FAD57F">
      <w:pPr>
        <w:widowControl/>
        <w:wordWrap w:val="0"/>
        <w:spacing w:line="460" w:lineRule="exact"/>
        <w:ind w:firstLine="482" w:firstLineChars="200"/>
        <w:jc w:val="center"/>
        <w:rPr>
          <w:rFonts w:hint="eastAsia" w:ascii="宋体" w:hAnsi="宋体" w:cs="宋体"/>
          <w:b/>
          <w:kern w:val="0"/>
          <w:sz w:val="24"/>
        </w:rPr>
      </w:pPr>
    </w:p>
    <w:p w14:paraId="2CDD351E">
      <w:pPr>
        <w:snapToGrid w:val="0"/>
        <w:spacing w:line="360" w:lineRule="auto"/>
        <w:jc w:val="center"/>
        <w:rPr>
          <w:rFonts w:hint="eastAsia" w:ascii="宋体" w:hAnsi="宋体" w:cs="宋体"/>
          <w:b/>
          <w:spacing w:val="90"/>
          <w:sz w:val="52"/>
          <w:szCs w:val="52"/>
        </w:rPr>
      </w:pPr>
      <w:r>
        <w:rPr>
          <w:rFonts w:hint="eastAsia" w:ascii="宋体" w:hAnsi="宋体" w:cs="宋体"/>
          <w:b/>
          <w:snapToGrid w:val="0"/>
          <w:kern w:val="0"/>
          <w:sz w:val="44"/>
          <w:szCs w:val="44"/>
        </w:rPr>
        <w:t>驻马店市中心医院</w:t>
      </w:r>
      <w:r>
        <w:rPr>
          <w:rFonts w:hint="eastAsia" w:ascii="宋体" w:hAnsi="宋体" w:cs="宋体"/>
          <w:b/>
          <w:snapToGrid w:val="0"/>
          <w:kern w:val="0"/>
          <w:sz w:val="44"/>
          <w:szCs w:val="44"/>
          <w:u w:val="single"/>
        </w:rPr>
        <w:t xml:space="preserve">      </w:t>
      </w:r>
      <w:r>
        <w:rPr>
          <w:rFonts w:hint="eastAsia" w:ascii="宋体" w:hAnsi="宋体" w:cs="宋体"/>
          <w:b/>
          <w:snapToGrid w:val="0"/>
          <w:kern w:val="0"/>
          <w:sz w:val="44"/>
          <w:szCs w:val="44"/>
        </w:rPr>
        <w:t>项目</w:t>
      </w:r>
    </w:p>
    <w:p w14:paraId="3D4B7A6B">
      <w:pPr>
        <w:snapToGrid w:val="0"/>
        <w:spacing w:line="360" w:lineRule="auto"/>
        <w:jc w:val="center"/>
        <w:rPr>
          <w:rFonts w:hint="eastAsia" w:ascii="宋体" w:hAnsi="宋体" w:cs="宋体"/>
          <w:b/>
          <w:spacing w:val="90"/>
          <w:sz w:val="52"/>
          <w:szCs w:val="52"/>
        </w:rPr>
      </w:pPr>
      <w:r>
        <w:rPr>
          <w:rFonts w:hint="eastAsia" w:ascii="宋体" w:hAnsi="宋体" w:cs="宋体"/>
          <w:b/>
          <w:spacing w:val="90"/>
          <w:sz w:val="52"/>
          <w:szCs w:val="52"/>
        </w:rPr>
        <w:t>响应文件</w:t>
      </w:r>
    </w:p>
    <w:p w14:paraId="13A42F65">
      <w:pPr>
        <w:spacing w:line="360" w:lineRule="auto"/>
        <w:rPr>
          <w:rFonts w:hint="eastAsia" w:ascii="宋体" w:hAnsi="宋体" w:cs="宋体"/>
          <w:sz w:val="28"/>
        </w:rPr>
      </w:pPr>
    </w:p>
    <w:p w14:paraId="1CBAE4F9">
      <w:pPr>
        <w:pStyle w:val="51"/>
        <w:spacing w:line="360" w:lineRule="auto"/>
        <w:rPr>
          <w:rFonts w:hint="eastAsia" w:hAnsi="宋体"/>
          <w:color w:val="auto"/>
        </w:rPr>
      </w:pPr>
    </w:p>
    <w:p w14:paraId="48EEEF89">
      <w:pPr>
        <w:pStyle w:val="51"/>
        <w:spacing w:line="360" w:lineRule="auto"/>
        <w:rPr>
          <w:rFonts w:hint="eastAsia" w:hAnsi="宋体"/>
          <w:color w:val="auto"/>
        </w:rPr>
      </w:pPr>
    </w:p>
    <w:p w14:paraId="116834C3">
      <w:pPr>
        <w:spacing w:line="360" w:lineRule="auto"/>
        <w:rPr>
          <w:rFonts w:hint="eastAsia" w:ascii="宋体" w:hAnsi="宋体" w:cs="宋体"/>
          <w:sz w:val="28"/>
        </w:rPr>
      </w:pPr>
    </w:p>
    <w:p w14:paraId="65BCD615">
      <w:pPr>
        <w:spacing w:line="360" w:lineRule="auto"/>
        <w:rPr>
          <w:rFonts w:hint="eastAsia" w:ascii="宋体" w:hAnsi="宋体" w:cs="宋体"/>
          <w:sz w:val="28"/>
        </w:rPr>
      </w:pPr>
    </w:p>
    <w:p w14:paraId="186DDB24">
      <w:pPr>
        <w:spacing w:line="360" w:lineRule="auto"/>
        <w:rPr>
          <w:rFonts w:hint="eastAsia" w:ascii="宋体" w:hAnsi="宋体" w:cs="宋体"/>
          <w:sz w:val="28"/>
        </w:rPr>
      </w:pPr>
    </w:p>
    <w:p w14:paraId="497CC30D">
      <w:pPr>
        <w:spacing w:line="360" w:lineRule="auto"/>
        <w:rPr>
          <w:rFonts w:hint="eastAsia" w:ascii="宋体" w:hAnsi="宋体" w:cs="宋体"/>
          <w:sz w:val="28"/>
        </w:rPr>
      </w:pPr>
    </w:p>
    <w:p w14:paraId="5253B4CB">
      <w:pPr>
        <w:spacing w:line="360" w:lineRule="auto"/>
        <w:rPr>
          <w:rFonts w:hint="eastAsia" w:ascii="宋体" w:hAnsi="宋体" w:cs="宋体"/>
          <w:sz w:val="28"/>
        </w:rPr>
      </w:pPr>
    </w:p>
    <w:p w14:paraId="704BBF3D">
      <w:pPr>
        <w:spacing w:line="360" w:lineRule="auto"/>
        <w:rPr>
          <w:rFonts w:hint="eastAsia" w:ascii="宋体" w:hAnsi="宋体" w:cs="宋体"/>
          <w:sz w:val="28"/>
        </w:rPr>
      </w:pPr>
    </w:p>
    <w:p w14:paraId="24F46BCA">
      <w:pPr>
        <w:spacing w:line="360" w:lineRule="auto"/>
        <w:jc w:val="center"/>
        <w:rPr>
          <w:rFonts w:hint="eastAsia" w:ascii="宋体" w:hAnsi="宋体" w:cs="宋体"/>
          <w:sz w:val="28"/>
          <w:szCs w:val="28"/>
        </w:rPr>
      </w:pPr>
      <w:r>
        <w:rPr>
          <w:rFonts w:hint="eastAsia" w:ascii="宋体" w:hAnsi="宋体" w:cs="宋体"/>
          <w:sz w:val="28"/>
          <w:szCs w:val="28"/>
        </w:rPr>
        <w:t>供应商（全称并加盖公章）：</w:t>
      </w:r>
    </w:p>
    <w:p w14:paraId="4FD7FC20">
      <w:pPr>
        <w:widowControl/>
        <w:wordWrap w:val="0"/>
        <w:spacing w:line="460" w:lineRule="exact"/>
        <w:jc w:val="center"/>
        <w:rPr>
          <w:rFonts w:hint="eastAsia" w:ascii="宋体" w:hAnsi="宋体" w:cs="宋体"/>
          <w:sz w:val="28"/>
          <w:szCs w:val="28"/>
        </w:rPr>
      </w:pPr>
      <w:r>
        <w:rPr>
          <w:rFonts w:hint="eastAsia" w:ascii="宋体" w:hAnsi="宋体" w:cs="宋体"/>
          <w:sz w:val="28"/>
          <w:szCs w:val="28"/>
        </w:rPr>
        <w:t>法定代表人或委托代理人（签字或盖章）：</w:t>
      </w:r>
    </w:p>
    <w:p w14:paraId="2BF02600">
      <w:pPr>
        <w:widowControl/>
        <w:wordWrap w:val="0"/>
        <w:spacing w:line="460" w:lineRule="exact"/>
        <w:jc w:val="center"/>
        <w:rPr>
          <w:rFonts w:hint="eastAsia" w:ascii="宋体" w:hAnsi="宋体" w:cs="宋体"/>
          <w:b/>
          <w:kern w:val="0"/>
          <w:sz w:val="24"/>
        </w:rPr>
      </w:pPr>
      <w:r>
        <w:rPr>
          <w:rFonts w:hint="eastAsia" w:ascii="宋体" w:hAnsi="宋体" w:cs="宋体"/>
          <w:sz w:val="28"/>
          <w:szCs w:val="28"/>
        </w:rPr>
        <w:t>年   月   日</w:t>
      </w:r>
    </w:p>
    <w:p w14:paraId="36EEA7B1">
      <w:pPr>
        <w:widowControl/>
        <w:wordWrap w:val="0"/>
        <w:spacing w:line="460" w:lineRule="exact"/>
        <w:ind w:firstLine="482" w:firstLineChars="200"/>
        <w:jc w:val="left"/>
        <w:rPr>
          <w:rFonts w:hint="eastAsia" w:ascii="宋体" w:hAnsi="宋体" w:cs="宋体"/>
          <w:b/>
          <w:kern w:val="0"/>
          <w:sz w:val="24"/>
        </w:rPr>
      </w:pPr>
    </w:p>
    <w:p w14:paraId="7CA3F508">
      <w:pPr>
        <w:pStyle w:val="4"/>
        <w:rPr>
          <w:rFonts w:hint="eastAsia" w:ascii="宋体" w:hAnsi="宋体" w:cs="宋体"/>
          <w:b/>
          <w:kern w:val="0"/>
          <w:sz w:val="24"/>
        </w:rPr>
      </w:pPr>
    </w:p>
    <w:p w14:paraId="38FC3BE7">
      <w:pPr>
        <w:rPr>
          <w:rFonts w:hint="eastAsia" w:ascii="宋体" w:hAnsi="宋体" w:cs="宋体"/>
          <w:b/>
          <w:kern w:val="0"/>
          <w:sz w:val="24"/>
        </w:rPr>
      </w:pPr>
      <w:r>
        <w:rPr>
          <w:rFonts w:hint="eastAsia" w:ascii="宋体" w:hAnsi="宋体" w:cs="宋体"/>
          <w:b/>
          <w:kern w:val="0"/>
          <w:sz w:val="24"/>
        </w:rPr>
        <w:br w:type="page"/>
      </w:r>
    </w:p>
    <w:p w14:paraId="3F92DA78">
      <w:pPr>
        <w:pStyle w:val="11"/>
        <w:keepNext w:val="0"/>
        <w:snapToGrid w:val="0"/>
        <w:spacing w:before="20" w:after="20" w:line="360" w:lineRule="auto"/>
        <w:jc w:val="center"/>
        <w:rPr>
          <w:rFonts w:hint="eastAsia" w:ascii="宋体" w:hAnsi="宋体" w:eastAsia="宋体" w:cs="宋体"/>
          <w:sz w:val="28"/>
          <w:szCs w:val="28"/>
        </w:rPr>
      </w:pPr>
      <w:bookmarkStart w:id="72" w:name="_Toc8818"/>
      <w:bookmarkStart w:id="73" w:name="_Toc14560"/>
      <w:r>
        <w:rPr>
          <w:rFonts w:hint="eastAsia" w:ascii="宋体" w:hAnsi="宋体" w:eastAsia="宋体" w:cs="宋体"/>
          <w:sz w:val="28"/>
          <w:szCs w:val="28"/>
        </w:rPr>
        <w:t>附件2      竞争性磋商响应书（格式）</w:t>
      </w:r>
      <w:bookmarkEnd w:id="72"/>
      <w:bookmarkEnd w:id="73"/>
    </w:p>
    <w:p w14:paraId="7FD4075B">
      <w:pPr>
        <w:wordWrap w:val="0"/>
        <w:snapToGrid w:val="0"/>
        <w:spacing w:line="460" w:lineRule="exact"/>
        <w:jc w:val="left"/>
        <w:rPr>
          <w:rFonts w:hint="eastAsia" w:ascii="宋体" w:hAnsi="宋体" w:cs="宋体"/>
          <w:kern w:val="0"/>
          <w:szCs w:val="21"/>
        </w:rPr>
      </w:pPr>
      <w:r>
        <w:rPr>
          <w:rFonts w:hint="eastAsia" w:ascii="宋体" w:hAnsi="宋体" w:cs="宋体"/>
          <w:kern w:val="0"/>
          <w:szCs w:val="21"/>
        </w:rPr>
        <w:t>致：</w:t>
      </w:r>
      <w:r>
        <w:rPr>
          <w:rFonts w:hint="eastAsia" w:ascii="宋体" w:hAnsi="宋体" w:cs="宋体"/>
          <w:kern w:val="0"/>
          <w:szCs w:val="21"/>
          <w:u w:val="single"/>
        </w:rPr>
        <w:t xml:space="preserve"> （采购人名称）</w:t>
      </w:r>
      <w:r>
        <w:rPr>
          <w:rFonts w:hint="eastAsia" w:ascii="宋体" w:hAnsi="宋体" w:cs="宋体"/>
          <w:kern w:val="0"/>
          <w:szCs w:val="21"/>
        </w:rPr>
        <w:t>：</w:t>
      </w:r>
    </w:p>
    <w:p w14:paraId="042B1F21">
      <w:pPr>
        <w:wordWrap w:val="0"/>
        <w:spacing w:line="460" w:lineRule="exact"/>
        <w:ind w:firstLine="525" w:firstLineChars="250"/>
        <w:jc w:val="left"/>
        <w:rPr>
          <w:rFonts w:hint="eastAsia" w:ascii="宋体" w:hAnsi="宋体" w:cs="宋体"/>
          <w:kern w:val="0"/>
          <w:szCs w:val="21"/>
        </w:rPr>
      </w:pPr>
      <w:r>
        <w:rPr>
          <w:rFonts w:hint="eastAsia" w:ascii="宋体" w:hAnsi="宋体" w:cs="宋体"/>
          <w:kern w:val="0"/>
          <w:szCs w:val="21"/>
          <w:u w:val="single"/>
        </w:rPr>
        <w:t xml:space="preserve">        （供应商名称）</w:t>
      </w:r>
      <w:r>
        <w:rPr>
          <w:rFonts w:hint="eastAsia" w:ascii="宋体" w:hAnsi="宋体" w:cs="宋体"/>
          <w:kern w:val="0"/>
          <w:szCs w:val="21"/>
        </w:rPr>
        <w:t xml:space="preserve">现委托 </w:t>
      </w:r>
      <w:r>
        <w:rPr>
          <w:rFonts w:hint="eastAsia" w:ascii="宋体" w:hAnsi="宋体" w:cs="宋体"/>
          <w:kern w:val="0"/>
          <w:szCs w:val="21"/>
          <w:u w:val="single"/>
        </w:rPr>
        <w:t xml:space="preserve">        </w:t>
      </w:r>
      <w:r>
        <w:rPr>
          <w:rFonts w:hint="eastAsia" w:ascii="宋体" w:hAnsi="宋体" w:cs="宋体"/>
          <w:kern w:val="0"/>
          <w:szCs w:val="21"/>
        </w:rPr>
        <w:t>（姓名）为我方代理人，参加贵方组织的</w:t>
      </w:r>
      <w:r>
        <w:rPr>
          <w:rFonts w:hint="eastAsia" w:ascii="宋体" w:hAnsi="宋体" w:cs="宋体"/>
          <w:kern w:val="0"/>
          <w:szCs w:val="21"/>
          <w:u w:val="single"/>
        </w:rPr>
        <w:t xml:space="preserve">        </w:t>
      </w:r>
      <w:r>
        <w:rPr>
          <w:rFonts w:hint="eastAsia" w:ascii="宋体" w:hAnsi="宋体" w:cs="宋体"/>
          <w:kern w:val="0"/>
          <w:szCs w:val="21"/>
        </w:rPr>
        <w:t>项目的磋商。现正式提交下述文件正本1份、副本2份：</w:t>
      </w:r>
    </w:p>
    <w:p w14:paraId="0555EC37">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1、初次报价一览表。</w:t>
      </w:r>
    </w:p>
    <w:p w14:paraId="4C53A870">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2、报价明细表。</w:t>
      </w:r>
    </w:p>
    <w:p w14:paraId="40719BD7">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3、服务响应表。</w:t>
      </w:r>
    </w:p>
    <w:p w14:paraId="61746810">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4、商务响应表。</w:t>
      </w:r>
    </w:p>
    <w:p w14:paraId="49C9094D">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5、证明文件。</w:t>
      </w:r>
    </w:p>
    <w:p w14:paraId="4076A07F">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为便于贵方公正、择优地确定成交供应商及其投标产品和服务，我方就本次投标有关事项郑重声明并宣布同意如下：</w:t>
      </w:r>
    </w:p>
    <w:p w14:paraId="21F7F397">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我方承诺已经具备采购文件中规定的参加政府采购活动的供应商应当具备的条件。我方愿意向贵方提供任何与本采购项目投标有关的数据、情况和技术资料，并根据需要提供一切承诺的证明材料，并保证其真实、合法、有效。</w:t>
      </w:r>
    </w:p>
    <w:p w14:paraId="4048BE53">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2、我方承诺在磋商活动中提供的各种材料真实有效。</w:t>
      </w:r>
    </w:p>
    <w:p w14:paraId="41BA4128">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3、我方同意在响应文件有效期内遵守本响应文件中的承诺且在此期限期满之前均具有约束力。如果我方成交，响应文件有效期与合同履行期相同。</w:t>
      </w:r>
    </w:p>
    <w:p w14:paraId="21626E8E">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4、我方已详细审查全部采购文件，包括修改文件（如有的话）和有关附件，将自行承担因对全部采购文件理解不正确或误解而产生的相应后果。</w:t>
      </w:r>
    </w:p>
    <w:p w14:paraId="5837FAF3">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5、我方保证尊重磋商小组的评审结果，完全理解本采购项目最低投标价不作为成交的保证。</w:t>
      </w:r>
    </w:p>
    <w:p w14:paraId="76A33369">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6、我方理解并遵守采购文件的全部规定，接受采购文件中政府采购合同的全部条款且无任何异议。</w:t>
      </w:r>
    </w:p>
    <w:p w14:paraId="6DF83C00">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7、如果我方代表</w:t>
      </w:r>
      <w:r>
        <w:rPr>
          <w:rFonts w:hint="eastAsia" w:ascii="宋体" w:hAnsi="宋体" w:cs="宋体"/>
          <w:bCs/>
          <w:kern w:val="0"/>
          <w:szCs w:val="21"/>
        </w:rPr>
        <w:t>未按时参加开标的，视同放弃开标监督权利，认可开标结果。</w:t>
      </w:r>
    </w:p>
    <w:p w14:paraId="6722CBC0">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8、如果我方存在供应商须知第9.3项所述情况，同意被认定为在经营活动中有重大违法记录。</w:t>
      </w:r>
    </w:p>
    <w:p w14:paraId="3CEF796A">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9、如果发生供应商须知第25.4.1、25.4.3项所述情况，同意我方投标被作为无效磋商处理。</w:t>
      </w:r>
    </w:p>
    <w:p w14:paraId="4A11AA3A">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10、如果发生供应商须知第25.5项所述情况，同意磋商小组认定我方的行为属于串通投标的行为，并自愿接受监管部门的处罚。</w:t>
      </w:r>
    </w:p>
    <w:p w14:paraId="22BC614B">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11、如果现场变更采购方式，我方同意在不改变采购需求、资质条件等情况下，按变更后的采购方式的规定程序进行采购。</w:t>
      </w:r>
    </w:p>
    <w:p w14:paraId="2FED3524">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12、如果被确定为成交供应商，我方同意按采购文件的规定领取成交通知书并缴纳服务费。否则，视为我方成交后自动放弃成交资格，承担由此引起的一切后果。</w:t>
      </w:r>
    </w:p>
    <w:p w14:paraId="3A1C7714">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13、如果被确定为成交供应商，我方同意在领取成交通知书之日起</w:t>
      </w:r>
      <w:r>
        <w:rPr>
          <w:rFonts w:hint="eastAsia" w:ascii="宋体" w:hAnsi="宋体" w:cs="宋体"/>
          <w:kern w:val="0"/>
          <w:szCs w:val="21"/>
          <w:u w:val="single"/>
        </w:rPr>
        <w:t xml:space="preserve"> 30  </w:t>
      </w:r>
      <w:r>
        <w:rPr>
          <w:rFonts w:hint="eastAsia" w:ascii="宋体" w:hAnsi="宋体" w:cs="宋体"/>
          <w:kern w:val="0"/>
          <w:szCs w:val="21"/>
        </w:rPr>
        <w:t>日内，按照采购文件的规定与采购人签订采购合同。否则，视为我方成交后无正当理由不与采购人签订合同并承担相应法律责任。</w:t>
      </w:r>
    </w:p>
    <w:p w14:paraId="7110FB4D">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14、我方最近3年内的被公开披露或查处的违法违规行为有：</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b/>
          <w:bCs/>
          <w:kern w:val="0"/>
          <w:szCs w:val="21"/>
        </w:rPr>
        <w:t>（若无，则填无；若有，逐一列明）</w:t>
      </w:r>
    </w:p>
    <w:p w14:paraId="3385AC4A">
      <w:pPr>
        <w:tabs>
          <w:tab w:val="left" w:pos="939"/>
        </w:tabs>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15、以上事项如有虚假或隐瞒，我方愿意承担一切后果和责任。</w:t>
      </w:r>
    </w:p>
    <w:p w14:paraId="2A2F5B57">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16、与磋商有关的一切正式往来通讯请寄（地址电话必须为最新并可以联系到）：</w:t>
      </w:r>
    </w:p>
    <w:p w14:paraId="75CFE4E1">
      <w:pPr>
        <w:wordWrap w:val="0"/>
        <w:spacing w:line="460" w:lineRule="exact"/>
        <w:ind w:firstLine="420" w:firstLineChars="200"/>
        <w:jc w:val="left"/>
        <w:rPr>
          <w:rFonts w:hint="eastAsia" w:ascii="宋体" w:hAnsi="宋体" w:cs="宋体"/>
          <w:kern w:val="0"/>
          <w:szCs w:val="21"/>
          <w:u w:val="single"/>
        </w:rPr>
      </w:pPr>
      <w:r>
        <w:rPr>
          <w:rFonts w:hint="eastAsia" w:ascii="宋体" w:hAnsi="宋体" w:cs="宋体"/>
          <w:kern w:val="0"/>
          <w:szCs w:val="21"/>
        </w:rPr>
        <w:t xml:space="preserve">   地址：                   邮编：</w:t>
      </w:r>
    </w:p>
    <w:p w14:paraId="438C887E">
      <w:pPr>
        <w:wordWrap w:val="0"/>
        <w:spacing w:line="460" w:lineRule="exact"/>
        <w:ind w:firstLine="420" w:firstLineChars="200"/>
        <w:jc w:val="left"/>
        <w:rPr>
          <w:rFonts w:hint="eastAsia" w:ascii="宋体" w:hAnsi="宋体" w:cs="宋体"/>
          <w:kern w:val="0"/>
          <w:szCs w:val="21"/>
          <w:u w:val="single"/>
        </w:rPr>
      </w:pPr>
      <w:r>
        <w:rPr>
          <w:rFonts w:hint="eastAsia" w:ascii="宋体" w:hAnsi="宋体" w:cs="宋体"/>
          <w:kern w:val="0"/>
          <w:szCs w:val="21"/>
        </w:rPr>
        <w:t xml:space="preserve">   电话：                   传真： </w:t>
      </w:r>
    </w:p>
    <w:p w14:paraId="015D3440">
      <w:pPr>
        <w:wordWrap w:val="0"/>
        <w:spacing w:line="460" w:lineRule="exact"/>
        <w:ind w:firstLine="420" w:firstLineChars="200"/>
        <w:jc w:val="left"/>
        <w:rPr>
          <w:rFonts w:hint="eastAsia" w:ascii="宋体" w:hAnsi="宋体" w:cs="宋体"/>
          <w:kern w:val="0"/>
          <w:szCs w:val="21"/>
        </w:rPr>
      </w:pPr>
    </w:p>
    <w:p w14:paraId="6FAA32FE">
      <w:pPr>
        <w:wordWrap w:val="0"/>
        <w:spacing w:line="460" w:lineRule="exact"/>
        <w:ind w:firstLine="735" w:firstLineChars="350"/>
        <w:jc w:val="left"/>
        <w:rPr>
          <w:rFonts w:hint="eastAsia" w:ascii="宋体" w:hAnsi="宋体" w:cs="宋体"/>
          <w:kern w:val="0"/>
          <w:szCs w:val="21"/>
          <w:u w:val="single"/>
        </w:rPr>
      </w:pPr>
      <w:r>
        <w:rPr>
          <w:rFonts w:hint="eastAsia" w:ascii="宋体" w:hAnsi="宋体" w:cs="宋体"/>
          <w:szCs w:val="21"/>
        </w:rPr>
        <w:t>法定代表人或委托代理人（签字</w:t>
      </w:r>
      <w:r>
        <w:rPr>
          <w:rFonts w:hint="eastAsia" w:ascii="宋体" w:hAnsi="宋体" w:cs="宋体"/>
          <w:kern w:val="0"/>
          <w:szCs w:val="21"/>
        </w:rPr>
        <w:t>或盖章</w:t>
      </w:r>
      <w:r>
        <w:rPr>
          <w:rFonts w:hint="eastAsia" w:ascii="宋体" w:hAnsi="宋体" w:cs="宋体"/>
          <w:szCs w:val="21"/>
        </w:rPr>
        <w:t>）</w:t>
      </w:r>
      <w:r>
        <w:rPr>
          <w:rFonts w:hint="eastAsia" w:ascii="宋体" w:hAnsi="宋体" w:cs="宋体"/>
          <w:kern w:val="0"/>
          <w:szCs w:val="21"/>
        </w:rPr>
        <w:t xml:space="preserve">： </w:t>
      </w:r>
    </w:p>
    <w:p w14:paraId="6F733FDF">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   供应商（全称并加盖公章）：</w:t>
      </w:r>
    </w:p>
    <w:p w14:paraId="33662E4C">
      <w:pPr>
        <w:snapToGrid w:val="0"/>
        <w:spacing w:line="460" w:lineRule="exact"/>
        <w:ind w:firstLine="1260" w:firstLineChars="600"/>
        <w:rPr>
          <w:rFonts w:hint="eastAsia" w:ascii="宋体" w:hAnsi="宋体" w:cs="宋体"/>
          <w:kern w:val="0"/>
          <w:sz w:val="24"/>
        </w:rPr>
      </w:pPr>
      <w:r>
        <w:rPr>
          <w:rFonts w:hint="eastAsia" w:ascii="宋体" w:hAnsi="宋体" w:cs="宋体"/>
          <w:kern w:val="0"/>
          <w:szCs w:val="21"/>
        </w:rPr>
        <w:t xml:space="preserve">年    月   日 </w:t>
      </w:r>
    </w:p>
    <w:p w14:paraId="720ADCD1">
      <w:pPr>
        <w:widowControl/>
        <w:wordWrap w:val="0"/>
        <w:snapToGrid w:val="0"/>
        <w:spacing w:before="50" w:after="50" w:line="480" w:lineRule="auto"/>
        <w:jc w:val="left"/>
        <w:rPr>
          <w:rFonts w:hint="eastAsia" w:ascii="宋体" w:hAnsi="宋体" w:cs="宋体"/>
          <w:b/>
          <w:kern w:val="0"/>
          <w:sz w:val="24"/>
        </w:rPr>
      </w:pPr>
    </w:p>
    <w:p w14:paraId="25C63B82">
      <w:pPr>
        <w:spacing w:line="500" w:lineRule="exact"/>
        <w:jc w:val="center"/>
        <w:rPr>
          <w:rFonts w:hint="eastAsia" w:ascii="宋体" w:hAnsi="宋体" w:cs="宋体"/>
          <w:b/>
          <w:bCs/>
          <w:sz w:val="24"/>
        </w:rPr>
      </w:pPr>
    </w:p>
    <w:p w14:paraId="40E5AE30">
      <w:pPr>
        <w:rPr>
          <w:rFonts w:hint="eastAsia" w:ascii="宋体" w:hAnsi="宋体" w:cs="宋体"/>
          <w:sz w:val="28"/>
          <w:szCs w:val="28"/>
        </w:rPr>
      </w:pPr>
      <w:r>
        <w:rPr>
          <w:rFonts w:hint="eastAsia" w:ascii="宋体" w:hAnsi="宋体" w:cs="宋体"/>
          <w:sz w:val="28"/>
          <w:szCs w:val="28"/>
        </w:rPr>
        <w:br w:type="page"/>
      </w:r>
    </w:p>
    <w:p w14:paraId="4658379C">
      <w:pPr>
        <w:rPr>
          <w:rFonts w:hint="eastAsia" w:ascii="宋体" w:hAnsi="宋体" w:cs="宋体"/>
        </w:rPr>
      </w:pPr>
    </w:p>
    <w:p w14:paraId="415A4326">
      <w:pPr>
        <w:pStyle w:val="11"/>
        <w:snapToGrid w:val="0"/>
        <w:spacing w:before="20" w:after="20" w:line="360" w:lineRule="auto"/>
        <w:jc w:val="center"/>
        <w:rPr>
          <w:rFonts w:hint="eastAsia" w:ascii="宋体" w:hAnsi="宋体" w:eastAsia="宋体" w:cs="宋体"/>
          <w:sz w:val="28"/>
          <w:szCs w:val="28"/>
        </w:rPr>
      </w:pPr>
      <w:bookmarkStart w:id="74" w:name="_Toc7838"/>
      <w:r>
        <w:rPr>
          <w:rFonts w:hint="eastAsia" w:ascii="宋体" w:hAnsi="宋体" w:eastAsia="宋体" w:cs="宋体"/>
          <w:sz w:val="28"/>
          <w:szCs w:val="28"/>
        </w:rPr>
        <w:t>附件3            初次报价一览表</w:t>
      </w:r>
      <w:bookmarkEnd w:id="74"/>
      <w:r>
        <w:rPr>
          <w:rFonts w:hint="eastAsia" w:ascii="宋体" w:hAnsi="宋体" w:eastAsia="宋体" w:cs="宋体"/>
          <w:sz w:val="28"/>
          <w:szCs w:val="28"/>
        </w:rPr>
        <w:t>（格式）</w:t>
      </w:r>
    </w:p>
    <w:p w14:paraId="3ECEDCBA">
      <w:pPr>
        <w:spacing w:line="239" w:lineRule="auto"/>
        <w:jc w:val="right"/>
        <w:rPr>
          <w:rFonts w:hint="eastAsia" w:ascii="宋体" w:hAnsi="宋体" w:cs="宋体"/>
          <w:sz w:val="24"/>
        </w:rPr>
      </w:pPr>
      <w:r>
        <w:rPr>
          <w:rFonts w:hint="eastAsia" w:ascii="宋体" w:hAnsi="宋体" w:cs="宋体"/>
          <w:sz w:val="24"/>
        </w:rPr>
        <w:t>单位：人民币元</w:t>
      </w:r>
    </w:p>
    <w:p w14:paraId="20F68FD5">
      <w:pPr>
        <w:rPr>
          <w:rFonts w:hint="eastAsia" w:ascii="宋体" w:hAnsi="宋体" w:cs="宋体"/>
        </w:rPr>
      </w:pPr>
    </w:p>
    <w:tbl>
      <w:tblPr>
        <w:tblStyle w:val="35"/>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37E9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F8A410">
            <w:pPr>
              <w:widowControl/>
              <w:snapToGrid w:val="0"/>
              <w:spacing w:before="50" w:after="50"/>
              <w:jc w:val="center"/>
              <w:rPr>
                <w:rFonts w:hint="eastAsia" w:ascii="宋体" w:hAnsi="宋体" w:cs="宋体"/>
                <w:szCs w:val="21"/>
              </w:rPr>
            </w:pPr>
            <w:r>
              <w:rPr>
                <w:rFonts w:hint="eastAsia" w:ascii="宋体" w:hAnsi="宋体" w:cs="宋体"/>
                <w:kern w:val="0"/>
                <w:szCs w:val="21"/>
              </w:rPr>
              <w:t>项目名称</w:t>
            </w:r>
          </w:p>
        </w:tc>
        <w:tc>
          <w:tcPr>
            <w:tcW w:w="7708" w:type="dxa"/>
            <w:noWrap/>
            <w:vAlign w:val="center"/>
          </w:tcPr>
          <w:p w14:paraId="36BAD0CE">
            <w:pPr>
              <w:rPr>
                <w:rFonts w:hint="eastAsia" w:ascii="宋体" w:hAnsi="宋体" w:cs="宋体"/>
                <w:bCs/>
                <w:szCs w:val="21"/>
              </w:rPr>
            </w:pPr>
          </w:p>
        </w:tc>
      </w:tr>
      <w:tr w14:paraId="6E83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AEC4E27">
            <w:pPr>
              <w:widowControl/>
              <w:snapToGrid w:val="0"/>
              <w:spacing w:before="50" w:after="50"/>
              <w:jc w:val="center"/>
              <w:rPr>
                <w:rFonts w:hint="eastAsia" w:ascii="宋体" w:hAnsi="宋体" w:cs="宋体"/>
                <w:szCs w:val="21"/>
              </w:rPr>
            </w:pPr>
            <w:r>
              <w:rPr>
                <w:rFonts w:hint="eastAsia" w:ascii="宋体" w:hAnsi="宋体" w:cs="宋体"/>
                <w:kern w:val="0"/>
                <w:szCs w:val="21"/>
              </w:rPr>
              <w:t>供应商名称</w:t>
            </w:r>
          </w:p>
        </w:tc>
        <w:tc>
          <w:tcPr>
            <w:tcW w:w="7708" w:type="dxa"/>
            <w:noWrap/>
            <w:vAlign w:val="center"/>
          </w:tcPr>
          <w:p w14:paraId="267EEE29">
            <w:pPr>
              <w:rPr>
                <w:rFonts w:hint="eastAsia" w:ascii="宋体" w:hAnsi="宋体" w:cs="宋体"/>
                <w:szCs w:val="21"/>
              </w:rPr>
            </w:pPr>
          </w:p>
        </w:tc>
      </w:tr>
      <w:tr w14:paraId="2C63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3F149C2A">
            <w:pPr>
              <w:jc w:val="center"/>
              <w:rPr>
                <w:rFonts w:hint="eastAsia" w:ascii="宋体" w:hAnsi="宋体" w:cs="宋体"/>
                <w:spacing w:val="-20"/>
                <w:szCs w:val="21"/>
              </w:rPr>
            </w:pPr>
            <w:r>
              <w:rPr>
                <w:rFonts w:hint="eastAsia" w:ascii="宋体" w:hAnsi="宋体" w:cs="宋体"/>
                <w:szCs w:val="21"/>
              </w:rPr>
              <w:t>磋商报价</w:t>
            </w:r>
          </w:p>
        </w:tc>
        <w:tc>
          <w:tcPr>
            <w:tcW w:w="7708" w:type="dxa"/>
            <w:noWrap/>
            <w:vAlign w:val="center"/>
          </w:tcPr>
          <w:p w14:paraId="14B7DDB0">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大写：</w:t>
            </w:r>
            <w:r>
              <w:rPr>
                <w:rFonts w:hint="eastAsia"/>
                <w:u w:val="single"/>
              </w:rPr>
              <w:t xml:space="preserve">          </w:t>
            </w:r>
            <w:r>
              <w:rPr>
                <w:rFonts w:hint="eastAsia" w:ascii="宋体" w:hAnsi="宋体" w:cs="宋体"/>
                <w:color w:val="000000" w:themeColor="text1"/>
                <w:szCs w:val="21"/>
                <w14:textFill>
                  <w14:solidFill>
                    <w14:schemeClr w14:val="tx1"/>
                  </w14:solidFill>
                </w14:textFill>
              </w:rPr>
              <w:t xml:space="preserve">        </w:t>
            </w:r>
          </w:p>
          <w:p w14:paraId="6CC06806">
            <w:pPr>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小写：</w:t>
            </w:r>
            <w:r>
              <w:rPr>
                <w:rFonts w:hint="eastAsia"/>
                <w:u w:val="single"/>
              </w:rPr>
              <w:t xml:space="preserve">       </w:t>
            </w:r>
            <w:r>
              <w:rPr>
                <w:rFonts w:hint="eastAsia" w:ascii="宋体" w:hAnsi="宋体" w:cs="宋体"/>
                <w:color w:val="000000" w:themeColor="text1"/>
                <w:szCs w:val="21"/>
                <w14:textFill>
                  <w14:solidFill>
                    <w14:schemeClr w14:val="tx1"/>
                  </w14:solidFill>
                </w14:textFill>
              </w:rPr>
              <w:t>元（详见报价明细表）</w:t>
            </w:r>
          </w:p>
        </w:tc>
      </w:tr>
      <w:tr w14:paraId="7277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6CF7B3B">
            <w:pPr>
              <w:jc w:val="center"/>
              <w:rPr>
                <w:rFonts w:hint="eastAsia" w:ascii="宋体" w:hAnsi="宋体" w:cs="宋体"/>
                <w:szCs w:val="21"/>
              </w:rPr>
            </w:pPr>
            <w:r>
              <w:rPr>
                <w:rFonts w:hint="eastAsia"/>
                <w:szCs w:val="21"/>
              </w:rPr>
              <w:t>服务期限</w:t>
            </w:r>
          </w:p>
        </w:tc>
        <w:tc>
          <w:tcPr>
            <w:tcW w:w="7708" w:type="dxa"/>
            <w:noWrap/>
            <w:vAlign w:val="bottom"/>
          </w:tcPr>
          <w:p w14:paraId="60B748F8">
            <w:pPr>
              <w:spacing w:line="360" w:lineRule="auto"/>
              <w:ind w:firstLine="1155" w:firstLineChars="550"/>
              <w:rPr>
                <w:rFonts w:hint="eastAsia" w:ascii="宋体" w:hAnsi="宋体" w:cs="宋体"/>
                <w:szCs w:val="21"/>
                <w:u w:val="single"/>
              </w:rPr>
            </w:pPr>
          </w:p>
        </w:tc>
      </w:tr>
      <w:tr w14:paraId="0C26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2922DD6">
            <w:pPr>
              <w:jc w:val="center"/>
              <w:rPr>
                <w:rFonts w:hint="eastAsia" w:ascii="宋体" w:hAnsi="宋体" w:cs="宋体"/>
                <w:szCs w:val="21"/>
              </w:rPr>
            </w:pPr>
            <w:bookmarkStart w:id="75" w:name="OLE_LINK1"/>
            <w:r>
              <w:rPr>
                <w:rFonts w:hint="eastAsia" w:ascii="宋体" w:hAnsi="宋体" w:cs="宋体"/>
                <w:szCs w:val="21"/>
              </w:rPr>
              <w:t>质量要求</w:t>
            </w:r>
            <w:bookmarkEnd w:id="75"/>
          </w:p>
        </w:tc>
        <w:tc>
          <w:tcPr>
            <w:tcW w:w="7708" w:type="dxa"/>
            <w:noWrap/>
            <w:vAlign w:val="bottom"/>
          </w:tcPr>
          <w:p w14:paraId="1CF55E0F">
            <w:pPr>
              <w:spacing w:line="360" w:lineRule="auto"/>
              <w:ind w:firstLine="1155" w:firstLineChars="550"/>
              <w:rPr>
                <w:rFonts w:hint="eastAsia" w:ascii="宋体" w:hAnsi="宋体" w:cs="宋体"/>
                <w:szCs w:val="21"/>
                <w:u w:val="single"/>
              </w:rPr>
            </w:pPr>
          </w:p>
        </w:tc>
      </w:tr>
      <w:tr w14:paraId="15E7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FB909B0">
            <w:pPr>
              <w:jc w:val="center"/>
              <w:rPr>
                <w:rFonts w:hint="eastAsia" w:ascii="宋体" w:hAnsi="宋体" w:cs="宋体"/>
                <w:szCs w:val="21"/>
              </w:rPr>
            </w:pPr>
            <w:r>
              <w:rPr>
                <w:rFonts w:hint="eastAsia" w:ascii="宋体" w:hAnsi="宋体" w:cs="宋体"/>
                <w:kern w:val="0"/>
                <w:szCs w:val="21"/>
              </w:rPr>
              <w:t>响应文件有效期</w:t>
            </w:r>
          </w:p>
        </w:tc>
        <w:tc>
          <w:tcPr>
            <w:tcW w:w="7708" w:type="dxa"/>
            <w:noWrap/>
            <w:vAlign w:val="center"/>
          </w:tcPr>
          <w:p w14:paraId="68B57F73">
            <w:pPr>
              <w:pStyle w:val="23"/>
              <w:ind w:left="0" w:leftChars="0"/>
              <w:rPr>
                <w:rFonts w:hint="eastAsia" w:cs="宋体"/>
                <w:szCs w:val="21"/>
                <w:u w:val="single"/>
              </w:rPr>
            </w:pPr>
            <w:r>
              <w:rPr>
                <w:rFonts w:hint="eastAsia" w:cs="宋体"/>
                <w:kern w:val="0"/>
                <w:sz w:val="21"/>
                <w:szCs w:val="21"/>
              </w:rPr>
              <w:t>响应文件递交截止期结束后60日。</w:t>
            </w:r>
          </w:p>
        </w:tc>
      </w:tr>
      <w:tr w14:paraId="428A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4E0BB22">
            <w:pPr>
              <w:jc w:val="center"/>
              <w:rPr>
                <w:rFonts w:hint="eastAsia" w:ascii="宋体" w:hAnsi="宋体" w:cs="宋体"/>
                <w:szCs w:val="21"/>
              </w:rPr>
            </w:pPr>
            <w:r>
              <w:rPr>
                <w:rFonts w:hint="eastAsia" w:ascii="宋体" w:hAnsi="宋体" w:cs="宋体"/>
                <w:szCs w:val="21"/>
              </w:rPr>
              <w:t>备  注</w:t>
            </w:r>
          </w:p>
        </w:tc>
        <w:tc>
          <w:tcPr>
            <w:tcW w:w="7708" w:type="dxa"/>
            <w:noWrap/>
            <w:vAlign w:val="center"/>
          </w:tcPr>
          <w:p w14:paraId="1C77FF50">
            <w:pPr>
              <w:pStyle w:val="23"/>
              <w:ind w:left="0" w:leftChars="0"/>
              <w:rPr>
                <w:rFonts w:hint="eastAsia" w:cs="宋体"/>
                <w:sz w:val="21"/>
                <w:szCs w:val="21"/>
              </w:rPr>
            </w:pPr>
          </w:p>
        </w:tc>
      </w:tr>
    </w:tbl>
    <w:p w14:paraId="5456D164">
      <w:pPr>
        <w:spacing w:line="360" w:lineRule="auto"/>
        <w:ind w:firstLine="420" w:firstLineChars="200"/>
        <w:rPr>
          <w:rFonts w:hint="eastAsia" w:ascii="宋体" w:hAnsi="宋体" w:cs="宋体"/>
          <w:kern w:val="0"/>
          <w:szCs w:val="21"/>
        </w:rPr>
      </w:pPr>
      <w:r>
        <w:rPr>
          <w:rFonts w:hint="eastAsia" w:ascii="宋体" w:hAnsi="宋体" w:cs="宋体"/>
          <w:kern w:val="0"/>
          <w:szCs w:val="21"/>
        </w:rPr>
        <w:t>注: 1、报价一经涂改，应在涂改处加盖单位公章或供应商代表签字或盖章，否则其投标作无效标处理。</w:t>
      </w:r>
    </w:p>
    <w:p w14:paraId="21ABDB12">
      <w:pPr>
        <w:spacing w:line="360" w:lineRule="auto"/>
        <w:ind w:firstLine="420" w:firstLineChars="200"/>
        <w:rPr>
          <w:rFonts w:hint="eastAsia" w:ascii="宋体" w:hAnsi="宋体" w:cs="宋体"/>
          <w:kern w:val="0"/>
          <w:szCs w:val="21"/>
        </w:rPr>
      </w:pPr>
      <w:r>
        <w:rPr>
          <w:rFonts w:hint="eastAsia" w:ascii="宋体" w:hAnsi="宋体" w:cs="宋体"/>
          <w:kern w:val="0"/>
          <w:szCs w:val="21"/>
        </w:rPr>
        <w:t>2、以上报价应与“报价明细表”中的报价相一致。</w:t>
      </w:r>
    </w:p>
    <w:p w14:paraId="59001109">
      <w:pPr>
        <w:spacing w:line="360" w:lineRule="auto"/>
        <w:ind w:firstLine="420" w:firstLineChars="200"/>
        <w:rPr>
          <w:rFonts w:hint="eastAsia" w:ascii="宋体" w:hAnsi="宋体" w:cs="宋体"/>
          <w:kern w:val="0"/>
          <w:szCs w:val="21"/>
        </w:rPr>
      </w:pPr>
      <w:r>
        <w:rPr>
          <w:rFonts w:hint="eastAsia" w:ascii="宋体" w:hAnsi="宋体" w:cs="宋体"/>
          <w:kern w:val="0"/>
          <w:szCs w:val="21"/>
        </w:rPr>
        <w:t>3、供应商按格式填列，不得自行更改。否则引起的不利后果由供应商承担。</w:t>
      </w:r>
    </w:p>
    <w:p w14:paraId="729A7BC1">
      <w:pPr>
        <w:spacing w:line="360" w:lineRule="auto"/>
        <w:ind w:firstLine="420" w:firstLineChars="200"/>
        <w:jc w:val="center"/>
        <w:rPr>
          <w:rFonts w:hint="eastAsia" w:ascii="宋体" w:hAnsi="宋体" w:cs="宋体"/>
          <w:szCs w:val="21"/>
        </w:rPr>
      </w:pPr>
      <w:bookmarkStart w:id="76" w:name="_Toc20877"/>
      <w:bookmarkStart w:id="77" w:name="_Toc11620"/>
    </w:p>
    <w:p w14:paraId="2B8A9420">
      <w:pPr>
        <w:spacing w:line="360" w:lineRule="auto"/>
        <w:ind w:firstLine="420" w:firstLineChars="200"/>
        <w:jc w:val="center"/>
        <w:rPr>
          <w:rFonts w:hint="eastAsia" w:ascii="宋体" w:hAnsi="宋体" w:cs="宋体"/>
          <w:szCs w:val="21"/>
        </w:rPr>
      </w:pPr>
      <w:r>
        <w:rPr>
          <w:rFonts w:hint="eastAsia" w:ascii="宋体" w:hAnsi="宋体" w:cs="宋体"/>
          <w:szCs w:val="21"/>
        </w:rPr>
        <w:t>供应商（全称并加盖公章）：</w:t>
      </w:r>
      <w:bookmarkEnd w:id="76"/>
      <w:bookmarkEnd w:id="77"/>
    </w:p>
    <w:p w14:paraId="7E615096">
      <w:pPr>
        <w:spacing w:line="360" w:lineRule="auto"/>
        <w:ind w:firstLine="420" w:firstLineChars="200"/>
        <w:jc w:val="center"/>
        <w:rPr>
          <w:rFonts w:hint="eastAsia" w:ascii="宋体" w:hAnsi="宋体" w:cs="宋体"/>
          <w:szCs w:val="21"/>
          <w:u w:val="single"/>
        </w:rPr>
      </w:pPr>
      <w:bookmarkStart w:id="78" w:name="_Toc12222"/>
      <w:bookmarkStart w:id="79" w:name="_Toc625"/>
      <w:r>
        <w:rPr>
          <w:rFonts w:hint="eastAsia" w:ascii="宋体" w:hAnsi="宋体" w:cs="宋体"/>
          <w:szCs w:val="21"/>
        </w:rPr>
        <w:t>法定代表人或委托代理人（签字</w:t>
      </w:r>
      <w:r>
        <w:rPr>
          <w:rFonts w:hint="eastAsia" w:ascii="宋体" w:hAnsi="宋体" w:cs="宋体"/>
          <w:kern w:val="0"/>
          <w:szCs w:val="21"/>
        </w:rPr>
        <w:t>或盖章</w:t>
      </w:r>
      <w:r>
        <w:rPr>
          <w:rFonts w:hint="eastAsia" w:ascii="宋体" w:hAnsi="宋体" w:cs="宋体"/>
          <w:szCs w:val="21"/>
        </w:rPr>
        <w:t>）：</w:t>
      </w:r>
      <w:bookmarkEnd w:id="78"/>
      <w:bookmarkEnd w:id="79"/>
    </w:p>
    <w:p w14:paraId="765D76D6">
      <w:pPr>
        <w:jc w:val="center"/>
        <w:rPr>
          <w:rFonts w:hint="eastAsia" w:ascii="宋体" w:hAnsi="宋体" w:cs="宋体"/>
          <w:szCs w:val="21"/>
        </w:rPr>
      </w:pPr>
    </w:p>
    <w:p w14:paraId="7AA4E2C1">
      <w:pPr>
        <w:spacing w:line="360" w:lineRule="auto"/>
        <w:ind w:firstLine="420" w:firstLineChars="200"/>
        <w:jc w:val="center"/>
        <w:rPr>
          <w:rFonts w:hint="eastAsia" w:ascii="宋体" w:hAnsi="宋体" w:cs="宋体"/>
        </w:rPr>
      </w:pPr>
      <w:bookmarkStart w:id="80" w:name="_Toc1330"/>
      <w:bookmarkStart w:id="81" w:name="_Toc9950"/>
      <w:r>
        <w:rPr>
          <w:rFonts w:hint="eastAsia" w:ascii="宋体" w:hAnsi="宋体" w:cs="宋体"/>
          <w:szCs w:val="21"/>
        </w:rPr>
        <w:t>年  月  日</w:t>
      </w:r>
      <w:bookmarkEnd w:id="80"/>
      <w:bookmarkEnd w:id="81"/>
    </w:p>
    <w:p w14:paraId="229BFF6D">
      <w:pPr>
        <w:rPr>
          <w:rFonts w:hint="eastAsia" w:ascii="宋体" w:hAnsi="宋体" w:cs="宋体"/>
        </w:rPr>
      </w:pPr>
    </w:p>
    <w:bookmarkEnd w:id="56"/>
    <w:bookmarkEnd w:id="57"/>
    <w:p w14:paraId="55A2AF12">
      <w:pPr>
        <w:spacing w:before="20" w:after="20"/>
        <w:rPr>
          <w:rFonts w:hint="eastAsia" w:ascii="宋体" w:hAnsi="宋体" w:cs="宋体"/>
        </w:rPr>
      </w:pPr>
      <w:bookmarkStart w:id="82" w:name="_Toc22004"/>
      <w:bookmarkStart w:id="83" w:name="_Toc24984"/>
    </w:p>
    <w:bookmarkEnd w:id="82"/>
    <w:bookmarkEnd w:id="83"/>
    <w:p w14:paraId="0651A4A7">
      <w:pPr>
        <w:rPr>
          <w:rFonts w:hint="eastAsia" w:ascii="宋体" w:hAnsi="宋体" w:cs="宋体"/>
          <w:kern w:val="0"/>
          <w:sz w:val="24"/>
        </w:rPr>
        <w:sectPr>
          <w:footerReference r:id="rId6" w:type="default"/>
          <w:pgSz w:w="11906" w:h="16838"/>
          <w:pgMar w:top="1417" w:right="1474" w:bottom="1417" w:left="1474" w:header="851" w:footer="624" w:gutter="0"/>
          <w:cols w:space="720" w:num="1"/>
          <w:docGrid w:type="lines" w:linePitch="319" w:charSpace="0"/>
        </w:sectPr>
      </w:pPr>
    </w:p>
    <w:p w14:paraId="052658A3">
      <w:pPr>
        <w:pStyle w:val="11"/>
        <w:snapToGrid w:val="0"/>
        <w:spacing w:before="20" w:after="20" w:line="360" w:lineRule="auto"/>
        <w:jc w:val="center"/>
        <w:rPr>
          <w:rFonts w:hint="eastAsia" w:ascii="宋体" w:hAnsi="宋体" w:eastAsia="宋体" w:cs="宋体"/>
          <w:sz w:val="28"/>
          <w:szCs w:val="28"/>
        </w:rPr>
      </w:pPr>
      <w:bookmarkStart w:id="84" w:name="_Toc226"/>
      <w:bookmarkStart w:id="85" w:name="_Toc15804"/>
      <w:r>
        <w:rPr>
          <w:rFonts w:hint="eastAsia" w:ascii="宋体" w:hAnsi="宋体" w:eastAsia="宋体" w:cs="宋体"/>
          <w:sz w:val="28"/>
          <w:szCs w:val="28"/>
        </w:rPr>
        <w:t>附件</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         </w:t>
      </w:r>
      <w:bookmarkEnd w:id="84"/>
      <w:bookmarkEnd w:id="85"/>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技术响应表</w:t>
      </w:r>
      <w:r>
        <w:rPr>
          <w:rFonts w:hint="eastAsia" w:ascii="宋体" w:hAnsi="宋体" w:eastAsia="宋体" w:cs="宋体"/>
          <w:sz w:val="28"/>
          <w:szCs w:val="28"/>
        </w:rPr>
        <w:t>（格式）</w:t>
      </w:r>
    </w:p>
    <w:tbl>
      <w:tblPr>
        <w:tblStyle w:val="94"/>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30A0C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vAlign w:val="center"/>
          </w:tcPr>
          <w:p w14:paraId="2B232102">
            <w:pPr>
              <w:widowControl/>
              <w:spacing w:line="360" w:lineRule="auto"/>
              <w:jc w:val="center"/>
              <w:textAlignment w:val="baseline"/>
              <w:rPr>
                <w:rFonts w:hint="eastAsia" w:ascii="宋体" w:hAnsi="宋体" w:cs="宋体"/>
                <w:szCs w:val="21"/>
              </w:rPr>
            </w:pPr>
            <w:r>
              <w:rPr>
                <w:rFonts w:hint="eastAsia" w:ascii="宋体" w:hAnsi="宋体" w:cs="宋体"/>
                <w:szCs w:val="21"/>
              </w:rPr>
              <w:t>序号</w:t>
            </w:r>
          </w:p>
        </w:tc>
        <w:tc>
          <w:tcPr>
            <w:tcW w:w="1833" w:type="dxa"/>
            <w:vAlign w:val="center"/>
          </w:tcPr>
          <w:p w14:paraId="7DB6219D">
            <w:pPr>
              <w:widowControl/>
              <w:spacing w:line="360" w:lineRule="auto"/>
              <w:jc w:val="center"/>
              <w:textAlignment w:val="baseline"/>
              <w:rPr>
                <w:rFonts w:hint="eastAsia" w:ascii="宋体" w:hAnsi="宋体" w:cs="宋体"/>
                <w:szCs w:val="21"/>
              </w:rPr>
            </w:pPr>
            <w:r>
              <w:rPr>
                <w:rFonts w:hint="eastAsia" w:ascii="宋体" w:hAnsi="宋体" w:cs="宋体"/>
                <w:szCs w:val="21"/>
              </w:rPr>
              <w:t>名称</w:t>
            </w:r>
          </w:p>
        </w:tc>
        <w:tc>
          <w:tcPr>
            <w:tcW w:w="2625" w:type="dxa"/>
            <w:vAlign w:val="center"/>
          </w:tcPr>
          <w:p w14:paraId="4F3486B6">
            <w:pPr>
              <w:widowControl/>
              <w:spacing w:line="360" w:lineRule="auto"/>
              <w:jc w:val="center"/>
              <w:textAlignment w:val="baseline"/>
              <w:rPr>
                <w:rFonts w:hint="eastAsia" w:ascii="宋体" w:hAnsi="宋体" w:cs="宋体"/>
                <w:szCs w:val="21"/>
              </w:rPr>
            </w:pPr>
            <w:r>
              <w:rPr>
                <w:rFonts w:hint="eastAsia" w:ascii="宋体" w:hAnsi="宋体" w:cs="宋体"/>
                <w:szCs w:val="21"/>
              </w:rPr>
              <w:t>采购文件要求</w:t>
            </w:r>
          </w:p>
        </w:tc>
        <w:tc>
          <w:tcPr>
            <w:tcW w:w="2379" w:type="dxa"/>
            <w:vAlign w:val="center"/>
          </w:tcPr>
          <w:p w14:paraId="2D20C591">
            <w:pPr>
              <w:widowControl/>
              <w:spacing w:line="360" w:lineRule="auto"/>
              <w:jc w:val="center"/>
              <w:textAlignment w:val="baseline"/>
              <w:rPr>
                <w:rFonts w:hint="eastAsia" w:ascii="宋体" w:hAnsi="宋体" w:cs="宋体"/>
                <w:szCs w:val="21"/>
              </w:rPr>
            </w:pPr>
            <w:r>
              <w:rPr>
                <w:rFonts w:hint="eastAsia" w:ascii="宋体" w:hAnsi="宋体" w:cs="宋体"/>
                <w:szCs w:val="21"/>
              </w:rPr>
              <w:t>响应文件响应</w:t>
            </w:r>
          </w:p>
        </w:tc>
        <w:tc>
          <w:tcPr>
            <w:tcW w:w="1468" w:type="dxa"/>
            <w:vAlign w:val="center"/>
          </w:tcPr>
          <w:p w14:paraId="5D481029">
            <w:pPr>
              <w:widowControl/>
              <w:spacing w:line="360" w:lineRule="auto"/>
              <w:jc w:val="center"/>
              <w:textAlignment w:val="baseline"/>
              <w:rPr>
                <w:rFonts w:hint="eastAsia" w:ascii="宋体" w:hAnsi="宋体" w:cs="宋体"/>
                <w:szCs w:val="21"/>
              </w:rPr>
            </w:pPr>
            <w:r>
              <w:rPr>
                <w:rFonts w:hint="eastAsia" w:ascii="宋体" w:hAnsi="宋体" w:cs="宋体"/>
                <w:szCs w:val="21"/>
              </w:rPr>
              <w:t>偏离情况</w:t>
            </w:r>
          </w:p>
        </w:tc>
      </w:tr>
      <w:tr w14:paraId="76884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vAlign w:val="center"/>
          </w:tcPr>
          <w:p w14:paraId="244492AD">
            <w:pPr>
              <w:widowControl/>
              <w:spacing w:line="360" w:lineRule="auto"/>
              <w:jc w:val="center"/>
              <w:textAlignment w:val="baseline"/>
              <w:rPr>
                <w:rFonts w:hint="eastAsia" w:ascii="宋体" w:hAnsi="宋体" w:cs="宋体"/>
                <w:szCs w:val="21"/>
              </w:rPr>
            </w:pPr>
            <w:r>
              <w:rPr>
                <w:rFonts w:hint="eastAsia" w:ascii="宋体" w:hAnsi="宋体" w:cs="宋体"/>
                <w:szCs w:val="21"/>
              </w:rPr>
              <w:t>1</w:t>
            </w:r>
          </w:p>
        </w:tc>
        <w:tc>
          <w:tcPr>
            <w:tcW w:w="1833" w:type="dxa"/>
            <w:vAlign w:val="center"/>
          </w:tcPr>
          <w:p w14:paraId="75BBCD63">
            <w:pPr>
              <w:widowControl/>
              <w:spacing w:line="360" w:lineRule="auto"/>
              <w:jc w:val="center"/>
              <w:textAlignment w:val="baseline"/>
              <w:rPr>
                <w:rFonts w:hint="eastAsia" w:ascii="宋体" w:hAnsi="宋体" w:cs="宋体"/>
                <w:szCs w:val="21"/>
              </w:rPr>
            </w:pPr>
          </w:p>
        </w:tc>
        <w:tc>
          <w:tcPr>
            <w:tcW w:w="2625" w:type="dxa"/>
            <w:vAlign w:val="center"/>
          </w:tcPr>
          <w:p w14:paraId="40C3474D">
            <w:pPr>
              <w:widowControl/>
              <w:spacing w:line="360" w:lineRule="auto"/>
              <w:jc w:val="center"/>
              <w:textAlignment w:val="baseline"/>
              <w:rPr>
                <w:rFonts w:hint="eastAsia" w:ascii="宋体" w:hAnsi="宋体" w:cs="宋体"/>
                <w:szCs w:val="21"/>
              </w:rPr>
            </w:pPr>
          </w:p>
        </w:tc>
        <w:tc>
          <w:tcPr>
            <w:tcW w:w="2379" w:type="dxa"/>
            <w:vAlign w:val="center"/>
          </w:tcPr>
          <w:p w14:paraId="1E932406">
            <w:pPr>
              <w:widowControl/>
              <w:spacing w:line="360" w:lineRule="auto"/>
              <w:jc w:val="center"/>
              <w:textAlignment w:val="baseline"/>
              <w:rPr>
                <w:rFonts w:hint="eastAsia" w:ascii="宋体" w:hAnsi="宋体" w:cs="宋体"/>
                <w:szCs w:val="21"/>
              </w:rPr>
            </w:pPr>
          </w:p>
        </w:tc>
        <w:tc>
          <w:tcPr>
            <w:tcW w:w="1468" w:type="dxa"/>
            <w:vAlign w:val="center"/>
          </w:tcPr>
          <w:p w14:paraId="0DD9C5DC">
            <w:pPr>
              <w:widowControl/>
              <w:spacing w:line="360" w:lineRule="auto"/>
              <w:jc w:val="center"/>
              <w:textAlignment w:val="baseline"/>
              <w:rPr>
                <w:rFonts w:hint="eastAsia" w:ascii="宋体" w:hAnsi="宋体" w:cs="宋体"/>
                <w:szCs w:val="21"/>
              </w:rPr>
            </w:pPr>
          </w:p>
        </w:tc>
      </w:tr>
      <w:tr w14:paraId="1A297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vAlign w:val="center"/>
          </w:tcPr>
          <w:p w14:paraId="66228876">
            <w:pPr>
              <w:widowControl/>
              <w:spacing w:line="360" w:lineRule="auto"/>
              <w:jc w:val="center"/>
              <w:textAlignment w:val="baseline"/>
              <w:rPr>
                <w:rFonts w:hint="eastAsia" w:ascii="宋体" w:hAnsi="宋体" w:cs="宋体"/>
                <w:szCs w:val="21"/>
              </w:rPr>
            </w:pPr>
            <w:r>
              <w:rPr>
                <w:rFonts w:hint="eastAsia" w:ascii="宋体" w:hAnsi="宋体" w:cs="宋体"/>
                <w:szCs w:val="21"/>
              </w:rPr>
              <w:t>2</w:t>
            </w:r>
          </w:p>
        </w:tc>
        <w:tc>
          <w:tcPr>
            <w:tcW w:w="1833" w:type="dxa"/>
            <w:vAlign w:val="center"/>
          </w:tcPr>
          <w:p w14:paraId="55DA1160">
            <w:pPr>
              <w:widowControl/>
              <w:spacing w:line="360" w:lineRule="auto"/>
              <w:jc w:val="center"/>
              <w:textAlignment w:val="baseline"/>
              <w:rPr>
                <w:rFonts w:hint="eastAsia" w:ascii="宋体" w:hAnsi="宋体" w:cs="宋体"/>
                <w:szCs w:val="21"/>
              </w:rPr>
            </w:pPr>
          </w:p>
        </w:tc>
        <w:tc>
          <w:tcPr>
            <w:tcW w:w="2625" w:type="dxa"/>
            <w:vAlign w:val="center"/>
          </w:tcPr>
          <w:p w14:paraId="29D9690B">
            <w:pPr>
              <w:widowControl/>
              <w:spacing w:line="360" w:lineRule="auto"/>
              <w:jc w:val="center"/>
              <w:textAlignment w:val="baseline"/>
              <w:rPr>
                <w:rFonts w:hint="eastAsia" w:ascii="宋体" w:hAnsi="宋体" w:cs="宋体"/>
                <w:szCs w:val="21"/>
              </w:rPr>
            </w:pPr>
          </w:p>
        </w:tc>
        <w:tc>
          <w:tcPr>
            <w:tcW w:w="2379" w:type="dxa"/>
            <w:vAlign w:val="center"/>
          </w:tcPr>
          <w:p w14:paraId="149F8452">
            <w:pPr>
              <w:widowControl/>
              <w:spacing w:line="360" w:lineRule="auto"/>
              <w:jc w:val="center"/>
              <w:textAlignment w:val="baseline"/>
              <w:rPr>
                <w:rFonts w:hint="eastAsia" w:ascii="宋体" w:hAnsi="宋体" w:cs="宋体"/>
                <w:szCs w:val="21"/>
              </w:rPr>
            </w:pPr>
          </w:p>
        </w:tc>
        <w:tc>
          <w:tcPr>
            <w:tcW w:w="1468" w:type="dxa"/>
            <w:vAlign w:val="center"/>
          </w:tcPr>
          <w:p w14:paraId="46A3EF8B">
            <w:pPr>
              <w:widowControl/>
              <w:spacing w:line="360" w:lineRule="auto"/>
              <w:jc w:val="center"/>
              <w:textAlignment w:val="baseline"/>
              <w:rPr>
                <w:rFonts w:hint="eastAsia" w:ascii="宋体" w:hAnsi="宋体" w:cs="宋体"/>
                <w:szCs w:val="21"/>
              </w:rPr>
            </w:pPr>
          </w:p>
        </w:tc>
      </w:tr>
      <w:tr w14:paraId="046E6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vAlign w:val="center"/>
          </w:tcPr>
          <w:p w14:paraId="4314ABC8">
            <w:pPr>
              <w:widowControl/>
              <w:spacing w:line="360" w:lineRule="auto"/>
              <w:jc w:val="center"/>
              <w:textAlignment w:val="baseline"/>
              <w:rPr>
                <w:rFonts w:hint="eastAsia" w:ascii="宋体" w:hAnsi="宋体" w:cs="宋体"/>
                <w:szCs w:val="21"/>
              </w:rPr>
            </w:pPr>
            <w:r>
              <w:rPr>
                <w:rFonts w:hint="eastAsia" w:ascii="宋体" w:hAnsi="宋体" w:cs="宋体"/>
                <w:szCs w:val="21"/>
              </w:rPr>
              <w:t>…</w:t>
            </w:r>
          </w:p>
        </w:tc>
        <w:tc>
          <w:tcPr>
            <w:tcW w:w="1833" w:type="dxa"/>
            <w:vAlign w:val="center"/>
          </w:tcPr>
          <w:p w14:paraId="0B0EDD45">
            <w:pPr>
              <w:widowControl/>
              <w:spacing w:line="360" w:lineRule="auto"/>
              <w:jc w:val="center"/>
              <w:textAlignment w:val="baseline"/>
              <w:rPr>
                <w:rFonts w:hint="eastAsia" w:ascii="宋体" w:hAnsi="宋体" w:cs="宋体"/>
                <w:szCs w:val="21"/>
              </w:rPr>
            </w:pPr>
          </w:p>
        </w:tc>
        <w:tc>
          <w:tcPr>
            <w:tcW w:w="2625" w:type="dxa"/>
            <w:vAlign w:val="center"/>
          </w:tcPr>
          <w:p w14:paraId="544B49BA">
            <w:pPr>
              <w:widowControl/>
              <w:spacing w:line="360" w:lineRule="auto"/>
              <w:jc w:val="center"/>
              <w:textAlignment w:val="baseline"/>
              <w:rPr>
                <w:rFonts w:hint="eastAsia" w:ascii="宋体" w:hAnsi="宋体" w:cs="宋体"/>
                <w:szCs w:val="21"/>
              </w:rPr>
            </w:pPr>
          </w:p>
        </w:tc>
        <w:tc>
          <w:tcPr>
            <w:tcW w:w="2379" w:type="dxa"/>
            <w:vAlign w:val="center"/>
          </w:tcPr>
          <w:p w14:paraId="67583E1C">
            <w:pPr>
              <w:widowControl/>
              <w:spacing w:line="360" w:lineRule="auto"/>
              <w:jc w:val="center"/>
              <w:textAlignment w:val="baseline"/>
              <w:rPr>
                <w:rFonts w:hint="eastAsia" w:ascii="宋体" w:hAnsi="宋体" w:cs="宋体"/>
                <w:szCs w:val="21"/>
              </w:rPr>
            </w:pPr>
          </w:p>
        </w:tc>
        <w:tc>
          <w:tcPr>
            <w:tcW w:w="1468" w:type="dxa"/>
            <w:vAlign w:val="center"/>
          </w:tcPr>
          <w:p w14:paraId="3F539456">
            <w:pPr>
              <w:widowControl/>
              <w:spacing w:line="360" w:lineRule="auto"/>
              <w:jc w:val="center"/>
              <w:textAlignment w:val="baseline"/>
              <w:rPr>
                <w:rFonts w:hint="eastAsia" w:ascii="宋体" w:hAnsi="宋体" w:cs="宋体"/>
                <w:szCs w:val="21"/>
              </w:rPr>
            </w:pPr>
          </w:p>
        </w:tc>
      </w:tr>
    </w:tbl>
    <w:p w14:paraId="1B023AD8">
      <w:pPr>
        <w:widowControl/>
        <w:wordWrap w:val="0"/>
        <w:spacing w:line="460" w:lineRule="exact"/>
        <w:ind w:firstLine="422" w:firstLineChars="200"/>
        <w:jc w:val="left"/>
        <w:rPr>
          <w:rFonts w:hint="eastAsia" w:ascii="宋体" w:hAnsi="宋体" w:cs="宋体"/>
          <w:b/>
          <w:kern w:val="0"/>
          <w:szCs w:val="21"/>
        </w:rPr>
      </w:pPr>
    </w:p>
    <w:p w14:paraId="3F9823F2">
      <w:pPr>
        <w:widowControl/>
        <w:spacing w:line="360" w:lineRule="auto"/>
        <w:textAlignment w:val="baseline"/>
        <w:rPr>
          <w:rFonts w:hint="eastAsia" w:ascii="宋体" w:hAnsi="宋体" w:cs="宋体"/>
          <w:szCs w:val="21"/>
        </w:rPr>
      </w:pPr>
      <w:r>
        <w:rPr>
          <w:rFonts w:hint="eastAsia" w:ascii="宋体" w:hAnsi="宋体" w:cs="宋体"/>
          <w:szCs w:val="21"/>
        </w:rPr>
        <w:t>注：供应商必须如实完整填写表格，“偏离情况”是指“正偏离”、“负偏离”或“无偏离”。</w:t>
      </w:r>
    </w:p>
    <w:p w14:paraId="4AA7CC96">
      <w:pPr>
        <w:widowControl/>
        <w:spacing w:line="360" w:lineRule="auto"/>
        <w:textAlignment w:val="baseline"/>
        <w:rPr>
          <w:rFonts w:hint="eastAsia" w:ascii="宋体" w:hAnsi="宋体" w:cs="宋体"/>
          <w:szCs w:val="21"/>
        </w:rPr>
      </w:pPr>
    </w:p>
    <w:p w14:paraId="22606FE2">
      <w:pPr>
        <w:widowControl/>
        <w:spacing w:line="360" w:lineRule="auto"/>
        <w:textAlignment w:val="baseline"/>
        <w:rPr>
          <w:rFonts w:hint="eastAsia" w:ascii="宋体" w:hAnsi="宋体" w:cs="宋体"/>
          <w:szCs w:val="21"/>
        </w:rPr>
      </w:pPr>
      <w:r>
        <w:rPr>
          <w:rFonts w:hint="eastAsia" w:ascii="宋体" w:hAnsi="宋体" w:cs="宋体"/>
          <w:szCs w:val="21"/>
        </w:rPr>
        <w:t xml:space="preserve">              </w:t>
      </w:r>
    </w:p>
    <w:p w14:paraId="68B0FF53">
      <w:pPr>
        <w:widowControl/>
        <w:spacing w:line="360" w:lineRule="auto"/>
        <w:ind w:firstLine="2100" w:firstLineChars="1000"/>
        <w:textAlignment w:val="baseline"/>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p>
    <w:p w14:paraId="69400544">
      <w:pPr>
        <w:widowControl/>
        <w:wordWrap w:val="0"/>
        <w:spacing w:line="460" w:lineRule="exact"/>
        <w:ind w:firstLine="3570" w:firstLineChars="1700"/>
        <w:jc w:val="left"/>
        <w:rPr>
          <w:rFonts w:hint="eastAsia" w:ascii="宋体" w:hAnsi="宋体" w:cs="宋体"/>
          <w:b/>
          <w:kern w:val="0"/>
          <w:sz w:val="32"/>
          <w:szCs w:val="32"/>
        </w:rPr>
      </w:pPr>
      <w:r>
        <w:rPr>
          <w:rFonts w:hint="eastAsia" w:ascii="宋体" w:hAnsi="宋体" w:cs="宋体"/>
          <w:szCs w:val="21"/>
        </w:rPr>
        <w:t>年    月    日</w:t>
      </w:r>
    </w:p>
    <w:p w14:paraId="5816F40B">
      <w:pPr>
        <w:widowControl/>
        <w:wordWrap w:val="0"/>
        <w:spacing w:line="460" w:lineRule="exact"/>
        <w:ind w:firstLine="643" w:firstLineChars="200"/>
        <w:jc w:val="left"/>
        <w:rPr>
          <w:rFonts w:hint="eastAsia" w:ascii="宋体" w:hAnsi="宋体" w:cs="宋体"/>
          <w:b/>
          <w:kern w:val="0"/>
          <w:sz w:val="32"/>
          <w:szCs w:val="32"/>
        </w:rPr>
      </w:pPr>
    </w:p>
    <w:p w14:paraId="039D2AE2">
      <w:pPr>
        <w:widowControl/>
        <w:wordWrap w:val="0"/>
        <w:spacing w:line="460" w:lineRule="exact"/>
        <w:ind w:firstLine="643" w:firstLineChars="200"/>
        <w:jc w:val="left"/>
        <w:rPr>
          <w:rFonts w:hint="eastAsia" w:ascii="宋体" w:hAnsi="宋体" w:cs="宋体"/>
          <w:b/>
          <w:kern w:val="0"/>
          <w:sz w:val="32"/>
          <w:szCs w:val="32"/>
        </w:rPr>
      </w:pPr>
    </w:p>
    <w:p w14:paraId="3F82CE42">
      <w:pPr>
        <w:widowControl/>
        <w:wordWrap w:val="0"/>
        <w:spacing w:line="460" w:lineRule="exact"/>
        <w:ind w:firstLine="643" w:firstLineChars="200"/>
        <w:jc w:val="left"/>
        <w:rPr>
          <w:rFonts w:hint="eastAsia" w:ascii="宋体" w:hAnsi="宋体" w:cs="宋体"/>
          <w:b/>
          <w:kern w:val="0"/>
          <w:sz w:val="32"/>
          <w:szCs w:val="32"/>
        </w:rPr>
      </w:pPr>
    </w:p>
    <w:p w14:paraId="182F8F9F">
      <w:pPr>
        <w:widowControl/>
        <w:wordWrap w:val="0"/>
        <w:spacing w:line="460" w:lineRule="exact"/>
        <w:ind w:firstLine="643" w:firstLineChars="200"/>
        <w:jc w:val="left"/>
        <w:rPr>
          <w:rFonts w:hint="eastAsia" w:ascii="宋体" w:hAnsi="宋体" w:cs="宋体"/>
          <w:b/>
          <w:kern w:val="0"/>
          <w:sz w:val="32"/>
          <w:szCs w:val="32"/>
        </w:rPr>
      </w:pPr>
    </w:p>
    <w:p w14:paraId="73A591D6">
      <w:pPr>
        <w:widowControl/>
        <w:wordWrap w:val="0"/>
        <w:spacing w:line="460" w:lineRule="exact"/>
        <w:ind w:firstLine="643" w:firstLineChars="200"/>
        <w:jc w:val="left"/>
        <w:rPr>
          <w:rFonts w:hint="eastAsia" w:ascii="宋体" w:hAnsi="宋体" w:cs="宋体"/>
          <w:b/>
          <w:kern w:val="0"/>
          <w:sz w:val="32"/>
          <w:szCs w:val="32"/>
        </w:rPr>
      </w:pPr>
    </w:p>
    <w:p w14:paraId="31D8BF18">
      <w:pPr>
        <w:widowControl/>
        <w:wordWrap w:val="0"/>
        <w:snapToGrid w:val="0"/>
        <w:spacing w:before="50" w:after="159" w:afterLines="50"/>
        <w:jc w:val="left"/>
        <w:rPr>
          <w:rFonts w:hint="eastAsia" w:ascii="宋体" w:hAnsi="宋体" w:cs="宋体"/>
          <w:kern w:val="0"/>
          <w:sz w:val="24"/>
          <w:u w:val="single"/>
        </w:rPr>
      </w:pPr>
    </w:p>
    <w:p w14:paraId="6327DB66">
      <w:pPr>
        <w:rPr>
          <w:rFonts w:hint="eastAsia" w:ascii="宋体" w:hAnsi="宋体" w:cs="宋体"/>
          <w:b/>
          <w:kern w:val="0"/>
          <w:sz w:val="24"/>
        </w:rPr>
      </w:pPr>
      <w:r>
        <w:rPr>
          <w:rFonts w:hint="eastAsia" w:ascii="宋体" w:hAnsi="宋体" w:cs="宋体"/>
          <w:b/>
          <w:kern w:val="0"/>
          <w:sz w:val="24"/>
        </w:rPr>
        <w:br w:type="page"/>
      </w:r>
    </w:p>
    <w:p w14:paraId="0B18D68A">
      <w:pPr>
        <w:pStyle w:val="11"/>
        <w:snapToGrid w:val="0"/>
        <w:spacing w:before="20" w:after="20" w:line="360" w:lineRule="auto"/>
        <w:jc w:val="center"/>
        <w:rPr>
          <w:rFonts w:hint="eastAsia" w:ascii="宋体" w:hAnsi="宋体" w:eastAsia="宋体" w:cs="宋体"/>
          <w:sz w:val="28"/>
          <w:szCs w:val="28"/>
        </w:rPr>
      </w:pPr>
      <w:bookmarkStart w:id="86" w:name="_Toc29960"/>
      <w:bookmarkStart w:id="87" w:name="_Toc24168"/>
      <w:bookmarkStart w:id="88" w:name="_Toc20420"/>
      <w:r>
        <w:rPr>
          <w:rFonts w:hint="eastAsia" w:ascii="宋体" w:hAnsi="宋体" w:eastAsia="宋体" w:cs="宋体"/>
          <w:sz w:val="28"/>
          <w:szCs w:val="28"/>
        </w:rPr>
        <w:t>附件</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商务响应</w:t>
      </w:r>
      <w:bookmarkEnd w:id="86"/>
      <w:bookmarkEnd w:id="87"/>
      <w:bookmarkEnd w:id="88"/>
      <w:r>
        <w:rPr>
          <w:rFonts w:hint="eastAsia" w:ascii="宋体" w:hAnsi="宋体" w:eastAsia="宋体" w:cs="宋体"/>
          <w:sz w:val="28"/>
          <w:szCs w:val="28"/>
        </w:rPr>
        <w:t>表（格式）</w:t>
      </w:r>
    </w:p>
    <w:p w14:paraId="52EB109F">
      <w:pPr>
        <w:widowControl/>
        <w:wordWrap w:val="0"/>
        <w:spacing w:line="460" w:lineRule="exact"/>
        <w:jc w:val="left"/>
        <w:rPr>
          <w:rFonts w:hint="eastAsia" w:ascii="宋体" w:hAnsi="宋体" w:cs="宋体"/>
          <w:b/>
          <w:kern w:val="0"/>
          <w:sz w:val="32"/>
          <w:szCs w:val="32"/>
        </w:rPr>
      </w:pPr>
      <w:r>
        <w:rPr>
          <w:rFonts w:hint="eastAsia" w:ascii="宋体" w:hAnsi="宋体" w:cs="宋体"/>
          <w:b/>
          <w:kern w:val="0"/>
          <w:sz w:val="32"/>
          <w:szCs w:val="32"/>
        </w:rPr>
        <w:t xml:space="preserve">  </w:t>
      </w:r>
    </w:p>
    <w:tbl>
      <w:tblPr>
        <w:tblStyle w:val="94"/>
        <w:tblW w:w="82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1902"/>
        <w:gridCol w:w="2025"/>
        <w:gridCol w:w="1251"/>
      </w:tblGrid>
      <w:tr w14:paraId="640B4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vAlign w:val="center"/>
          </w:tcPr>
          <w:p w14:paraId="1EE98F36">
            <w:pPr>
              <w:widowControl/>
              <w:spacing w:line="360" w:lineRule="auto"/>
              <w:jc w:val="center"/>
              <w:textAlignment w:val="baseline"/>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133" w:type="dxa"/>
            <w:vAlign w:val="center"/>
          </w:tcPr>
          <w:p w14:paraId="0127D03B">
            <w:pPr>
              <w:widowControl/>
              <w:spacing w:line="360" w:lineRule="auto"/>
              <w:jc w:val="center"/>
              <w:textAlignment w:val="baseline"/>
              <w:rPr>
                <w:rFonts w:hint="eastAsia" w:ascii="宋体" w:hAnsi="宋体" w:cs="宋体"/>
                <w:szCs w:val="21"/>
              </w:rPr>
            </w:pPr>
            <w:r>
              <w:rPr>
                <w:rFonts w:hint="eastAsia" w:ascii="宋体" w:hAnsi="宋体" w:cs="宋体"/>
                <w:szCs w:val="21"/>
              </w:rPr>
              <w:t>名称</w:t>
            </w:r>
          </w:p>
        </w:tc>
        <w:tc>
          <w:tcPr>
            <w:tcW w:w="1902" w:type="dxa"/>
            <w:vAlign w:val="center"/>
          </w:tcPr>
          <w:p w14:paraId="6F6C1117">
            <w:pPr>
              <w:widowControl/>
              <w:spacing w:line="360" w:lineRule="auto"/>
              <w:jc w:val="center"/>
              <w:textAlignment w:val="baseline"/>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采购文件要求</w:t>
            </w:r>
          </w:p>
        </w:tc>
        <w:tc>
          <w:tcPr>
            <w:tcW w:w="2025" w:type="dxa"/>
            <w:vAlign w:val="center"/>
          </w:tcPr>
          <w:p w14:paraId="1FD89F43">
            <w:pPr>
              <w:widowControl/>
              <w:spacing w:line="360" w:lineRule="auto"/>
              <w:jc w:val="center"/>
              <w:textAlignment w:val="baseline"/>
              <w:rPr>
                <w:rFonts w:hint="eastAsia" w:ascii="宋体" w:hAnsi="宋体" w:cs="宋体"/>
                <w:szCs w:val="21"/>
              </w:rPr>
            </w:pPr>
            <w:r>
              <w:rPr>
                <w:rFonts w:hint="eastAsia" w:ascii="宋体" w:hAnsi="宋体" w:cs="宋体"/>
                <w:szCs w:val="21"/>
              </w:rPr>
              <w:t>响应文件响应</w:t>
            </w:r>
          </w:p>
        </w:tc>
        <w:tc>
          <w:tcPr>
            <w:tcW w:w="1251" w:type="dxa"/>
            <w:vAlign w:val="center"/>
          </w:tcPr>
          <w:p w14:paraId="54628EC0">
            <w:pPr>
              <w:widowControl/>
              <w:spacing w:line="360" w:lineRule="auto"/>
              <w:jc w:val="center"/>
              <w:textAlignment w:val="baseline"/>
              <w:rPr>
                <w:rFonts w:hint="eastAsia" w:ascii="宋体" w:hAnsi="宋体" w:cs="宋体"/>
                <w:szCs w:val="21"/>
              </w:rPr>
            </w:pPr>
            <w:r>
              <w:rPr>
                <w:rFonts w:hint="eastAsia" w:ascii="宋体" w:hAnsi="宋体" w:cs="宋体"/>
                <w:szCs w:val="21"/>
              </w:rPr>
              <w:t>偏离情况</w:t>
            </w:r>
          </w:p>
        </w:tc>
      </w:tr>
      <w:tr w14:paraId="16A8E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205DEDA3">
            <w:pPr>
              <w:widowControl/>
              <w:spacing w:line="360" w:lineRule="auto"/>
              <w:jc w:val="center"/>
              <w:textAlignment w:val="baseline"/>
              <w:rPr>
                <w:rFonts w:hint="eastAsia" w:ascii="宋体" w:hAnsi="宋体" w:cs="宋体"/>
                <w:szCs w:val="21"/>
              </w:rPr>
            </w:pPr>
          </w:p>
        </w:tc>
        <w:tc>
          <w:tcPr>
            <w:tcW w:w="2133" w:type="dxa"/>
            <w:vAlign w:val="center"/>
          </w:tcPr>
          <w:p w14:paraId="4E724D65">
            <w:pPr>
              <w:pStyle w:val="9"/>
              <w:jc w:val="center"/>
              <w:rPr>
                <w:rFonts w:hint="eastAsia"/>
                <w:sz w:val="21"/>
                <w:szCs w:val="21"/>
              </w:rPr>
            </w:pPr>
          </w:p>
        </w:tc>
        <w:tc>
          <w:tcPr>
            <w:tcW w:w="1902" w:type="dxa"/>
            <w:vAlign w:val="center"/>
          </w:tcPr>
          <w:p w14:paraId="12100AF7">
            <w:pPr>
              <w:widowControl/>
              <w:spacing w:line="360" w:lineRule="auto"/>
              <w:jc w:val="center"/>
              <w:textAlignment w:val="baseline"/>
              <w:rPr>
                <w:rFonts w:hint="eastAsia" w:ascii="宋体" w:hAnsi="宋体" w:cs="宋体"/>
                <w:szCs w:val="21"/>
              </w:rPr>
            </w:pPr>
          </w:p>
        </w:tc>
        <w:tc>
          <w:tcPr>
            <w:tcW w:w="2025" w:type="dxa"/>
            <w:vAlign w:val="center"/>
          </w:tcPr>
          <w:p w14:paraId="0C814F18">
            <w:pPr>
              <w:widowControl/>
              <w:spacing w:line="360" w:lineRule="auto"/>
              <w:jc w:val="center"/>
              <w:textAlignment w:val="baseline"/>
              <w:rPr>
                <w:rFonts w:hint="eastAsia" w:ascii="宋体" w:hAnsi="宋体" w:cs="宋体"/>
                <w:szCs w:val="21"/>
              </w:rPr>
            </w:pPr>
          </w:p>
        </w:tc>
        <w:tc>
          <w:tcPr>
            <w:tcW w:w="1251" w:type="dxa"/>
            <w:vAlign w:val="center"/>
          </w:tcPr>
          <w:p w14:paraId="57C40962">
            <w:pPr>
              <w:widowControl/>
              <w:spacing w:line="360" w:lineRule="auto"/>
              <w:jc w:val="center"/>
              <w:textAlignment w:val="baseline"/>
              <w:rPr>
                <w:rFonts w:hint="eastAsia" w:ascii="宋体" w:hAnsi="宋体" w:cs="宋体"/>
                <w:szCs w:val="21"/>
              </w:rPr>
            </w:pPr>
          </w:p>
        </w:tc>
      </w:tr>
      <w:tr w14:paraId="04186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67D61642">
            <w:pPr>
              <w:widowControl/>
              <w:spacing w:line="360" w:lineRule="auto"/>
              <w:jc w:val="center"/>
              <w:textAlignment w:val="baseline"/>
              <w:rPr>
                <w:rFonts w:hint="eastAsia" w:ascii="宋体" w:hAnsi="宋体" w:cs="宋体"/>
                <w:szCs w:val="21"/>
              </w:rPr>
            </w:pPr>
          </w:p>
        </w:tc>
        <w:tc>
          <w:tcPr>
            <w:tcW w:w="2133" w:type="dxa"/>
            <w:vAlign w:val="center"/>
          </w:tcPr>
          <w:p w14:paraId="1B20E328">
            <w:pPr>
              <w:pStyle w:val="9"/>
              <w:jc w:val="center"/>
              <w:rPr>
                <w:rFonts w:hint="eastAsia"/>
                <w:sz w:val="21"/>
                <w:szCs w:val="21"/>
              </w:rPr>
            </w:pPr>
          </w:p>
        </w:tc>
        <w:tc>
          <w:tcPr>
            <w:tcW w:w="1902" w:type="dxa"/>
            <w:vAlign w:val="center"/>
          </w:tcPr>
          <w:p w14:paraId="57B72EB3">
            <w:pPr>
              <w:widowControl/>
              <w:spacing w:line="360" w:lineRule="auto"/>
              <w:jc w:val="center"/>
              <w:textAlignment w:val="baseline"/>
              <w:rPr>
                <w:rFonts w:hint="eastAsia" w:ascii="宋体" w:hAnsi="宋体" w:cs="宋体"/>
                <w:szCs w:val="21"/>
              </w:rPr>
            </w:pPr>
          </w:p>
        </w:tc>
        <w:tc>
          <w:tcPr>
            <w:tcW w:w="2025" w:type="dxa"/>
            <w:vAlign w:val="center"/>
          </w:tcPr>
          <w:p w14:paraId="29877992">
            <w:pPr>
              <w:widowControl/>
              <w:spacing w:line="360" w:lineRule="auto"/>
              <w:jc w:val="center"/>
              <w:textAlignment w:val="baseline"/>
              <w:rPr>
                <w:rFonts w:hint="eastAsia" w:ascii="宋体" w:hAnsi="宋体" w:cs="宋体"/>
                <w:szCs w:val="21"/>
              </w:rPr>
            </w:pPr>
          </w:p>
        </w:tc>
        <w:tc>
          <w:tcPr>
            <w:tcW w:w="1251" w:type="dxa"/>
            <w:vAlign w:val="center"/>
          </w:tcPr>
          <w:p w14:paraId="4D4FA922">
            <w:pPr>
              <w:widowControl/>
              <w:spacing w:line="360" w:lineRule="auto"/>
              <w:jc w:val="center"/>
              <w:textAlignment w:val="baseline"/>
              <w:rPr>
                <w:rFonts w:hint="eastAsia" w:ascii="宋体" w:hAnsi="宋体" w:cs="宋体"/>
                <w:szCs w:val="21"/>
              </w:rPr>
            </w:pPr>
          </w:p>
        </w:tc>
      </w:tr>
      <w:tr w14:paraId="4D068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375C8760">
            <w:pPr>
              <w:widowControl/>
              <w:spacing w:line="360" w:lineRule="auto"/>
              <w:jc w:val="center"/>
              <w:textAlignment w:val="baseline"/>
              <w:rPr>
                <w:rFonts w:hint="eastAsia" w:ascii="宋体" w:hAnsi="宋体" w:cs="宋体"/>
                <w:szCs w:val="21"/>
              </w:rPr>
            </w:pPr>
          </w:p>
        </w:tc>
        <w:tc>
          <w:tcPr>
            <w:tcW w:w="2133" w:type="dxa"/>
            <w:vAlign w:val="center"/>
          </w:tcPr>
          <w:p w14:paraId="73C240BE">
            <w:pPr>
              <w:pStyle w:val="9"/>
              <w:jc w:val="center"/>
              <w:rPr>
                <w:rFonts w:hint="eastAsia"/>
                <w:sz w:val="21"/>
                <w:szCs w:val="21"/>
              </w:rPr>
            </w:pPr>
          </w:p>
        </w:tc>
        <w:tc>
          <w:tcPr>
            <w:tcW w:w="1902" w:type="dxa"/>
            <w:vAlign w:val="center"/>
          </w:tcPr>
          <w:p w14:paraId="7E3AB52D">
            <w:pPr>
              <w:widowControl/>
              <w:spacing w:line="360" w:lineRule="auto"/>
              <w:jc w:val="center"/>
              <w:textAlignment w:val="baseline"/>
              <w:rPr>
                <w:rFonts w:hint="eastAsia" w:ascii="宋体" w:hAnsi="宋体" w:cs="宋体"/>
                <w:szCs w:val="21"/>
              </w:rPr>
            </w:pPr>
          </w:p>
        </w:tc>
        <w:tc>
          <w:tcPr>
            <w:tcW w:w="2025" w:type="dxa"/>
            <w:vAlign w:val="center"/>
          </w:tcPr>
          <w:p w14:paraId="2D457ECD">
            <w:pPr>
              <w:widowControl/>
              <w:spacing w:line="360" w:lineRule="auto"/>
              <w:jc w:val="center"/>
              <w:textAlignment w:val="baseline"/>
              <w:rPr>
                <w:rFonts w:hint="eastAsia" w:ascii="宋体" w:hAnsi="宋体" w:cs="宋体"/>
                <w:szCs w:val="21"/>
              </w:rPr>
            </w:pPr>
          </w:p>
        </w:tc>
        <w:tc>
          <w:tcPr>
            <w:tcW w:w="1251" w:type="dxa"/>
            <w:vAlign w:val="center"/>
          </w:tcPr>
          <w:p w14:paraId="5E1E5743">
            <w:pPr>
              <w:widowControl/>
              <w:spacing w:line="360" w:lineRule="auto"/>
              <w:jc w:val="center"/>
              <w:textAlignment w:val="baseline"/>
              <w:rPr>
                <w:rFonts w:hint="eastAsia" w:ascii="宋体" w:hAnsi="宋体" w:cs="宋体"/>
                <w:szCs w:val="21"/>
              </w:rPr>
            </w:pPr>
          </w:p>
        </w:tc>
      </w:tr>
      <w:tr w14:paraId="4CD2B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0EB12938">
            <w:pPr>
              <w:widowControl/>
              <w:spacing w:line="360" w:lineRule="auto"/>
              <w:jc w:val="center"/>
              <w:textAlignment w:val="baseline"/>
              <w:rPr>
                <w:rFonts w:hint="eastAsia" w:ascii="宋体" w:hAnsi="宋体" w:cs="宋体"/>
                <w:szCs w:val="21"/>
              </w:rPr>
            </w:pPr>
          </w:p>
        </w:tc>
        <w:tc>
          <w:tcPr>
            <w:tcW w:w="2133" w:type="dxa"/>
            <w:vAlign w:val="center"/>
          </w:tcPr>
          <w:p w14:paraId="3D871253">
            <w:pPr>
              <w:pStyle w:val="9"/>
              <w:jc w:val="center"/>
              <w:rPr>
                <w:rFonts w:hint="eastAsia"/>
                <w:sz w:val="21"/>
                <w:szCs w:val="21"/>
              </w:rPr>
            </w:pPr>
          </w:p>
        </w:tc>
        <w:tc>
          <w:tcPr>
            <w:tcW w:w="1902" w:type="dxa"/>
            <w:vAlign w:val="center"/>
          </w:tcPr>
          <w:p w14:paraId="01D6D0D9">
            <w:pPr>
              <w:widowControl/>
              <w:spacing w:line="360" w:lineRule="auto"/>
              <w:jc w:val="center"/>
              <w:textAlignment w:val="baseline"/>
              <w:rPr>
                <w:rFonts w:hint="eastAsia" w:ascii="宋体" w:hAnsi="宋体" w:cs="宋体"/>
                <w:szCs w:val="21"/>
              </w:rPr>
            </w:pPr>
          </w:p>
        </w:tc>
        <w:tc>
          <w:tcPr>
            <w:tcW w:w="2025" w:type="dxa"/>
            <w:vAlign w:val="center"/>
          </w:tcPr>
          <w:p w14:paraId="2916CE61">
            <w:pPr>
              <w:widowControl/>
              <w:spacing w:line="360" w:lineRule="auto"/>
              <w:jc w:val="center"/>
              <w:textAlignment w:val="baseline"/>
              <w:rPr>
                <w:rFonts w:hint="eastAsia" w:ascii="宋体" w:hAnsi="宋体" w:cs="宋体"/>
                <w:szCs w:val="21"/>
              </w:rPr>
            </w:pPr>
          </w:p>
        </w:tc>
        <w:tc>
          <w:tcPr>
            <w:tcW w:w="1251" w:type="dxa"/>
            <w:vAlign w:val="center"/>
          </w:tcPr>
          <w:p w14:paraId="6AF825E5">
            <w:pPr>
              <w:widowControl/>
              <w:spacing w:line="360" w:lineRule="auto"/>
              <w:jc w:val="center"/>
              <w:textAlignment w:val="baseline"/>
              <w:rPr>
                <w:rFonts w:hint="eastAsia" w:ascii="宋体" w:hAnsi="宋体" w:cs="宋体"/>
                <w:szCs w:val="21"/>
              </w:rPr>
            </w:pPr>
          </w:p>
        </w:tc>
      </w:tr>
      <w:tr w14:paraId="4A85C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4BD1B5F0">
            <w:pPr>
              <w:widowControl/>
              <w:spacing w:line="360" w:lineRule="auto"/>
              <w:jc w:val="center"/>
              <w:textAlignment w:val="baseline"/>
              <w:rPr>
                <w:rFonts w:hint="eastAsia" w:ascii="宋体" w:hAnsi="宋体" w:cs="宋体"/>
                <w:szCs w:val="21"/>
              </w:rPr>
            </w:pPr>
          </w:p>
        </w:tc>
        <w:tc>
          <w:tcPr>
            <w:tcW w:w="2133" w:type="dxa"/>
            <w:vAlign w:val="center"/>
          </w:tcPr>
          <w:p w14:paraId="473DA163">
            <w:pPr>
              <w:pStyle w:val="9"/>
              <w:jc w:val="center"/>
              <w:rPr>
                <w:rFonts w:hint="eastAsia"/>
                <w:sz w:val="21"/>
                <w:szCs w:val="21"/>
              </w:rPr>
            </w:pPr>
          </w:p>
        </w:tc>
        <w:tc>
          <w:tcPr>
            <w:tcW w:w="1902" w:type="dxa"/>
            <w:vAlign w:val="center"/>
          </w:tcPr>
          <w:p w14:paraId="22652DB5">
            <w:pPr>
              <w:widowControl/>
              <w:spacing w:line="360" w:lineRule="auto"/>
              <w:jc w:val="center"/>
              <w:textAlignment w:val="baseline"/>
              <w:rPr>
                <w:rFonts w:hint="eastAsia" w:ascii="宋体" w:hAnsi="宋体" w:cs="宋体"/>
                <w:szCs w:val="21"/>
              </w:rPr>
            </w:pPr>
          </w:p>
        </w:tc>
        <w:tc>
          <w:tcPr>
            <w:tcW w:w="2025" w:type="dxa"/>
            <w:vAlign w:val="center"/>
          </w:tcPr>
          <w:p w14:paraId="1E972AF5">
            <w:pPr>
              <w:widowControl/>
              <w:spacing w:line="360" w:lineRule="auto"/>
              <w:jc w:val="center"/>
              <w:textAlignment w:val="baseline"/>
              <w:rPr>
                <w:rFonts w:hint="eastAsia" w:ascii="宋体" w:hAnsi="宋体" w:cs="宋体"/>
                <w:szCs w:val="21"/>
              </w:rPr>
            </w:pPr>
          </w:p>
        </w:tc>
        <w:tc>
          <w:tcPr>
            <w:tcW w:w="1251" w:type="dxa"/>
            <w:vAlign w:val="center"/>
          </w:tcPr>
          <w:p w14:paraId="2857C74E">
            <w:pPr>
              <w:widowControl/>
              <w:spacing w:line="360" w:lineRule="auto"/>
              <w:jc w:val="center"/>
              <w:textAlignment w:val="baseline"/>
              <w:rPr>
                <w:rFonts w:hint="eastAsia" w:ascii="宋体" w:hAnsi="宋体" w:cs="宋体"/>
                <w:szCs w:val="21"/>
              </w:rPr>
            </w:pPr>
          </w:p>
        </w:tc>
      </w:tr>
      <w:tr w14:paraId="1FC71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0A3EDD4F">
            <w:pPr>
              <w:widowControl/>
              <w:spacing w:line="360" w:lineRule="auto"/>
              <w:jc w:val="center"/>
              <w:textAlignment w:val="baseline"/>
              <w:rPr>
                <w:rFonts w:hint="eastAsia" w:ascii="宋体" w:hAnsi="宋体" w:cs="宋体"/>
                <w:szCs w:val="21"/>
              </w:rPr>
            </w:pPr>
          </w:p>
        </w:tc>
        <w:tc>
          <w:tcPr>
            <w:tcW w:w="2133" w:type="dxa"/>
            <w:vAlign w:val="center"/>
          </w:tcPr>
          <w:p w14:paraId="28BCDA98">
            <w:pPr>
              <w:pStyle w:val="9"/>
              <w:jc w:val="center"/>
              <w:rPr>
                <w:rFonts w:hint="eastAsia"/>
                <w:sz w:val="21"/>
                <w:szCs w:val="21"/>
              </w:rPr>
            </w:pPr>
          </w:p>
        </w:tc>
        <w:tc>
          <w:tcPr>
            <w:tcW w:w="1902" w:type="dxa"/>
            <w:vAlign w:val="center"/>
          </w:tcPr>
          <w:p w14:paraId="701ACA37">
            <w:pPr>
              <w:widowControl/>
              <w:spacing w:line="360" w:lineRule="auto"/>
              <w:jc w:val="center"/>
              <w:textAlignment w:val="baseline"/>
              <w:rPr>
                <w:rFonts w:hint="eastAsia" w:ascii="宋体" w:hAnsi="宋体" w:cs="宋体"/>
                <w:szCs w:val="21"/>
              </w:rPr>
            </w:pPr>
          </w:p>
        </w:tc>
        <w:tc>
          <w:tcPr>
            <w:tcW w:w="2025" w:type="dxa"/>
            <w:vAlign w:val="center"/>
          </w:tcPr>
          <w:p w14:paraId="4ECC8762">
            <w:pPr>
              <w:widowControl/>
              <w:spacing w:line="360" w:lineRule="auto"/>
              <w:jc w:val="center"/>
              <w:textAlignment w:val="baseline"/>
              <w:rPr>
                <w:rFonts w:hint="eastAsia" w:ascii="宋体" w:hAnsi="宋体" w:cs="宋体"/>
                <w:szCs w:val="21"/>
              </w:rPr>
            </w:pPr>
          </w:p>
        </w:tc>
        <w:tc>
          <w:tcPr>
            <w:tcW w:w="1251" w:type="dxa"/>
            <w:vAlign w:val="center"/>
          </w:tcPr>
          <w:p w14:paraId="1772878E">
            <w:pPr>
              <w:widowControl/>
              <w:spacing w:line="360" w:lineRule="auto"/>
              <w:jc w:val="center"/>
              <w:textAlignment w:val="baseline"/>
              <w:rPr>
                <w:rFonts w:hint="eastAsia" w:ascii="宋体" w:hAnsi="宋体" w:cs="宋体"/>
                <w:szCs w:val="21"/>
              </w:rPr>
            </w:pPr>
          </w:p>
        </w:tc>
      </w:tr>
    </w:tbl>
    <w:p w14:paraId="34626167">
      <w:pPr>
        <w:rPr>
          <w:rFonts w:hint="eastAsia" w:ascii="宋体" w:hAnsi="宋体" w:cs="宋体"/>
          <w:b/>
          <w:kern w:val="0"/>
          <w:szCs w:val="21"/>
        </w:rPr>
      </w:pPr>
    </w:p>
    <w:p w14:paraId="3D3F86EF">
      <w:pPr>
        <w:pStyle w:val="7"/>
        <w:ind w:firstLine="210"/>
        <w:rPr>
          <w:rFonts w:hint="eastAsia" w:ascii="宋体" w:hAnsi="宋体" w:cs="宋体"/>
        </w:rPr>
      </w:pPr>
    </w:p>
    <w:p w14:paraId="4928427C">
      <w:pPr>
        <w:widowControl/>
        <w:spacing w:line="360" w:lineRule="auto"/>
        <w:ind w:firstLine="3360" w:firstLineChars="1600"/>
        <w:textAlignment w:val="baseline"/>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p>
    <w:p w14:paraId="288B69B6">
      <w:pPr>
        <w:widowControl/>
        <w:spacing w:line="360" w:lineRule="auto"/>
        <w:ind w:firstLine="4410" w:firstLineChars="2100"/>
        <w:textAlignment w:val="baseline"/>
        <w:rPr>
          <w:rFonts w:hint="eastAsia" w:ascii="宋体" w:hAnsi="宋体" w:cs="宋体"/>
          <w:sz w:val="24"/>
        </w:rPr>
      </w:pPr>
      <w:r>
        <w:rPr>
          <w:rFonts w:hint="eastAsia" w:ascii="宋体" w:hAnsi="宋体" w:cs="宋体"/>
          <w:szCs w:val="21"/>
        </w:rPr>
        <w:t>年    月    日</w:t>
      </w:r>
    </w:p>
    <w:p w14:paraId="07633CB8">
      <w:pPr>
        <w:rPr>
          <w:rFonts w:hint="eastAsia" w:ascii="宋体" w:hAnsi="宋体" w:cs="宋体"/>
        </w:rPr>
      </w:pPr>
    </w:p>
    <w:p w14:paraId="051D0AE8">
      <w:pPr>
        <w:rPr>
          <w:rFonts w:hint="eastAsia" w:ascii="宋体" w:hAnsi="宋体" w:cs="宋体"/>
        </w:rPr>
      </w:pPr>
    </w:p>
    <w:p w14:paraId="46381244">
      <w:pPr>
        <w:rPr>
          <w:rFonts w:hint="eastAsia" w:ascii="宋体" w:hAnsi="宋体" w:cs="宋体"/>
        </w:rPr>
      </w:pPr>
    </w:p>
    <w:p w14:paraId="70218614">
      <w:pPr>
        <w:rPr>
          <w:rFonts w:hint="eastAsia" w:ascii="宋体" w:hAnsi="宋体" w:cs="宋体"/>
        </w:rPr>
      </w:pPr>
    </w:p>
    <w:p w14:paraId="5121A321">
      <w:pPr>
        <w:rPr>
          <w:rFonts w:hint="eastAsia" w:ascii="宋体" w:hAnsi="宋体" w:cs="宋体"/>
        </w:rPr>
      </w:pPr>
    </w:p>
    <w:p w14:paraId="127BF831">
      <w:pPr>
        <w:rPr>
          <w:rFonts w:hint="eastAsia" w:ascii="宋体" w:hAnsi="宋体" w:cs="宋体"/>
        </w:rPr>
      </w:pPr>
    </w:p>
    <w:p w14:paraId="38ED230D">
      <w:pPr>
        <w:rPr>
          <w:rFonts w:hint="eastAsia" w:ascii="宋体" w:hAnsi="宋体" w:cs="宋体"/>
        </w:rPr>
      </w:pPr>
    </w:p>
    <w:p w14:paraId="7C668CD9">
      <w:pPr>
        <w:rPr>
          <w:rFonts w:hint="eastAsia" w:ascii="宋体" w:hAnsi="宋体" w:cs="宋体"/>
        </w:rPr>
      </w:pPr>
    </w:p>
    <w:p w14:paraId="05366CF4">
      <w:pPr>
        <w:rPr>
          <w:rFonts w:hint="eastAsia" w:ascii="宋体" w:hAnsi="宋体" w:cs="宋体"/>
        </w:rPr>
      </w:pPr>
    </w:p>
    <w:p w14:paraId="13FE7388">
      <w:pPr>
        <w:rPr>
          <w:rFonts w:hint="eastAsia" w:ascii="宋体" w:hAnsi="宋体" w:cs="宋体"/>
        </w:rPr>
      </w:pPr>
    </w:p>
    <w:p w14:paraId="23A2E64D">
      <w:pPr>
        <w:rPr>
          <w:rFonts w:hint="eastAsia" w:ascii="宋体" w:hAnsi="宋体" w:cs="宋体"/>
        </w:rPr>
      </w:pPr>
    </w:p>
    <w:p w14:paraId="3B69CCCC">
      <w:pPr>
        <w:rPr>
          <w:rFonts w:hint="eastAsia" w:ascii="宋体" w:hAnsi="宋体" w:cs="宋体"/>
        </w:rPr>
      </w:pPr>
    </w:p>
    <w:p w14:paraId="64E28A1F">
      <w:pPr>
        <w:rPr>
          <w:rFonts w:hint="eastAsia" w:ascii="宋体" w:hAnsi="宋体" w:cs="宋体"/>
        </w:rPr>
      </w:pPr>
    </w:p>
    <w:p w14:paraId="61D9A332">
      <w:pPr>
        <w:rPr>
          <w:rFonts w:hint="eastAsia" w:ascii="宋体" w:hAnsi="宋体" w:cs="宋体"/>
        </w:rPr>
      </w:pPr>
    </w:p>
    <w:p w14:paraId="7556B07E">
      <w:pPr>
        <w:rPr>
          <w:rFonts w:hint="eastAsia" w:ascii="宋体" w:hAnsi="宋体" w:cs="宋体"/>
        </w:rPr>
      </w:pPr>
    </w:p>
    <w:p w14:paraId="19BDD13B">
      <w:pPr>
        <w:rPr>
          <w:rFonts w:hint="eastAsia" w:ascii="宋体" w:hAnsi="宋体" w:cs="宋体"/>
          <w:b/>
          <w:sz w:val="28"/>
        </w:rPr>
      </w:pPr>
      <w:bookmarkStart w:id="89" w:name="_Toc28621"/>
      <w:bookmarkStart w:id="90" w:name="_Toc31526"/>
      <w:r>
        <w:rPr>
          <w:rFonts w:hint="eastAsia" w:ascii="宋体" w:hAnsi="宋体" w:cs="宋体"/>
          <w:b/>
          <w:sz w:val="28"/>
        </w:rPr>
        <w:br w:type="page"/>
      </w:r>
    </w:p>
    <w:p w14:paraId="221076DD">
      <w:pPr>
        <w:pStyle w:val="11"/>
        <w:snapToGrid w:val="0"/>
        <w:spacing w:before="20" w:after="20" w:line="360" w:lineRule="auto"/>
        <w:jc w:val="center"/>
        <w:rPr>
          <w:rFonts w:hint="eastAsia" w:ascii="宋体" w:hAnsi="宋体" w:eastAsia="宋体" w:cs="宋体"/>
          <w:sz w:val="28"/>
          <w:szCs w:val="28"/>
        </w:rPr>
      </w:pPr>
      <w:bookmarkStart w:id="91" w:name="_Toc29406"/>
      <w:r>
        <w:rPr>
          <w:rFonts w:hint="eastAsia" w:ascii="宋体" w:hAnsi="宋体" w:eastAsia="宋体" w:cs="宋体"/>
          <w:sz w:val="28"/>
          <w:szCs w:val="28"/>
        </w:rPr>
        <w:t>附件</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         法定代表人身份证明（格式）</w:t>
      </w:r>
      <w:bookmarkEnd w:id="89"/>
      <w:bookmarkEnd w:id="90"/>
      <w:bookmarkEnd w:id="91"/>
    </w:p>
    <w:p w14:paraId="6CACB920">
      <w:pPr>
        <w:widowControl/>
        <w:wordWrap w:val="0"/>
        <w:spacing w:line="460" w:lineRule="exact"/>
        <w:jc w:val="left"/>
        <w:rPr>
          <w:rFonts w:hint="eastAsia" w:ascii="宋体" w:hAnsi="宋体" w:cs="宋体"/>
          <w:kern w:val="0"/>
          <w:sz w:val="24"/>
        </w:rPr>
      </w:pPr>
    </w:p>
    <w:p w14:paraId="3946ED59">
      <w:pPr>
        <w:widowControl/>
        <w:wordWrap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供应商名称：</w:t>
      </w:r>
      <w:r>
        <w:rPr>
          <w:rFonts w:hint="eastAsia" w:ascii="宋体" w:hAnsi="宋体" w:cs="宋体"/>
          <w:kern w:val="0"/>
          <w:szCs w:val="21"/>
          <w:u w:val="single"/>
        </w:rPr>
        <w:t xml:space="preserve">                                </w:t>
      </w:r>
    </w:p>
    <w:p w14:paraId="710C3862">
      <w:pPr>
        <w:widowControl/>
        <w:wordWrap w:val="0"/>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地址：</w:t>
      </w:r>
      <w:r>
        <w:rPr>
          <w:rFonts w:hint="eastAsia" w:ascii="宋体" w:hAnsi="宋体" w:cs="宋体"/>
          <w:kern w:val="0"/>
          <w:szCs w:val="21"/>
          <w:u w:val="single"/>
        </w:rPr>
        <w:t xml:space="preserve">                                        </w:t>
      </w:r>
    </w:p>
    <w:p w14:paraId="7CDC0B9F">
      <w:pPr>
        <w:widowControl/>
        <w:wordWrap w:val="0"/>
        <w:spacing w:line="460" w:lineRule="exact"/>
        <w:ind w:firstLine="480" w:firstLineChars="200"/>
        <w:jc w:val="left"/>
        <w:rPr>
          <w:rFonts w:hint="eastAsia" w:ascii="宋体" w:hAnsi="宋体" w:cs="宋体"/>
          <w:kern w:val="0"/>
          <w:sz w:val="24"/>
          <w:szCs w:val="20"/>
        </w:rPr>
      </w:pPr>
      <w:r>
        <w:rPr>
          <w:rFonts w:hint="eastAsia" w:ascii="宋体" w:hAnsi="宋体" w:cs="宋体"/>
          <w:kern w:val="0"/>
          <w:sz w:val="24"/>
        </w:rPr>
        <w:t>成立时间：</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 xml:space="preserve">年 </w:t>
      </w:r>
      <w:r>
        <w:rPr>
          <w:rFonts w:hint="eastAsia" w:ascii="宋体" w:hAnsi="宋体" w:cs="宋体"/>
          <w:kern w:val="0"/>
          <w:szCs w:val="21"/>
          <w:u w:val="single"/>
        </w:rPr>
        <w:t xml:space="preserve">        </w:t>
      </w:r>
      <w:r>
        <w:rPr>
          <w:rFonts w:hint="eastAsia" w:ascii="宋体" w:hAnsi="宋体" w:cs="宋体"/>
          <w:kern w:val="0"/>
          <w:sz w:val="24"/>
          <w:szCs w:val="20"/>
        </w:rPr>
        <w:t xml:space="preserve">月 </w:t>
      </w:r>
      <w:r>
        <w:rPr>
          <w:rFonts w:hint="eastAsia" w:ascii="宋体" w:hAnsi="宋体" w:cs="宋体"/>
          <w:kern w:val="0"/>
          <w:szCs w:val="21"/>
          <w:u w:val="single"/>
        </w:rPr>
        <w:t xml:space="preserve">        </w:t>
      </w:r>
      <w:r>
        <w:rPr>
          <w:rFonts w:hint="eastAsia" w:ascii="宋体" w:hAnsi="宋体" w:cs="宋体"/>
          <w:kern w:val="0"/>
          <w:sz w:val="24"/>
          <w:szCs w:val="20"/>
        </w:rPr>
        <w:t>日</w:t>
      </w:r>
    </w:p>
    <w:p w14:paraId="20B6D510">
      <w:pPr>
        <w:widowControl/>
        <w:wordWrap w:val="0"/>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szCs w:val="20"/>
        </w:rPr>
        <w:t>经营期限：</w:t>
      </w:r>
      <w:r>
        <w:rPr>
          <w:rFonts w:hint="eastAsia" w:ascii="宋体" w:hAnsi="宋体" w:cs="宋体"/>
          <w:kern w:val="0"/>
          <w:szCs w:val="21"/>
          <w:u w:val="single"/>
        </w:rPr>
        <w:t xml:space="preserve">                        </w:t>
      </w:r>
    </w:p>
    <w:p w14:paraId="21189BDC">
      <w:pPr>
        <w:widowControl/>
        <w:wordWrap w:val="0"/>
        <w:spacing w:line="460" w:lineRule="exact"/>
        <w:ind w:firstLine="480" w:firstLineChars="200"/>
        <w:jc w:val="left"/>
        <w:rPr>
          <w:rFonts w:hint="eastAsia" w:ascii="宋体" w:hAnsi="宋体" w:cs="宋体"/>
          <w:kern w:val="0"/>
          <w:szCs w:val="21"/>
          <w:u w:val="single"/>
        </w:rPr>
      </w:pPr>
      <w:r>
        <w:rPr>
          <w:rFonts w:hint="eastAsia" w:ascii="宋体" w:hAnsi="宋体" w:cs="宋体"/>
          <w:kern w:val="0"/>
          <w:sz w:val="24"/>
        </w:rPr>
        <w:t>姓名：</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，性别：</w:t>
      </w:r>
      <w:r>
        <w:rPr>
          <w:rFonts w:hint="eastAsia" w:ascii="宋体" w:hAnsi="宋体" w:cs="宋体"/>
          <w:kern w:val="0"/>
          <w:szCs w:val="21"/>
          <w:u w:val="single"/>
        </w:rPr>
        <w:t xml:space="preserve">        </w:t>
      </w:r>
      <w:r>
        <w:rPr>
          <w:rFonts w:hint="eastAsia" w:ascii="宋体" w:hAnsi="宋体" w:cs="宋体"/>
          <w:kern w:val="0"/>
          <w:sz w:val="24"/>
          <w:szCs w:val="20"/>
        </w:rPr>
        <w:t>，年龄：</w:t>
      </w:r>
      <w:r>
        <w:rPr>
          <w:rFonts w:hint="eastAsia" w:ascii="宋体" w:hAnsi="宋体" w:cs="宋体"/>
          <w:kern w:val="0"/>
          <w:szCs w:val="21"/>
          <w:u w:val="single"/>
        </w:rPr>
        <w:t xml:space="preserve">        </w:t>
      </w:r>
      <w:r>
        <w:rPr>
          <w:rFonts w:hint="eastAsia" w:ascii="宋体" w:hAnsi="宋体" w:cs="宋体"/>
          <w:kern w:val="0"/>
          <w:sz w:val="24"/>
          <w:szCs w:val="20"/>
        </w:rPr>
        <w:t>，职务：</w:t>
      </w:r>
      <w:r>
        <w:rPr>
          <w:rFonts w:hint="eastAsia" w:ascii="宋体" w:hAnsi="宋体" w:cs="宋体"/>
          <w:kern w:val="0"/>
          <w:szCs w:val="21"/>
          <w:u w:val="single"/>
        </w:rPr>
        <w:t xml:space="preserve">        </w:t>
      </w:r>
    </w:p>
    <w:p w14:paraId="4820009E">
      <w:pPr>
        <w:widowControl/>
        <w:wordWrap w:val="0"/>
        <w:spacing w:line="460" w:lineRule="exact"/>
        <w:jc w:val="left"/>
        <w:rPr>
          <w:rFonts w:hint="eastAsia" w:ascii="宋体" w:hAnsi="宋体" w:cs="宋体"/>
          <w:kern w:val="0"/>
          <w:sz w:val="24"/>
          <w:szCs w:val="20"/>
        </w:rPr>
      </w:pPr>
      <w:r>
        <w:rPr>
          <w:rFonts w:hint="eastAsia" w:ascii="宋体" w:hAnsi="宋体" w:cs="宋体"/>
          <w:kern w:val="0"/>
          <w:sz w:val="24"/>
          <w:szCs w:val="20"/>
        </w:rPr>
        <w:t>系</w:t>
      </w:r>
      <w:r>
        <w:rPr>
          <w:rFonts w:hint="eastAsia" w:ascii="宋体" w:hAnsi="宋体" w:cs="宋体"/>
          <w:kern w:val="0"/>
          <w:szCs w:val="21"/>
          <w:u w:val="single"/>
        </w:rPr>
        <w:t xml:space="preserve">                </w:t>
      </w:r>
      <w:r>
        <w:rPr>
          <w:rFonts w:hint="eastAsia" w:ascii="宋体" w:hAnsi="宋体" w:cs="宋体"/>
          <w:kern w:val="0"/>
          <w:sz w:val="24"/>
          <w:szCs w:val="20"/>
        </w:rPr>
        <w:t>（供应商名称）的法定代表人。</w:t>
      </w:r>
    </w:p>
    <w:p w14:paraId="0EC481FF">
      <w:pPr>
        <w:widowControl/>
        <w:wordWrap w:val="0"/>
        <w:spacing w:line="460" w:lineRule="exact"/>
        <w:jc w:val="left"/>
        <w:rPr>
          <w:rFonts w:hint="eastAsia" w:ascii="宋体" w:hAnsi="宋体" w:cs="宋体"/>
          <w:kern w:val="0"/>
          <w:sz w:val="24"/>
          <w:szCs w:val="20"/>
        </w:rPr>
      </w:pPr>
    </w:p>
    <w:p w14:paraId="23BBC9E3">
      <w:pPr>
        <w:widowControl/>
        <w:wordWrap w:val="0"/>
        <w:spacing w:line="460" w:lineRule="exact"/>
        <w:ind w:firstLine="480" w:firstLineChars="200"/>
        <w:jc w:val="left"/>
        <w:rPr>
          <w:rFonts w:hint="eastAsia" w:ascii="宋体" w:hAnsi="宋体" w:cs="宋体"/>
          <w:kern w:val="0"/>
          <w:sz w:val="24"/>
          <w:szCs w:val="20"/>
        </w:rPr>
      </w:pPr>
      <w:r>
        <w:rPr>
          <w:rFonts w:hint="eastAsia" w:ascii="宋体" w:hAnsi="宋体" w:cs="宋体"/>
          <w:kern w:val="0"/>
          <w:sz w:val="24"/>
          <w:szCs w:val="20"/>
        </w:rPr>
        <w:t>特此证明。</w:t>
      </w:r>
    </w:p>
    <w:p w14:paraId="763CD06B">
      <w:pPr>
        <w:widowControl/>
        <w:wordWrap w:val="0"/>
        <w:spacing w:line="460" w:lineRule="exact"/>
        <w:jc w:val="left"/>
        <w:rPr>
          <w:rFonts w:hint="eastAsia" w:ascii="宋体" w:hAnsi="宋体" w:cs="宋体"/>
          <w:kern w:val="0"/>
          <w:sz w:val="24"/>
          <w:szCs w:val="20"/>
        </w:rPr>
      </w:pPr>
    </w:p>
    <w:p w14:paraId="1614999A">
      <w:pPr>
        <w:widowControl/>
        <w:wordWrap w:val="0"/>
        <w:spacing w:before="319" w:beforeLines="100" w:after="319" w:afterLines="100" w:line="480" w:lineRule="exact"/>
        <w:jc w:val="center"/>
        <w:rPr>
          <w:rFonts w:hint="eastAsia" w:ascii="宋体" w:hAnsi="宋体" w:cs="宋体"/>
          <w:b/>
          <w:kern w:val="0"/>
          <w:sz w:val="36"/>
          <w:szCs w:val="36"/>
        </w:rPr>
      </w:pPr>
    </w:p>
    <w:tbl>
      <w:tblPr>
        <w:tblStyle w:val="35"/>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199A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2F555ED2">
            <w:pPr>
              <w:widowControl/>
              <w:spacing w:line="480" w:lineRule="exact"/>
              <w:jc w:val="left"/>
              <w:rPr>
                <w:rFonts w:hint="eastAsia" w:ascii="宋体" w:hAnsi="宋体" w:cs="宋体"/>
                <w:bCs/>
                <w:kern w:val="0"/>
                <w:sz w:val="24"/>
              </w:rPr>
            </w:pPr>
            <w:r>
              <w:rPr>
                <w:rFonts w:hint="eastAsia" w:ascii="宋体" w:hAnsi="宋体" w:cs="宋体"/>
                <w:bCs/>
                <w:kern w:val="0"/>
                <w:sz w:val="24"/>
              </w:rPr>
              <w:t>此处请粘贴法定代表人身份证复印件</w:t>
            </w:r>
          </w:p>
          <w:p w14:paraId="792368C4">
            <w:pPr>
              <w:widowControl/>
              <w:spacing w:line="480" w:lineRule="exact"/>
              <w:jc w:val="left"/>
              <w:rPr>
                <w:rFonts w:hint="eastAsia" w:ascii="宋体" w:hAnsi="宋体" w:cs="宋体"/>
                <w:kern w:val="0"/>
                <w:sz w:val="24"/>
              </w:rPr>
            </w:pPr>
          </w:p>
          <w:p w14:paraId="5E77162C">
            <w:pPr>
              <w:widowControl/>
              <w:spacing w:line="480" w:lineRule="exact"/>
              <w:jc w:val="left"/>
              <w:rPr>
                <w:rFonts w:hint="eastAsia" w:ascii="宋体" w:hAnsi="宋体" w:cs="宋体"/>
                <w:kern w:val="0"/>
                <w:sz w:val="24"/>
              </w:rPr>
            </w:pPr>
          </w:p>
        </w:tc>
      </w:tr>
    </w:tbl>
    <w:p w14:paraId="54D2028C">
      <w:pPr>
        <w:widowControl/>
        <w:wordWrap w:val="0"/>
        <w:spacing w:before="319" w:beforeLines="100" w:after="319" w:afterLines="100" w:line="480" w:lineRule="exact"/>
        <w:jc w:val="center"/>
        <w:rPr>
          <w:rFonts w:hint="eastAsia" w:ascii="宋体" w:hAnsi="宋体" w:cs="宋体"/>
          <w:b/>
          <w:kern w:val="0"/>
          <w:sz w:val="24"/>
        </w:rPr>
      </w:pPr>
    </w:p>
    <w:p w14:paraId="17B89BE3">
      <w:pPr>
        <w:widowControl/>
        <w:wordWrap w:val="0"/>
        <w:spacing w:before="319" w:beforeLines="100" w:after="319" w:afterLines="100" w:line="480" w:lineRule="exact"/>
        <w:jc w:val="center"/>
        <w:rPr>
          <w:rFonts w:hint="eastAsia" w:ascii="宋体" w:hAnsi="宋体" w:cs="宋体"/>
          <w:b/>
          <w:kern w:val="0"/>
          <w:sz w:val="36"/>
          <w:szCs w:val="36"/>
        </w:rPr>
      </w:pPr>
    </w:p>
    <w:p w14:paraId="204123F1">
      <w:pPr>
        <w:widowControl/>
        <w:wordWrap w:val="0"/>
        <w:spacing w:before="319" w:beforeLines="100" w:after="319" w:afterLines="100" w:line="480" w:lineRule="exact"/>
        <w:jc w:val="center"/>
        <w:rPr>
          <w:rFonts w:hint="eastAsia" w:ascii="宋体" w:hAnsi="宋体" w:cs="宋体"/>
          <w:b/>
          <w:kern w:val="0"/>
          <w:sz w:val="36"/>
          <w:szCs w:val="36"/>
        </w:rPr>
      </w:pPr>
    </w:p>
    <w:p w14:paraId="7E0C8B2C">
      <w:pPr>
        <w:widowControl/>
        <w:wordWrap w:val="0"/>
        <w:spacing w:line="480" w:lineRule="exact"/>
        <w:jc w:val="right"/>
        <w:rPr>
          <w:rFonts w:hint="eastAsia" w:ascii="宋体" w:hAnsi="宋体" w:cs="宋体"/>
          <w:kern w:val="0"/>
          <w:sz w:val="24"/>
        </w:rPr>
      </w:pPr>
    </w:p>
    <w:p w14:paraId="424400C9">
      <w:pPr>
        <w:widowControl/>
        <w:wordWrap w:val="0"/>
        <w:spacing w:line="480" w:lineRule="exact"/>
        <w:jc w:val="right"/>
        <w:rPr>
          <w:rFonts w:hint="eastAsia" w:ascii="宋体" w:hAnsi="宋体" w:cs="宋体"/>
          <w:kern w:val="0"/>
          <w:sz w:val="24"/>
        </w:rPr>
      </w:pPr>
    </w:p>
    <w:p w14:paraId="45DEE4C7">
      <w:pPr>
        <w:widowControl/>
        <w:wordWrap w:val="0"/>
        <w:snapToGrid w:val="0"/>
        <w:spacing w:line="460" w:lineRule="exact"/>
        <w:ind w:firstLine="2760" w:firstLineChars="1150"/>
        <w:jc w:val="left"/>
        <w:rPr>
          <w:rFonts w:hint="eastAsia" w:ascii="宋体" w:hAnsi="宋体" w:cs="宋体"/>
          <w:kern w:val="0"/>
          <w:sz w:val="24"/>
        </w:rPr>
      </w:pPr>
      <w:r>
        <w:rPr>
          <w:rFonts w:hint="eastAsia" w:ascii="宋体" w:hAnsi="宋体" w:cs="宋体"/>
          <w:kern w:val="0"/>
          <w:sz w:val="24"/>
        </w:rPr>
        <w:t>供应商：</w:t>
      </w:r>
      <w:r>
        <w:rPr>
          <w:rFonts w:hint="eastAsia" w:ascii="宋体" w:hAnsi="宋体" w:cs="宋体"/>
          <w:kern w:val="0"/>
          <w:szCs w:val="21"/>
          <w:u w:val="single"/>
        </w:rPr>
        <w:t xml:space="preserve">                </w:t>
      </w:r>
      <w:r>
        <w:rPr>
          <w:rFonts w:hint="eastAsia" w:ascii="宋体" w:hAnsi="宋体" w:cs="宋体"/>
          <w:kern w:val="0"/>
          <w:sz w:val="24"/>
        </w:rPr>
        <w:t>（全称并加盖公章）</w:t>
      </w:r>
    </w:p>
    <w:p w14:paraId="12FB8442">
      <w:pPr>
        <w:widowControl/>
        <w:wordWrap w:val="0"/>
        <w:spacing w:line="460" w:lineRule="exact"/>
        <w:ind w:left="3780" w:leftChars="1800" w:firstLine="480" w:firstLineChars="200"/>
        <w:jc w:val="left"/>
        <w:rPr>
          <w:rFonts w:hint="eastAsia" w:ascii="宋体" w:hAnsi="宋体" w:cs="宋体"/>
          <w:kern w:val="0"/>
          <w:sz w:val="24"/>
        </w:rPr>
      </w:pPr>
      <w:r>
        <w:rPr>
          <w:rFonts w:hint="eastAsia" w:ascii="宋体" w:hAnsi="宋体" w:cs="宋体"/>
          <w:kern w:val="0"/>
          <w:sz w:val="24"/>
        </w:rPr>
        <w:t>年    月    日</w:t>
      </w:r>
    </w:p>
    <w:p w14:paraId="560D82E9">
      <w:pPr>
        <w:rPr>
          <w:rFonts w:hint="eastAsia" w:ascii="宋体" w:hAnsi="宋体" w:cs="宋体"/>
        </w:rPr>
      </w:pPr>
    </w:p>
    <w:p w14:paraId="5F64018E">
      <w:pPr>
        <w:rPr>
          <w:rFonts w:hint="eastAsia" w:ascii="宋体" w:hAnsi="宋体" w:cs="宋体"/>
        </w:rPr>
      </w:pPr>
      <w:r>
        <w:rPr>
          <w:rFonts w:hint="eastAsia" w:ascii="宋体" w:hAnsi="宋体" w:cs="宋体"/>
        </w:rPr>
        <w:br w:type="page"/>
      </w:r>
    </w:p>
    <w:p w14:paraId="1A9C876B">
      <w:pPr>
        <w:pStyle w:val="11"/>
        <w:snapToGrid w:val="0"/>
        <w:spacing w:before="20" w:after="20" w:line="360" w:lineRule="auto"/>
        <w:jc w:val="center"/>
        <w:rPr>
          <w:rFonts w:hint="eastAsia" w:ascii="宋体" w:hAnsi="宋体" w:eastAsia="宋体" w:cs="宋体"/>
          <w:sz w:val="28"/>
          <w:szCs w:val="28"/>
        </w:rPr>
      </w:pPr>
      <w:bookmarkStart w:id="92" w:name="_Toc30519"/>
      <w:bookmarkStart w:id="93" w:name="_Toc13976"/>
      <w:bookmarkStart w:id="94" w:name="_Toc12939"/>
      <w:r>
        <w:rPr>
          <w:rFonts w:hint="eastAsia" w:ascii="宋体" w:hAnsi="宋体" w:eastAsia="宋体" w:cs="宋体"/>
          <w:sz w:val="28"/>
          <w:szCs w:val="28"/>
        </w:rPr>
        <w:t>附件</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        法定代表人授权书（格式）</w:t>
      </w:r>
      <w:bookmarkEnd w:id="92"/>
      <w:bookmarkEnd w:id="93"/>
      <w:bookmarkEnd w:id="94"/>
    </w:p>
    <w:p w14:paraId="0203DDC1">
      <w:pPr>
        <w:widowControl/>
        <w:tabs>
          <w:tab w:val="left" w:pos="420"/>
          <w:tab w:val="left" w:pos="2160"/>
        </w:tabs>
        <w:wordWrap w:val="0"/>
        <w:spacing w:line="460" w:lineRule="exact"/>
        <w:ind w:firstLine="480" w:firstLineChars="200"/>
        <w:jc w:val="left"/>
        <w:rPr>
          <w:rFonts w:hint="eastAsia" w:ascii="宋体" w:hAnsi="宋体" w:cs="宋体"/>
          <w:kern w:val="0"/>
          <w:sz w:val="24"/>
        </w:rPr>
      </w:pPr>
    </w:p>
    <w:p w14:paraId="695EEC55">
      <w:pPr>
        <w:widowControl/>
        <w:wordWrap w:val="0"/>
        <w:snapToGrid w:val="0"/>
        <w:spacing w:line="460" w:lineRule="exact"/>
        <w:jc w:val="left"/>
        <w:rPr>
          <w:rFonts w:hint="eastAsia" w:ascii="宋体" w:hAnsi="宋体" w:cs="宋体"/>
          <w:b/>
          <w:bCs/>
          <w:kern w:val="0"/>
          <w:sz w:val="24"/>
        </w:rPr>
      </w:pPr>
      <w:r>
        <w:rPr>
          <w:rFonts w:hint="eastAsia" w:ascii="宋体" w:hAnsi="宋体" w:cs="宋体"/>
          <w:bCs/>
          <w:kern w:val="0"/>
          <w:sz w:val="24"/>
        </w:rPr>
        <w:t>致：</w:t>
      </w:r>
      <w:r>
        <w:rPr>
          <w:rFonts w:hint="eastAsia" w:ascii="宋体" w:hAnsi="宋体" w:cs="宋体"/>
          <w:kern w:val="0"/>
          <w:szCs w:val="21"/>
          <w:u w:val="single"/>
        </w:rPr>
        <w:t xml:space="preserve">                </w:t>
      </w:r>
      <w:r>
        <w:rPr>
          <w:rFonts w:hint="eastAsia" w:ascii="宋体" w:hAnsi="宋体" w:cs="宋体"/>
          <w:kern w:val="0"/>
          <w:sz w:val="24"/>
        </w:rPr>
        <w:t>（采购人名称）：</w:t>
      </w:r>
    </w:p>
    <w:p w14:paraId="799D740F">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Cs w:val="21"/>
          <w:u w:val="single"/>
        </w:rPr>
        <w:t xml:space="preserve">        </w:t>
      </w:r>
      <w:r>
        <w:rPr>
          <w:rFonts w:hint="eastAsia" w:ascii="宋体" w:hAnsi="宋体" w:cs="宋体"/>
          <w:kern w:val="0"/>
          <w:sz w:val="24"/>
        </w:rPr>
        <w:t>（姓名）系</w:t>
      </w:r>
      <w:r>
        <w:rPr>
          <w:rFonts w:hint="eastAsia" w:ascii="宋体" w:hAnsi="宋体" w:cs="宋体"/>
          <w:kern w:val="0"/>
          <w:szCs w:val="21"/>
          <w:u w:val="single"/>
        </w:rPr>
        <w:t xml:space="preserve">                </w:t>
      </w:r>
      <w:r>
        <w:rPr>
          <w:rFonts w:hint="eastAsia" w:ascii="宋体" w:hAnsi="宋体" w:cs="宋体"/>
          <w:kern w:val="0"/>
          <w:sz w:val="24"/>
        </w:rPr>
        <w:t xml:space="preserve">（供应商名称）的法定代表人，现委托 </w:t>
      </w:r>
      <w:r>
        <w:rPr>
          <w:rFonts w:hint="eastAsia" w:ascii="宋体" w:hAnsi="宋体" w:cs="宋体"/>
          <w:kern w:val="0"/>
          <w:szCs w:val="21"/>
          <w:u w:val="single"/>
        </w:rPr>
        <w:t xml:space="preserve">        </w:t>
      </w:r>
      <w:r>
        <w:rPr>
          <w:rFonts w:hint="eastAsia" w:ascii="宋体" w:hAnsi="宋体" w:cs="宋体"/>
          <w:kern w:val="0"/>
          <w:sz w:val="24"/>
        </w:rPr>
        <w:t>（姓名）为我方代理人。代理人根据本授权，以我方的名义参加</w:t>
      </w:r>
      <w:r>
        <w:rPr>
          <w:rFonts w:hint="eastAsia" w:ascii="宋体" w:hAnsi="宋体" w:cs="宋体"/>
          <w:kern w:val="0"/>
          <w:szCs w:val="21"/>
          <w:u w:val="single"/>
        </w:rPr>
        <w:t xml:space="preserve">             </w:t>
      </w:r>
      <w:r>
        <w:rPr>
          <w:rFonts w:hint="eastAsia" w:ascii="宋体" w:hAnsi="宋体" w:cs="宋体"/>
          <w:kern w:val="0"/>
          <w:sz w:val="24"/>
        </w:rPr>
        <w:t>项目的投标活动，并代表我方全权办理针对上述项目的磋商、开标、评审、签约等具体事务和签署相关文件。</w:t>
      </w:r>
    </w:p>
    <w:p w14:paraId="287A6BF8">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我方对代理人的签名负全部责任。在撤销授权的书面通知以前，本授权书一直有效。代理人在授权书有效期内签署的所有文件不因授权的撤销而失效。</w:t>
      </w:r>
    </w:p>
    <w:p w14:paraId="7B8CE122">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如果本次采购活动现场变更采购方式，本授权书有效。</w:t>
      </w:r>
    </w:p>
    <w:p w14:paraId="66A5BF99">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代理人无转委托权。</w:t>
      </w:r>
    </w:p>
    <w:p w14:paraId="7FB4404C">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委托期限：</w:t>
      </w:r>
    </w:p>
    <w:p w14:paraId="41139D25">
      <w:pPr>
        <w:widowControl/>
        <w:wordWrap w:val="0"/>
        <w:snapToGrid w:val="0"/>
        <w:spacing w:line="460" w:lineRule="exact"/>
        <w:ind w:firstLine="480" w:firstLineChars="200"/>
        <w:jc w:val="left"/>
        <w:rPr>
          <w:rFonts w:hint="eastAsia" w:ascii="宋体" w:hAnsi="宋体" w:cs="宋体"/>
          <w:kern w:val="0"/>
          <w:sz w:val="24"/>
        </w:rPr>
      </w:pPr>
    </w:p>
    <w:p w14:paraId="28805FE5">
      <w:pPr>
        <w:widowControl/>
        <w:wordWrap w:val="0"/>
        <w:snapToGrid w:val="0"/>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委托代理人签名：             法定代表人签名或盖章：</w:t>
      </w:r>
    </w:p>
    <w:p w14:paraId="5FEBAAA8">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职务：                      职务：</w:t>
      </w:r>
    </w:p>
    <w:tbl>
      <w:tblPr>
        <w:tblStyle w:val="35"/>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42F3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6EFEE065">
            <w:pPr>
              <w:widowControl/>
              <w:spacing w:line="480" w:lineRule="exact"/>
              <w:jc w:val="left"/>
              <w:rPr>
                <w:rFonts w:hint="eastAsia" w:ascii="宋体" w:hAnsi="宋体" w:cs="宋体"/>
                <w:kern w:val="0"/>
                <w:sz w:val="24"/>
              </w:rPr>
            </w:pPr>
            <w:r>
              <w:rPr>
                <w:rFonts w:hint="eastAsia" w:ascii="宋体" w:hAnsi="宋体" w:cs="宋体"/>
                <w:bCs/>
                <w:kern w:val="0"/>
                <w:sz w:val="24"/>
              </w:rPr>
              <w:t>此处请粘贴</w:t>
            </w:r>
            <w:r>
              <w:rPr>
                <w:rFonts w:hint="eastAsia" w:ascii="宋体" w:hAnsi="宋体" w:cs="宋体"/>
                <w:kern w:val="0"/>
                <w:sz w:val="24"/>
              </w:rPr>
              <w:t>委托代理人</w:t>
            </w:r>
            <w:r>
              <w:rPr>
                <w:rFonts w:hint="eastAsia" w:ascii="宋体" w:hAnsi="宋体" w:cs="宋体"/>
                <w:bCs/>
                <w:kern w:val="0"/>
                <w:sz w:val="24"/>
              </w:rPr>
              <w:t>身份证复印件</w:t>
            </w:r>
          </w:p>
        </w:tc>
      </w:tr>
    </w:tbl>
    <w:p w14:paraId="11EBC8A3">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委托代理人身份证号码：</w:t>
      </w:r>
    </w:p>
    <w:p w14:paraId="1D7CBFA0">
      <w:pPr>
        <w:widowControl/>
        <w:wordWrap w:val="0"/>
        <w:spacing w:line="460" w:lineRule="exact"/>
        <w:ind w:firstLine="4800" w:firstLineChars="2000"/>
        <w:jc w:val="left"/>
        <w:rPr>
          <w:rFonts w:hint="eastAsia" w:ascii="宋体" w:hAnsi="宋体" w:cs="宋体"/>
          <w:kern w:val="0"/>
          <w:sz w:val="24"/>
        </w:rPr>
      </w:pPr>
    </w:p>
    <w:p w14:paraId="55D02F9F">
      <w:pPr>
        <w:widowControl/>
        <w:wordWrap w:val="0"/>
        <w:spacing w:line="360" w:lineRule="auto"/>
        <w:jc w:val="center"/>
        <w:rPr>
          <w:rFonts w:hint="eastAsia" w:ascii="宋体" w:hAnsi="宋体" w:cs="宋体"/>
          <w:kern w:val="0"/>
          <w:sz w:val="24"/>
        </w:rPr>
      </w:pPr>
    </w:p>
    <w:p w14:paraId="2EBFC014">
      <w:pPr>
        <w:widowControl/>
        <w:wordWrap w:val="0"/>
        <w:spacing w:line="360" w:lineRule="auto"/>
        <w:jc w:val="right"/>
        <w:rPr>
          <w:rFonts w:hint="eastAsia" w:ascii="宋体" w:hAnsi="宋体" w:cs="宋体"/>
          <w:kern w:val="0"/>
          <w:sz w:val="24"/>
        </w:rPr>
      </w:pPr>
    </w:p>
    <w:p w14:paraId="0D388687">
      <w:pPr>
        <w:widowControl/>
        <w:spacing w:line="360" w:lineRule="auto"/>
        <w:jc w:val="center"/>
        <w:rPr>
          <w:rFonts w:hint="eastAsia" w:ascii="宋体" w:hAnsi="宋体" w:cs="宋体"/>
          <w:kern w:val="0"/>
          <w:sz w:val="24"/>
        </w:rPr>
      </w:pPr>
      <w:r>
        <w:rPr>
          <w:rFonts w:hint="eastAsia" w:ascii="宋体" w:hAnsi="宋体" w:cs="宋体"/>
          <w:kern w:val="0"/>
          <w:sz w:val="24"/>
        </w:rPr>
        <w:t>供应商：</w:t>
      </w:r>
      <w:r>
        <w:rPr>
          <w:rFonts w:hint="eastAsia" w:ascii="宋体" w:hAnsi="宋体" w:cs="宋体"/>
          <w:kern w:val="0"/>
          <w:szCs w:val="21"/>
          <w:u w:val="single"/>
        </w:rPr>
        <w:t xml:space="preserve">                </w:t>
      </w:r>
      <w:r>
        <w:rPr>
          <w:rFonts w:hint="eastAsia" w:ascii="宋体" w:hAnsi="宋体" w:cs="宋体"/>
          <w:kern w:val="0"/>
          <w:sz w:val="24"/>
        </w:rPr>
        <w:t>（全称并加盖公章）</w:t>
      </w:r>
    </w:p>
    <w:p w14:paraId="4C8D928E">
      <w:pPr>
        <w:widowControl/>
        <w:wordWrap w:val="0"/>
        <w:spacing w:line="460" w:lineRule="exact"/>
        <w:ind w:firstLine="3840" w:firstLineChars="1600"/>
        <w:jc w:val="left"/>
        <w:rPr>
          <w:rFonts w:hint="eastAsia" w:ascii="宋体" w:hAnsi="宋体" w:cs="宋体"/>
          <w:b/>
          <w:kern w:val="0"/>
          <w:sz w:val="32"/>
          <w:szCs w:val="32"/>
        </w:rPr>
      </w:pPr>
      <w:r>
        <w:rPr>
          <w:rFonts w:hint="eastAsia" w:ascii="宋体" w:hAnsi="宋体" w:cs="宋体"/>
          <w:kern w:val="0"/>
          <w:sz w:val="24"/>
        </w:rPr>
        <w:t>年    月    日</w:t>
      </w:r>
    </w:p>
    <w:p w14:paraId="6E3C1D30">
      <w:pPr>
        <w:rPr>
          <w:rFonts w:hint="eastAsia" w:ascii="宋体" w:hAnsi="宋体" w:cs="宋体"/>
          <w:b/>
          <w:kern w:val="0"/>
          <w:sz w:val="32"/>
          <w:szCs w:val="32"/>
        </w:rPr>
      </w:pPr>
      <w:r>
        <w:rPr>
          <w:rFonts w:hint="eastAsia" w:ascii="宋体" w:hAnsi="宋体" w:cs="宋体"/>
          <w:b/>
          <w:kern w:val="0"/>
          <w:sz w:val="32"/>
          <w:szCs w:val="32"/>
        </w:rPr>
        <w:br w:type="page"/>
      </w:r>
    </w:p>
    <w:p w14:paraId="13389ED8">
      <w:pPr>
        <w:pStyle w:val="11"/>
        <w:snapToGrid w:val="0"/>
        <w:spacing w:before="20" w:after="20" w:line="360" w:lineRule="auto"/>
        <w:jc w:val="center"/>
        <w:rPr>
          <w:rFonts w:hint="eastAsia" w:ascii="宋体" w:hAnsi="宋体" w:eastAsia="宋体" w:cs="宋体"/>
          <w:sz w:val="28"/>
          <w:szCs w:val="28"/>
        </w:rPr>
      </w:pPr>
      <w:bookmarkStart w:id="95" w:name="_Toc18105"/>
      <w:bookmarkStart w:id="96" w:name="_Toc24693"/>
      <w:bookmarkStart w:id="97" w:name="_Toc3342"/>
      <w:r>
        <w:rPr>
          <w:rFonts w:hint="eastAsia" w:ascii="宋体" w:hAnsi="宋体" w:eastAsia="宋体" w:cs="宋体"/>
          <w:sz w:val="28"/>
          <w:szCs w:val="28"/>
        </w:rPr>
        <w:t>附件</w:t>
      </w: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          证明文件</w:t>
      </w:r>
      <w:bookmarkEnd w:id="95"/>
      <w:bookmarkEnd w:id="96"/>
      <w:bookmarkEnd w:id="97"/>
    </w:p>
    <w:p w14:paraId="7E32873A">
      <w:pPr>
        <w:pStyle w:val="2"/>
        <w:spacing w:beforeAutospacing="0" w:afterAutospacing="0" w:line="480" w:lineRule="auto"/>
        <w:ind w:firstLine="470" w:firstLineChars="224"/>
        <w:jc w:val="both"/>
        <w:rPr>
          <w:rFonts w:hint="eastAsia"/>
          <w:bCs/>
          <w:sz w:val="21"/>
          <w:szCs w:val="21"/>
          <w:highlight w:val="none"/>
        </w:rPr>
      </w:pPr>
      <w:r>
        <w:rPr>
          <w:rFonts w:hint="eastAsia"/>
          <w:bCs/>
          <w:sz w:val="21"/>
          <w:szCs w:val="21"/>
          <w:highlight w:val="none"/>
        </w:rPr>
        <w:t>9.1 资格审查资料</w:t>
      </w:r>
    </w:p>
    <w:p w14:paraId="737AB633">
      <w:pPr>
        <w:pStyle w:val="2"/>
        <w:spacing w:beforeAutospacing="0" w:afterAutospacing="0" w:line="480" w:lineRule="auto"/>
        <w:ind w:firstLine="470" w:firstLineChars="224"/>
        <w:jc w:val="both"/>
        <w:rPr>
          <w:rFonts w:hint="eastAsia"/>
          <w:bCs/>
          <w:sz w:val="21"/>
          <w:szCs w:val="21"/>
          <w:highlight w:val="none"/>
        </w:rPr>
      </w:pPr>
      <w:r>
        <w:rPr>
          <w:rFonts w:hint="eastAsia"/>
          <w:bCs/>
          <w:sz w:val="21"/>
          <w:szCs w:val="21"/>
          <w:highlight w:val="none"/>
        </w:rPr>
        <w:t>9.2 技术要求证明材料</w:t>
      </w:r>
    </w:p>
    <w:p w14:paraId="45ACC5BA">
      <w:pPr>
        <w:pStyle w:val="2"/>
        <w:spacing w:beforeAutospacing="0" w:afterAutospacing="0" w:line="480" w:lineRule="auto"/>
        <w:ind w:firstLine="470" w:firstLineChars="224"/>
        <w:jc w:val="both"/>
        <w:rPr>
          <w:rFonts w:hint="eastAsia"/>
          <w:bCs/>
          <w:sz w:val="21"/>
          <w:szCs w:val="21"/>
        </w:rPr>
      </w:pPr>
      <w:r>
        <w:rPr>
          <w:rFonts w:hint="eastAsia"/>
          <w:bCs/>
          <w:sz w:val="21"/>
          <w:szCs w:val="21"/>
        </w:rPr>
        <w:t xml:space="preserve">9.3 </w:t>
      </w:r>
      <w:bookmarkStart w:id="98" w:name="_Toc17966"/>
      <w:r>
        <w:rPr>
          <w:rFonts w:hint="eastAsia"/>
          <w:bCs/>
          <w:sz w:val="21"/>
          <w:szCs w:val="21"/>
        </w:rPr>
        <w:t>评分标准中需提供的证明材料</w:t>
      </w:r>
    </w:p>
    <w:p w14:paraId="102A4C83">
      <w:pPr>
        <w:pStyle w:val="2"/>
        <w:spacing w:beforeAutospacing="0" w:afterAutospacing="0" w:line="480" w:lineRule="auto"/>
        <w:ind w:firstLine="470" w:firstLineChars="224"/>
        <w:jc w:val="both"/>
        <w:rPr>
          <w:rFonts w:hint="eastAsia"/>
          <w:bCs/>
          <w:sz w:val="21"/>
          <w:szCs w:val="21"/>
        </w:rPr>
      </w:pPr>
      <w:r>
        <w:rPr>
          <w:rFonts w:hint="eastAsia"/>
          <w:bCs/>
          <w:sz w:val="21"/>
          <w:szCs w:val="21"/>
        </w:rPr>
        <w:t>9.4 供应商认为其他需要提供的证明材料。</w:t>
      </w:r>
    </w:p>
    <w:p w14:paraId="41C5EC32">
      <w:pPr>
        <w:pStyle w:val="2"/>
        <w:spacing w:beforeAutospacing="0" w:afterAutospacing="0" w:line="480" w:lineRule="auto"/>
        <w:ind w:firstLine="540" w:firstLineChars="224"/>
        <w:jc w:val="both"/>
        <w:rPr>
          <w:rFonts w:hint="eastAsia"/>
          <w:b/>
          <w:bCs/>
        </w:rPr>
      </w:pPr>
    </w:p>
    <w:p w14:paraId="61031341">
      <w:pPr>
        <w:pStyle w:val="2"/>
        <w:spacing w:beforeAutospacing="0" w:afterAutospacing="0" w:line="480" w:lineRule="auto"/>
        <w:ind w:firstLine="540" w:firstLineChars="224"/>
        <w:jc w:val="both"/>
        <w:rPr>
          <w:rFonts w:hint="eastAsia"/>
          <w:b/>
          <w:bCs/>
        </w:rPr>
      </w:pPr>
    </w:p>
    <w:p w14:paraId="4E067D54">
      <w:pPr>
        <w:pStyle w:val="2"/>
        <w:spacing w:beforeAutospacing="0" w:afterAutospacing="0" w:line="480" w:lineRule="auto"/>
        <w:ind w:firstLine="540" w:firstLineChars="224"/>
        <w:jc w:val="both"/>
        <w:rPr>
          <w:rFonts w:hint="eastAsia"/>
          <w:b/>
          <w:bCs/>
        </w:rPr>
      </w:pPr>
    </w:p>
    <w:p w14:paraId="6A02DBC0">
      <w:pPr>
        <w:pStyle w:val="2"/>
        <w:spacing w:beforeAutospacing="0" w:afterAutospacing="0" w:line="480" w:lineRule="auto"/>
        <w:ind w:firstLine="540" w:firstLineChars="224"/>
        <w:jc w:val="both"/>
        <w:rPr>
          <w:rFonts w:hint="eastAsia"/>
          <w:b/>
          <w:bCs/>
        </w:rPr>
      </w:pPr>
    </w:p>
    <w:p w14:paraId="0AB54598">
      <w:pPr>
        <w:pStyle w:val="2"/>
        <w:spacing w:beforeAutospacing="0" w:afterAutospacing="0" w:line="480" w:lineRule="auto"/>
        <w:ind w:firstLine="540" w:firstLineChars="224"/>
        <w:jc w:val="both"/>
        <w:rPr>
          <w:rFonts w:hint="eastAsia"/>
          <w:b/>
          <w:bCs/>
        </w:rPr>
      </w:pPr>
    </w:p>
    <w:p w14:paraId="673BA0D2">
      <w:pPr>
        <w:pStyle w:val="2"/>
        <w:spacing w:beforeAutospacing="0" w:afterAutospacing="0" w:line="480" w:lineRule="auto"/>
        <w:ind w:firstLine="540" w:firstLineChars="224"/>
        <w:jc w:val="both"/>
        <w:rPr>
          <w:rFonts w:hint="eastAsia"/>
          <w:b/>
          <w:bCs/>
        </w:rPr>
      </w:pPr>
    </w:p>
    <w:p w14:paraId="759598DD">
      <w:pPr>
        <w:pStyle w:val="2"/>
        <w:spacing w:beforeAutospacing="0" w:afterAutospacing="0" w:line="480" w:lineRule="auto"/>
        <w:ind w:firstLine="540" w:firstLineChars="224"/>
        <w:jc w:val="both"/>
        <w:rPr>
          <w:rFonts w:hint="eastAsia"/>
          <w:b/>
          <w:bCs/>
        </w:rPr>
      </w:pPr>
    </w:p>
    <w:p w14:paraId="07164ACD">
      <w:pPr>
        <w:pStyle w:val="2"/>
        <w:spacing w:beforeAutospacing="0" w:afterAutospacing="0" w:line="480" w:lineRule="auto"/>
        <w:ind w:firstLine="540" w:firstLineChars="224"/>
        <w:jc w:val="both"/>
        <w:rPr>
          <w:rFonts w:hint="eastAsia"/>
          <w:b/>
          <w:bCs/>
        </w:rPr>
      </w:pPr>
    </w:p>
    <w:p w14:paraId="7D405F54">
      <w:pPr>
        <w:pStyle w:val="2"/>
        <w:spacing w:beforeAutospacing="0" w:afterAutospacing="0" w:line="480" w:lineRule="auto"/>
        <w:ind w:firstLine="540" w:firstLineChars="224"/>
        <w:jc w:val="both"/>
        <w:rPr>
          <w:rFonts w:hint="eastAsia"/>
          <w:b/>
          <w:bCs/>
        </w:rPr>
      </w:pPr>
    </w:p>
    <w:p w14:paraId="299616F3">
      <w:pPr>
        <w:pStyle w:val="2"/>
        <w:spacing w:beforeAutospacing="0" w:afterAutospacing="0" w:line="480" w:lineRule="auto"/>
        <w:ind w:firstLine="540" w:firstLineChars="224"/>
        <w:jc w:val="both"/>
        <w:rPr>
          <w:rFonts w:hint="eastAsia"/>
          <w:b/>
          <w:bCs/>
        </w:rPr>
      </w:pPr>
    </w:p>
    <w:p w14:paraId="7DFB1E72">
      <w:pPr>
        <w:pStyle w:val="2"/>
        <w:spacing w:beforeAutospacing="0" w:afterAutospacing="0" w:line="480" w:lineRule="auto"/>
        <w:ind w:firstLine="540" w:firstLineChars="224"/>
        <w:jc w:val="both"/>
        <w:rPr>
          <w:rFonts w:hint="eastAsia"/>
          <w:b/>
          <w:bCs/>
        </w:rPr>
      </w:pPr>
    </w:p>
    <w:p w14:paraId="25CC0822">
      <w:pPr>
        <w:pStyle w:val="2"/>
        <w:spacing w:beforeAutospacing="0" w:afterAutospacing="0" w:line="480" w:lineRule="auto"/>
        <w:ind w:firstLine="540" w:firstLineChars="224"/>
        <w:jc w:val="both"/>
        <w:rPr>
          <w:rFonts w:hint="eastAsia"/>
          <w:b/>
          <w:bCs/>
        </w:rPr>
      </w:pPr>
    </w:p>
    <w:p w14:paraId="1F60B8A0">
      <w:pPr>
        <w:pStyle w:val="2"/>
        <w:spacing w:beforeAutospacing="0" w:afterAutospacing="0" w:line="480" w:lineRule="auto"/>
        <w:ind w:firstLine="540" w:firstLineChars="224"/>
        <w:jc w:val="both"/>
        <w:rPr>
          <w:rFonts w:hint="eastAsia"/>
          <w:b/>
          <w:bCs/>
        </w:rPr>
      </w:pPr>
    </w:p>
    <w:p w14:paraId="5C979569">
      <w:pPr>
        <w:pStyle w:val="2"/>
        <w:spacing w:beforeAutospacing="0" w:afterAutospacing="0" w:line="480" w:lineRule="auto"/>
        <w:ind w:firstLine="540" w:firstLineChars="224"/>
        <w:jc w:val="both"/>
        <w:rPr>
          <w:rFonts w:hint="eastAsia"/>
          <w:b/>
          <w:bCs/>
        </w:rPr>
      </w:pPr>
    </w:p>
    <w:p w14:paraId="3E4BBB54">
      <w:pPr>
        <w:pStyle w:val="2"/>
        <w:spacing w:beforeAutospacing="0" w:afterAutospacing="0" w:line="480" w:lineRule="auto"/>
        <w:ind w:firstLine="540" w:firstLineChars="224"/>
        <w:jc w:val="both"/>
        <w:rPr>
          <w:rFonts w:hint="eastAsia"/>
          <w:b/>
          <w:bCs/>
        </w:rPr>
      </w:pPr>
    </w:p>
    <w:p w14:paraId="7A5E6BB7">
      <w:pPr>
        <w:pStyle w:val="2"/>
        <w:spacing w:beforeAutospacing="0" w:afterAutospacing="0" w:line="480" w:lineRule="auto"/>
        <w:ind w:firstLine="540" w:firstLineChars="224"/>
        <w:jc w:val="both"/>
        <w:rPr>
          <w:rFonts w:hint="eastAsia"/>
          <w:b/>
          <w:bCs/>
        </w:rPr>
      </w:pPr>
    </w:p>
    <w:p w14:paraId="13574265">
      <w:pPr>
        <w:pStyle w:val="11"/>
        <w:snapToGrid w:val="0"/>
        <w:spacing w:before="20" w:after="20" w:line="360" w:lineRule="auto"/>
        <w:jc w:val="center"/>
        <w:rPr>
          <w:rFonts w:hint="eastAsia" w:ascii="宋体" w:hAnsi="宋体" w:eastAsia="宋体" w:cs="宋体"/>
          <w:sz w:val="28"/>
          <w:szCs w:val="28"/>
        </w:rPr>
      </w:pPr>
      <w:bookmarkStart w:id="99" w:name="_Toc16083"/>
      <w:bookmarkStart w:id="100" w:name="_Toc12888"/>
      <w:bookmarkStart w:id="101" w:name="_Toc13726"/>
      <w:r>
        <w:rPr>
          <w:rFonts w:hint="eastAsia" w:ascii="宋体" w:hAnsi="宋体" w:eastAsia="宋体" w:cs="宋体"/>
          <w:sz w:val="28"/>
          <w:szCs w:val="28"/>
        </w:rPr>
        <w:t>附件</w:t>
      </w:r>
      <w:r>
        <w:rPr>
          <w:rFonts w:hint="eastAsia" w:ascii="宋体" w:hAnsi="宋体" w:eastAsia="宋体" w:cs="宋体"/>
          <w:sz w:val="28"/>
          <w:szCs w:val="28"/>
          <w:lang w:val="en-US" w:eastAsia="zh-CN"/>
        </w:rPr>
        <w:t>9</w:t>
      </w:r>
      <w:r>
        <w:rPr>
          <w:rFonts w:hint="eastAsia" w:ascii="宋体" w:hAnsi="宋体" w:eastAsia="宋体" w:cs="宋体"/>
          <w:sz w:val="28"/>
          <w:szCs w:val="28"/>
        </w:rPr>
        <w:t xml:space="preserve">      </w:t>
      </w:r>
      <w:bookmarkEnd w:id="98"/>
      <w:r>
        <w:rPr>
          <w:rFonts w:hint="eastAsia" w:ascii="宋体" w:hAnsi="宋体" w:eastAsia="宋体" w:cs="宋体"/>
          <w:sz w:val="28"/>
          <w:szCs w:val="28"/>
        </w:rPr>
        <w:t>供 应 商 承 诺 书 （格式）</w:t>
      </w:r>
      <w:bookmarkEnd w:id="99"/>
      <w:bookmarkEnd w:id="100"/>
      <w:bookmarkEnd w:id="101"/>
    </w:p>
    <w:p w14:paraId="159ADA5C">
      <w:pPr>
        <w:rPr>
          <w:rFonts w:hint="eastAsia" w:ascii="宋体" w:hAnsi="宋体" w:cs="宋体"/>
        </w:rPr>
      </w:pPr>
    </w:p>
    <w:p w14:paraId="70B7C1B4">
      <w:pPr>
        <w:snapToGrid w:val="0"/>
        <w:spacing w:line="480" w:lineRule="auto"/>
        <w:ind w:firstLine="640"/>
        <w:rPr>
          <w:rFonts w:hint="eastAsia" w:ascii="宋体" w:hAnsi="宋体" w:cs="宋体"/>
          <w:sz w:val="24"/>
        </w:rPr>
      </w:pPr>
      <w:r>
        <w:rPr>
          <w:rFonts w:hint="eastAsia" w:ascii="宋体" w:hAnsi="宋体" w:cs="宋体"/>
          <w:sz w:val="24"/>
        </w:rPr>
        <w:t>我院（以下简称甲方）组织的本次采购，在遵守《招标投标法》、《政府采购法》、《合同法》、《反不正当竞争法》和《关于推进招投标监督领域诚信建设的意见》等法律法规的基础上，要求贵方（以下简称乙方）做出如下承诺：</w:t>
      </w:r>
    </w:p>
    <w:p w14:paraId="548EFEC4">
      <w:pPr>
        <w:snapToGrid w:val="0"/>
        <w:spacing w:line="480" w:lineRule="auto"/>
        <w:ind w:firstLine="640"/>
        <w:rPr>
          <w:rFonts w:hint="eastAsia" w:ascii="宋体" w:hAnsi="宋体" w:cs="宋体"/>
          <w:sz w:val="24"/>
        </w:rPr>
      </w:pPr>
      <w:r>
        <w:rPr>
          <w:rFonts w:hint="eastAsia" w:ascii="宋体" w:hAnsi="宋体" w:cs="宋体"/>
          <w:sz w:val="24"/>
        </w:rPr>
        <w:t>1、遵循公开、公平、公正和诚实信用的原则自愿参加，所提供的一切材料真实、有效、合法。</w:t>
      </w:r>
    </w:p>
    <w:p w14:paraId="0CD08018">
      <w:pPr>
        <w:snapToGrid w:val="0"/>
        <w:spacing w:line="480" w:lineRule="auto"/>
        <w:ind w:firstLine="640"/>
        <w:rPr>
          <w:rFonts w:hint="eastAsia" w:ascii="宋体" w:hAnsi="宋体" w:cs="宋体"/>
          <w:sz w:val="24"/>
        </w:rPr>
      </w:pPr>
      <w:r>
        <w:rPr>
          <w:rFonts w:hint="eastAsia" w:ascii="宋体" w:hAnsi="宋体" w:cs="宋体"/>
          <w:sz w:val="24"/>
        </w:rPr>
        <w:t>2、遵守甲方采购纪律，诚实守信地为甲方提供安全可靠的产品、服务及相关技术，保证质量并主动做好售后服务工作。</w:t>
      </w:r>
    </w:p>
    <w:p w14:paraId="35CED8DC">
      <w:pPr>
        <w:snapToGrid w:val="0"/>
        <w:spacing w:line="480" w:lineRule="auto"/>
        <w:ind w:firstLine="640"/>
        <w:rPr>
          <w:rFonts w:hint="eastAsia" w:ascii="宋体" w:hAnsi="宋体" w:cs="宋体"/>
          <w:sz w:val="24"/>
        </w:rPr>
      </w:pPr>
      <w:r>
        <w:rPr>
          <w:rFonts w:hint="eastAsia" w:ascii="宋体" w:hAnsi="宋体" w:cs="宋体"/>
          <w:sz w:val="24"/>
        </w:rPr>
        <w:t>3、杜绝利用提供财物或给予其他不正当利益谋取中标的不良行为。</w:t>
      </w:r>
    </w:p>
    <w:p w14:paraId="5B6235FA">
      <w:pPr>
        <w:snapToGrid w:val="0"/>
        <w:spacing w:line="480" w:lineRule="auto"/>
        <w:ind w:firstLine="640"/>
        <w:rPr>
          <w:rFonts w:hint="eastAsia" w:ascii="宋体" w:hAnsi="宋体" w:cs="宋体"/>
          <w:sz w:val="24"/>
        </w:rPr>
      </w:pPr>
      <w:r>
        <w:rPr>
          <w:rFonts w:hint="eastAsia" w:ascii="宋体" w:hAnsi="宋体" w:cs="宋体"/>
          <w:sz w:val="24"/>
        </w:rPr>
        <w:t>4、不发生其他任何可能影响甲方工作人员公正执行公务或者职务廉洁的行为。</w:t>
      </w:r>
    </w:p>
    <w:p w14:paraId="61BDB1A7">
      <w:pPr>
        <w:snapToGrid w:val="0"/>
        <w:spacing w:line="480" w:lineRule="auto"/>
        <w:ind w:firstLine="640"/>
        <w:rPr>
          <w:rFonts w:hint="eastAsia" w:ascii="宋体" w:hAnsi="宋体" w:cs="宋体"/>
          <w:sz w:val="24"/>
        </w:rPr>
      </w:pPr>
      <w:r>
        <w:rPr>
          <w:rFonts w:hint="eastAsia" w:ascii="宋体" w:hAnsi="宋体" w:cs="宋体"/>
          <w:sz w:val="24"/>
        </w:rPr>
        <w:t>5、不参与串标、围标或其他不正当竞争行为；杜绝以虚报资质、业绩或其他弄虚作假等方式骗取中标。</w:t>
      </w:r>
    </w:p>
    <w:p w14:paraId="45553AD8">
      <w:pPr>
        <w:snapToGrid w:val="0"/>
        <w:spacing w:line="480" w:lineRule="auto"/>
        <w:ind w:firstLine="640"/>
        <w:rPr>
          <w:rFonts w:hint="eastAsia" w:ascii="宋体" w:hAnsi="宋体" w:cs="宋体"/>
          <w:sz w:val="24"/>
        </w:rPr>
      </w:pPr>
      <w:r>
        <w:rPr>
          <w:rFonts w:hint="eastAsia" w:ascii="宋体" w:hAnsi="宋体" w:cs="宋体"/>
          <w:sz w:val="24"/>
        </w:rPr>
        <w:t>6、响应时，杜绝擅自修改采购文件或技术标准（包括差异表）技术配置的行为。</w:t>
      </w:r>
    </w:p>
    <w:p w14:paraId="71BF4EE0">
      <w:pPr>
        <w:snapToGrid w:val="0"/>
        <w:spacing w:line="480" w:lineRule="auto"/>
        <w:ind w:firstLine="640"/>
        <w:rPr>
          <w:rFonts w:hint="eastAsia" w:ascii="宋体" w:hAnsi="宋体" w:cs="宋体"/>
          <w:sz w:val="24"/>
        </w:rPr>
      </w:pPr>
      <w:r>
        <w:rPr>
          <w:rFonts w:hint="eastAsia" w:ascii="宋体" w:hAnsi="宋体" w:cs="宋体"/>
          <w:sz w:val="24"/>
        </w:rPr>
        <w:t>7、严格按照采购、响应文件要求签订合同，不违反法律无故拒签合同，不签订背离合同（或技术协议书）实质性内容的协议。</w:t>
      </w:r>
    </w:p>
    <w:p w14:paraId="5341E27B">
      <w:pPr>
        <w:snapToGrid w:val="0"/>
        <w:spacing w:line="480" w:lineRule="auto"/>
        <w:rPr>
          <w:rFonts w:hint="eastAsia" w:ascii="宋体" w:hAnsi="宋体" w:cs="宋体"/>
          <w:sz w:val="24"/>
        </w:rPr>
      </w:pPr>
    </w:p>
    <w:p w14:paraId="219A734F">
      <w:pPr>
        <w:snapToGrid w:val="0"/>
        <w:spacing w:line="480" w:lineRule="auto"/>
        <w:rPr>
          <w:rFonts w:hint="eastAsia" w:ascii="宋体" w:hAnsi="宋体" w:cs="宋体"/>
          <w:sz w:val="24"/>
        </w:rPr>
      </w:pPr>
      <w:r>
        <w:rPr>
          <w:rFonts w:hint="eastAsia" w:ascii="宋体" w:hAnsi="宋体" w:cs="宋体"/>
          <w:sz w:val="24"/>
        </w:rPr>
        <w:t xml:space="preserve">供应商（公司名称）：               </w:t>
      </w:r>
    </w:p>
    <w:p w14:paraId="3D466362">
      <w:pPr>
        <w:snapToGrid w:val="0"/>
        <w:spacing w:line="480" w:lineRule="auto"/>
        <w:rPr>
          <w:rFonts w:hint="eastAsia" w:ascii="宋体" w:hAnsi="宋体" w:cs="宋体"/>
          <w:sz w:val="28"/>
          <w:szCs w:val="28"/>
        </w:rPr>
      </w:pPr>
      <w:r>
        <w:rPr>
          <w:rFonts w:hint="eastAsia" w:ascii="宋体" w:hAnsi="宋体" w:cs="宋体"/>
          <w:sz w:val="24"/>
        </w:rPr>
        <w:t>法定代表人或委托人（签字或盖章）：                   年   月   日</w:t>
      </w:r>
    </w:p>
    <w:p w14:paraId="505F7D98">
      <w:pPr>
        <w:widowControl/>
        <w:spacing w:line="360" w:lineRule="auto"/>
        <w:ind w:firstLine="4305" w:firstLineChars="2050"/>
        <w:jc w:val="left"/>
        <w:rPr>
          <w:rFonts w:hint="eastAsia" w:ascii="宋体" w:hAnsi="宋体" w:cs="宋体"/>
          <w:kern w:val="0"/>
          <w:szCs w:val="21"/>
        </w:rPr>
      </w:pPr>
    </w:p>
    <w:p w14:paraId="7A6205A2">
      <w:pPr>
        <w:pStyle w:val="7"/>
        <w:ind w:firstLine="210"/>
        <w:rPr>
          <w:rFonts w:hint="eastAsia" w:ascii="宋体" w:hAnsi="宋体" w:cs="宋体"/>
          <w:kern w:val="0"/>
        </w:rPr>
      </w:pPr>
    </w:p>
    <w:p w14:paraId="1D7F1AC1">
      <w:pPr>
        <w:pStyle w:val="8"/>
        <w:ind w:firstLine="480"/>
        <w:rPr>
          <w:rFonts w:hint="eastAsia"/>
          <w:szCs w:val="21"/>
        </w:rPr>
      </w:pPr>
    </w:p>
    <w:p w14:paraId="30321E2E">
      <w:pPr>
        <w:pStyle w:val="2"/>
        <w:rPr>
          <w:rFonts w:hint="eastAsia"/>
        </w:rPr>
      </w:pPr>
    </w:p>
    <w:p w14:paraId="0DBC89CE">
      <w:pPr>
        <w:pStyle w:val="11"/>
        <w:snapToGrid w:val="0"/>
        <w:spacing w:before="20" w:after="20" w:line="360" w:lineRule="auto"/>
        <w:jc w:val="center"/>
        <w:rPr>
          <w:rFonts w:hint="eastAsia" w:ascii="宋体" w:hAnsi="宋体" w:eastAsia="宋体" w:cs="宋体"/>
          <w:sz w:val="28"/>
          <w:szCs w:val="28"/>
        </w:rPr>
      </w:pPr>
      <w:r>
        <w:rPr>
          <w:rFonts w:hint="eastAsia" w:ascii="宋体" w:hAnsi="宋体" w:eastAsia="宋体" w:cs="宋体"/>
          <w:sz w:val="28"/>
          <w:szCs w:val="28"/>
        </w:rPr>
        <w:t>附件1</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供应商信用承诺函（格式）</w:t>
      </w:r>
    </w:p>
    <w:p w14:paraId="14FF5511">
      <w:pPr>
        <w:snapToGrid w:val="0"/>
        <w:spacing w:line="360" w:lineRule="auto"/>
        <w:ind w:firstLine="641"/>
        <w:rPr>
          <w:rFonts w:hint="eastAsia" w:ascii="宋体" w:hAnsi="宋体" w:cs="宋体"/>
          <w:szCs w:val="21"/>
        </w:rPr>
      </w:pPr>
      <w:r>
        <w:rPr>
          <w:rFonts w:hint="eastAsia" w:ascii="宋体" w:hAnsi="宋体" w:cs="宋体"/>
          <w:szCs w:val="21"/>
        </w:rPr>
        <w:t>致（采购人或政府采购代理机构）：</w:t>
      </w:r>
    </w:p>
    <w:p w14:paraId="226F2D9E">
      <w:pPr>
        <w:snapToGrid w:val="0"/>
        <w:spacing w:line="360" w:lineRule="auto"/>
        <w:ind w:firstLine="641"/>
        <w:rPr>
          <w:rFonts w:hint="eastAsia" w:ascii="宋体" w:hAnsi="宋体" w:cs="宋体"/>
          <w:szCs w:val="21"/>
        </w:rPr>
      </w:pPr>
      <w:r>
        <w:rPr>
          <w:rFonts w:hint="eastAsia" w:ascii="宋体" w:hAnsi="宋体" w:cs="宋体"/>
          <w:szCs w:val="21"/>
        </w:rPr>
        <w:t>单位名称（自然人姓名）：</w:t>
      </w:r>
    </w:p>
    <w:p w14:paraId="1E35C1F8">
      <w:pPr>
        <w:snapToGrid w:val="0"/>
        <w:spacing w:line="360" w:lineRule="auto"/>
        <w:ind w:firstLine="641"/>
        <w:rPr>
          <w:rFonts w:hint="eastAsia" w:ascii="宋体" w:hAnsi="宋体" w:cs="宋体"/>
          <w:szCs w:val="21"/>
        </w:rPr>
      </w:pPr>
      <w:r>
        <w:rPr>
          <w:rFonts w:hint="eastAsia" w:ascii="宋体" w:hAnsi="宋体" w:cs="宋体"/>
          <w:szCs w:val="21"/>
        </w:rPr>
        <w:t>统一社会信用代码（身份证号码）：</w:t>
      </w:r>
    </w:p>
    <w:p w14:paraId="0F5F0A15">
      <w:pPr>
        <w:snapToGrid w:val="0"/>
        <w:spacing w:line="360" w:lineRule="auto"/>
        <w:ind w:firstLine="641"/>
        <w:rPr>
          <w:rFonts w:hint="eastAsia" w:ascii="宋体" w:hAnsi="宋体" w:cs="宋体"/>
          <w:szCs w:val="21"/>
        </w:rPr>
      </w:pPr>
      <w:r>
        <w:rPr>
          <w:rFonts w:hint="eastAsia" w:ascii="宋体" w:hAnsi="宋体" w:cs="宋体"/>
          <w:szCs w:val="21"/>
        </w:rPr>
        <w:t>法定代表人（负责人）：</w:t>
      </w:r>
    </w:p>
    <w:p w14:paraId="4C1289F1">
      <w:pPr>
        <w:snapToGrid w:val="0"/>
        <w:spacing w:line="360" w:lineRule="auto"/>
        <w:ind w:firstLine="641"/>
        <w:rPr>
          <w:rFonts w:hint="eastAsia" w:ascii="宋体" w:hAnsi="宋体" w:cs="宋体"/>
          <w:szCs w:val="21"/>
        </w:rPr>
      </w:pPr>
      <w:r>
        <w:rPr>
          <w:rFonts w:hint="eastAsia" w:ascii="宋体" w:hAnsi="宋体" w:cs="宋体"/>
          <w:szCs w:val="21"/>
        </w:rPr>
        <w:t>联系地址和电话：</w:t>
      </w:r>
    </w:p>
    <w:p w14:paraId="7E42B2DF">
      <w:pPr>
        <w:snapToGrid w:val="0"/>
        <w:spacing w:line="360" w:lineRule="auto"/>
        <w:ind w:firstLine="641"/>
        <w:rPr>
          <w:rFonts w:hint="eastAsia" w:ascii="宋体" w:hAnsi="宋体" w:cs="宋体"/>
          <w:szCs w:val="21"/>
        </w:rPr>
      </w:pPr>
      <w:r>
        <w:rPr>
          <w:rFonts w:hint="eastAsia" w:ascii="宋体" w:hAnsi="宋体" w:cs="宋体"/>
          <w:szCs w:val="21"/>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5FD50A6C">
      <w:pPr>
        <w:snapToGrid w:val="0"/>
        <w:spacing w:line="360" w:lineRule="auto"/>
        <w:ind w:firstLine="641"/>
        <w:rPr>
          <w:rFonts w:hint="eastAsia" w:ascii="宋体" w:hAnsi="宋体" w:cs="宋体"/>
          <w:szCs w:val="21"/>
        </w:rPr>
      </w:pPr>
      <w:r>
        <w:rPr>
          <w:rFonts w:hint="eastAsia" w:ascii="宋体" w:hAnsi="宋体" w:cs="宋体"/>
          <w:szCs w:val="21"/>
        </w:rPr>
        <w:t>（一）具有独立承担民事责任的能力；</w:t>
      </w:r>
    </w:p>
    <w:p w14:paraId="0AFDC35B">
      <w:pPr>
        <w:snapToGrid w:val="0"/>
        <w:spacing w:line="360" w:lineRule="auto"/>
        <w:ind w:firstLine="641"/>
        <w:rPr>
          <w:rFonts w:hint="eastAsia" w:ascii="宋体" w:hAnsi="宋体" w:cs="宋体"/>
          <w:szCs w:val="21"/>
        </w:rPr>
      </w:pPr>
      <w:r>
        <w:rPr>
          <w:rFonts w:hint="eastAsia" w:ascii="宋体" w:hAnsi="宋体" w:cs="宋体"/>
          <w:szCs w:val="21"/>
        </w:rPr>
        <w:t>（二）具有良好的商业信誉和健全的财务会计制度；</w:t>
      </w:r>
    </w:p>
    <w:p w14:paraId="443C1FAC">
      <w:pPr>
        <w:snapToGrid w:val="0"/>
        <w:spacing w:line="360" w:lineRule="auto"/>
        <w:ind w:firstLine="641"/>
        <w:rPr>
          <w:rFonts w:hint="eastAsia" w:ascii="宋体" w:hAnsi="宋体" w:cs="宋体"/>
          <w:szCs w:val="21"/>
        </w:rPr>
      </w:pPr>
      <w:r>
        <w:rPr>
          <w:rFonts w:hint="eastAsia" w:ascii="宋体" w:hAnsi="宋体" w:cs="宋体"/>
          <w:szCs w:val="21"/>
        </w:rPr>
        <w:t>（三）具有履行合同所必需的设备和专业技术能力；</w:t>
      </w:r>
    </w:p>
    <w:p w14:paraId="5197EA5E">
      <w:pPr>
        <w:snapToGrid w:val="0"/>
        <w:spacing w:line="360" w:lineRule="auto"/>
        <w:ind w:firstLine="641"/>
        <w:rPr>
          <w:rFonts w:hint="eastAsia" w:ascii="宋体" w:hAnsi="宋体" w:cs="宋体"/>
          <w:szCs w:val="21"/>
        </w:rPr>
      </w:pPr>
      <w:r>
        <w:rPr>
          <w:rFonts w:hint="eastAsia" w:ascii="宋体" w:hAnsi="宋体" w:cs="宋体"/>
          <w:szCs w:val="21"/>
        </w:rPr>
        <w:t>（四）有依法缴纳税收和社会保障资金的良好记录；</w:t>
      </w:r>
    </w:p>
    <w:p w14:paraId="4C06ECAB">
      <w:pPr>
        <w:snapToGrid w:val="0"/>
        <w:spacing w:line="360" w:lineRule="auto"/>
        <w:ind w:firstLine="641"/>
        <w:rPr>
          <w:rFonts w:hint="eastAsia" w:ascii="宋体" w:hAnsi="宋体" w:cs="宋体"/>
          <w:szCs w:val="21"/>
        </w:rPr>
      </w:pPr>
      <w:r>
        <w:rPr>
          <w:rFonts w:hint="eastAsia" w:ascii="宋体" w:hAnsi="宋体" w:cs="宋体"/>
          <w:szCs w:val="21"/>
        </w:rPr>
        <w:t>（五）参加政府采购活动前三年内，在经营活动中没有重大违法记录；</w:t>
      </w:r>
    </w:p>
    <w:p w14:paraId="40B231C4">
      <w:pPr>
        <w:snapToGrid w:val="0"/>
        <w:spacing w:line="360" w:lineRule="auto"/>
        <w:ind w:firstLine="641"/>
        <w:rPr>
          <w:rFonts w:hint="eastAsia" w:ascii="宋体" w:hAnsi="宋体" w:cs="宋体"/>
          <w:szCs w:val="21"/>
        </w:rPr>
      </w:pPr>
      <w:r>
        <w:rPr>
          <w:rFonts w:hint="eastAsia" w:ascii="宋体" w:hAnsi="宋体" w:cs="宋体"/>
          <w:szCs w:val="21"/>
        </w:rPr>
        <w:t>（六）未被列入严重失信主体名单、失信被执行人、税收违法黑名单、政府采购严重违法失信行为记录名单，未曾作出虚假承诺；</w:t>
      </w:r>
    </w:p>
    <w:p w14:paraId="0F2BF749">
      <w:pPr>
        <w:snapToGrid w:val="0"/>
        <w:spacing w:line="360" w:lineRule="auto"/>
        <w:ind w:firstLine="641"/>
        <w:rPr>
          <w:rFonts w:hint="eastAsia" w:ascii="宋体" w:hAnsi="宋体" w:cs="宋体"/>
          <w:szCs w:val="21"/>
        </w:rPr>
      </w:pPr>
      <w:r>
        <w:rPr>
          <w:rFonts w:hint="eastAsia" w:ascii="宋体" w:hAnsi="宋体" w:cs="宋体"/>
          <w:szCs w:val="21"/>
        </w:rPr>
        <w:t>（七）符合法律、行政法规规定的其他条件。</w:t>
      </w:r>
    </w:p>
    <w:p w14:paraId="24BA5F26">
      <w:pPr>
        <w:snapToGrid w:val="0"/>
        <w:spacing w:line="360" w:lineRule="auto"/>
        <w:ind w:firstLine="641"/>
        <w:rPr>
          <w:rFonts w:hint="eastAsia" w:ascii="宋体" w:hAnsi="宋体" w:cs="宋体"/>
          <w:szCs w:val="21"/>
        </w:rPr>
      </w:pPr>
      <w:r>
        <w:rPr>
          <w:rFonts w:hint="eastAsia" w:ascii="宋体" w:hAnsi="宋体" w:cs="宋体"/>
          <w:szCs w:val="21"/>
        </w:rPr>
        <w:t>我单位（本人）保证上述承诺事项的真实性，如有弄虚作假或其他违法违规行为，愿意承担一切法律责任，并承担因此所造成的一切损失。</w:t>
      </w:r>
    </w:p>
    <w:p w14:paraId="1CE0EE0D">
      <w:pPr>
        <w:snapToGrid w:val="0"/>
        <w:spacing w:line="360" w:lineRule="auto"/>
        <w:ind w:firstLine="641"/>
        <w:rPr>
          <w:rFonts w:hint="eastAsia" w:ascii="宋体" w:hAnsi="宋体" w:cs="宋体"/>
          <w:szCs w:val="21"/>
        </w:rPr>
      </w:pPr>
    </w:p>
    <w:p w14:paraId="7C1939DE">
      <w:pPr>
        <w:snapToGrid w:val="0"/>
        <w:spacing w:line="360" w:lineRule="auto"/>
        <w:ind w:firstLine="641"/>
        <w:rPr>
          <w:rFonts w:hint="eastAsia" w:ascii="宋体" w:hAnsi="宋体" w:cs="宋体"/>
          <w:szCs w:val="21"/>
        </w:rPr>
      </w:pPr>
      <w:r>
        <w:rPr>
          <w:rFonts w:hint="eastAsia" w:ascii="宋体" w:hAnsi="宋体" w:cs="宋体"/>
          <w:szCs w:val="21"/>
        </w:rPr>
        <w:t>供应商名称（盖章）：</w:t>
      </w:r>
    </w:p>
    <w:p w14:paraId="6ECDEEFC">
      <w:pPr>
        <w:snapToGrid w:val="0"/>
        <w:spacing w:line="360" w:lineRule="auto"/>
        <w:ind w:firstLine="641"/>
        <w:rPr>
          <w:rFonts w:hint="eastAsia" w:ascii="宋体" w:hAnsi="宋体" w:cs="宋体"/>
          <w:szCs w:val="21"/>
        </w:rPr>
      </w:pPr>
      <w:r>
        <w:rPr>
          <w:rFonts w:hint="eastAsia" w:ascii="宋体" w:hAnsi="宋体" w:cs="宋体"/>
          <w:szCs w:val="21"/>
        </w:rPr>
        <w:t>法定代表人、负责人、自然人或授权代表(签字或盖章)：</w:t>
      </w:r>
    </w:p>
    <w:p w14:paraId="6D5624C4">
      <w:pPr>
        <w:snapToGrid w:val="0"/>
        <w:spacing w:line="360" w:lineRule="auto"/>
        <w:ind w:firstLine="641"/>
        <w:rPr>
          <w:rFonts w:hint="eastAsia" w:ascii="宋体" w:hAnsi="宋体" w:cs="宋体"/>
          <w:szCs w:val="21"/>
        </w:rPr>
      </w:pPr>
      <w:r>
        <w:rPr>
          <w:rFonts w:hint="eastAsia" w:ascii="宋体" w:hAnsi="宋体" w:cs="宋体"/>
          <w:szCs w:val="21"/>
        </w:rPr>
        <w:t>日期：       年      月       日</w:t>
      </w:r>
    </w:p>
    <w:p w14:paraId="1CCD70B6">
      <w:pPr>
        <w:snapToGrid w:val="0"/>
        <w:spacing w:line="360" w:lineRule="auto"/>
        <w:ind w:firstLine="641"/>
        <w:rPr>
          <w:rFonts w:hint="eastAsia" w:ascii="宋体" w:hAnsi="宋体" w:cs="宋体"/>
          <w:szCs w:val="21"/>
        </w:rPr>
      </w:pPr>
    </w:p>
    <w:p w14:paraId="1069B330">
      <w:pPr>
        <w:snapToGrid w:val="0"/>
        <w:spacing w:line="360" w:lineRule="auto"/>
        <w:ind w:firstLine="641"/>
        <w:rPr>
          <w:rFonts w:hint="eastAsia" w:ascii="宋体" w:hAnsi="宋体" w:cs="宋体"/>
          <w:szCs w:val="21"/>
        </w:rPr>
      </w:pPr>
    </w:p>
    <w:p w14:paraId="420BED56">
      <w:pPr>
        <w:snapToGrid w:val="0"/>
        <w:spacing w:line="360" w:lineRule="auto"/>
        <w:ind w:firstLine="641"/>
        <w:rPr>
          <w:rFonts w:hint="eastAsia" w:ascii="宋体" w:hAnsi="宋体" w:cs="宋体"/>
          <w:szCs w:val="21"/>
        </w:rPr>
      </w:pPr>
      <w:r>
        <w:rPr>
          <w:rFonts w:hint="eastAsia" w:ascii="宋体" w:hAnsi="宋体" w:cs="宋体"/>
          <w:szCs w:val="21"/>
        </w:rPr>
        <w:t>注：1.供应商须在投标（响应性）文件中按此模板提供承诺函，未提供视为未实质性响应招标文件要求，按无效投标（响应）处理。</w:t>
      </w:r>
    </w:p>
    <w:p w14:paraId="5E9CDF39">
      <w:pPr>
        <w:snapToGrid w:val="0"/>
        <w:spacing w:line="360" w:lineRule="auto"/>
        <w:ind w:firstLine="641"/>
        <w:rPr>
          <w:rFonts w:hint="eastAsia" w:ascii="宋体" w:hAnsi="宋体" w:cs="宋体"/>
          <w:szCs w:val="21"/>
        </w:rPr>
      </w:pPr>
      <w:r>
        <w:rPr>
          <w:rFonts w:hint="eastAsia" w:ascii="宋体" w:hAnsi="宋体" w:cs="宋体"/>
          <w:szCs w:val="21"/>
        </w:rPr>
        <w:t>2.供应商的法定代表人或者授权代表的签字或盖章应真实、有效，如由授权代表签字或盖章的，应提供“法定代表人授权书”。</w:t>
      </w:r>
    </w:p>
    <w:p w14:paraId="432C6586">
      <w:pPr>
        <w:pStyle w:val="2"/>
        <w:spacing w:beforeAutospacing="0" w:afterAutospacing="0" w:line="460" w:lineRule="atLeast"/>
        <w:jc w:val="both"/>
        <w:rPr>
          <w:rFonts w:hint="eastAsia"/>
          <w:b/>
          <w:bCs/>
          <w:sz w:val="28"/>
          <w:szCs w:val="28"/>
        </w:rPr>
        <w:sectPr>
          <w:pgSz w:w="11906" w:h="16838"/>
          <w:pgMar w:top="1417" w:right="1474" w:bottom="1417" w:left="1474" w:header="851" w:footer="624" w:gutter="0"/>
          <w:cols w:space="720" w:num="1"/>
          <w:docGrid w:type="lines" w:linePitch="319" w:charSpace="0"/>
        </w:sectPr>
      </w:pPr>
    </w:p>
    <w:p w14:paraId="193F9B07">
      <w:pPr>
        <w:pStyle w:val="11"/>
        <w:snapToGrid w:val="0"/>
        <w:spacing w:before="20" w:after="20" w:line="360" w:lineRule="auto"/>
        <w:jc w:val="center"/>
        <w:rPr>
          <w:rFonts w:hint="eastAsia" w:ascii="宋体" w:hAnsi="宋体" w:eastAsia="宋体" w:cs="宋体"/>
        </w:rPr>
      </w:pPr>
      <w:bookmarkStart w:id="102" w:name="_Toc25094"/>
      <w:bookmarkStart w:id="103" w:name="_Toc31685"/>
      <w:bookmarkStart w:id="104" w:name="_Toc23394"/>
      <w:r>
        <w:rPr>
          <w:rFonts w:hint="eastAsia" w:ascii="宋体" w:hAnsi="宋体" w:eastAsia="宋体" w:cs="宋体"/>
        </w:rPr>
        <w:t>供应商认为有必要的其他资料</w:t>
      </w:r>
      <w:bookmarkEnd w:id="102"/>
      <w:bookmarkEnd w:id="103"/>
      <w:bookmarkEnd w:id="104"/>
    </w:p>
    <w:p w14:paraId="382B0AC0">
      <w:pPr>
        <w:widowControl/>
        <w:spacing w:line="360" w:lineRule="auto"/>
        <w:ind w:firstLine="420" w:firstLineChars="200"/>
        <w:jc w:val="left"/>
        <w:rPr>
          <w:rFonts w:hint="eastAsia" w:ascii="宋体" w:hAnsi="宋体" w:cs="宋体"/>
          <w:kern w:val="0"/>
          <w:sz w:val="24"/>
        </w:rPr>
      </w:pPr>
      <w:r>
        <w:rPr>
          <w:rFonts w:hint="eastAsia" w:ascii="宋体" w:hAnsi="宋体" w:cs="宋体"/>
          <w:kern w:val="0"/>
          <w:szCs w:val="21"/>
        </w:rPr>
        <w:t>备注：供应商应当仔细核对采购文件中有关废标条款和评标标准，提供供应商认为应当附加的其它内容，以充分证明其投标符合采购文件规定，并为评标提供充分依据。如果供应商未能提供相关证明文件，将有可能导致废标或者无法得分。</w:t>
      </w:r>
    </w:p>
    <w:p w14:paraId="66482BDC">
      <w:pPr>
        <w:pStyle w:val="2"/>
        <w:spacing w:beforeAutospacing="0" w:afterAutospacing="0" w:line="460" w:lineRule="atLeast"/>
        <w:jc w:val="both"/>
        <w:rPr>
          <w:rFonts w:hint="eastAsia"/>
          <w:b/>
          <w:bCs/>
          <w:sz w:val="28"/>
          <w:szCs w:val="28"/>
        </w:rPr>
      </w:pPr>
    </w:p>
    <w:sectPr>
      <w:pgSz w:w="11906" w:h="16838"/>
      <w:pgMar w:top="1417" w:right="1474" w:bottom="1417" w:left="1474" w:header="851" w:footer="62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AB8CD">
    <w:pPr>
      <w:pStyle w:val="25"/>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4AA7017">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4AA7017">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7423334"/>
    </w:sdtPr>
    <w:sdtContent>
      <w:p w14:paraId="3440FBAC">
        <w:pPr>
          <w:pStyle w:val="25"/>
          <w:jc w:val="center"/>
        </w:pPr>
        <w:r>
          <w:fldChar w:fldCharType="begin"/>
        </w:r>
        <w:r>
          <w:instrText xml:space="preserve">PAGE   \* MERGEFORMAT</w:instrText>
        </w:r>
        <w:r>
          <w:fldChar w:fldCharType="separate"/>
        </w:r>
        <w:r>
          <w:rPr>
            <w:lang w:val="zh-CN"/>
          </w:rPr>
          <w:t>2</w:t>
        </w:r>
        <w:r>
          <w:fldChar w:fldCharType="end"/>
        </w:r>
      </w:p>
    </w:sdtContent>
  </w:sdt>
  <w:p w14:paraId="3C03C223">
    <w:pPr>
      <w:spacing w:line="179" w:lineRule="auto"/>
      <w:ind w:left="4501"/>
      <w:rPr>
        <w:rFonts w:eastAsiaTheme="minorEastAsia"/>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6CF49">
    <w:pPr>
      <w:pStyle w:val="25"/>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4B004DDE">
                          <w:pPr>
                            <w:pStyle w:val="25"/>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4B004DDE">
                    <w:pPr>
                      <w:pStyle w:val="25"/>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7D2AFC9B">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67045">
    <w:pPr>
      <w:pStyle w:val="27"/>
      <w:jc w:val="right"/>
    </w:pPr>
    <w:r>
      <w:rPr>
        <w:rFonts w:hint="eastAsia" w:ascii="宋体" w:hAnsi="宋体" w:cs="宋体"/>
        <w:szCs w:val="21"/>
        <w:shd w:val="clear" w:color="auto" w:fill="FFFFFF"/>
      </w:rPr>
      <w:t>驻马店市中心医院DSA环评服务项目采购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B771A0"/>
    <w:multiLevelType w:val="multilevel"/>
    <w:tmpl w:val="44B771A0"/>
    <w:lvl w:ilvl="0" w:tentative="0">
      <w:start w:val="1"/>
      <w:numFmt w:val="japaneseCounting"/>
      <w:lvlText w:val="%1、"/>
      <w:lvlJc w:val="left"/>
      <w:pPr>
        <w:ind w:left="450" w:hanging="45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9B6410A"/>
    <w:multiLevelType w:val="singleLevel"/>
    <w:tmpl w:val="59B6410A"/>
    <w:lvl w:ilvl="0" w:tentative="0">
      <w:start w:val="1"/>
      <w:numFmt w:val="decimal"/>
      <w:suff w:val="nothing"/>
      <w:lvlText w:val="（%1）"/>
      <w:lvlJc w:val="left"/>
    </w:lvl>
  </w:abstractNum>
  <w:abstractNum w:abstractNumId="2">
    <w:nsid w:val="6342ABC6"/>
    <w:multiLevelType w:val="singleLevel"/>
    <w:tmpl w:val="6342ABC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686A"/>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43C"/>
    <w:rsid w:val="00092B31"/>
    <w:rsid w:val="00097532"/>
    <w:rsid w:val="00097E42"/>
    <w:rsid w:val="000A0B1B"/>
    <w:rsid w:val="000A126A"/>
    <w:rsid w:val="000A16B7"/>
    <w:rsid w:val="000A7088"/>
    <w:rsid w:val="000A78F6"/>
    <w:rsid w:val="000B0240"/>
    <w:rsid w:val="000B6531"/>
    <w:rsid w:val="000B772E"/>
    <w:rsid w:val="000C43E1"/>
    <w:rsid w:val="000C6342"/>
    <w:rsid w:val="000C653D"/>
    <w:rsid w:val="000C6986"/>
    <w:rsid w:val="000C6F01"/>
    <w:rsid w:val="000C73C9"/>
    <w:rsid w:val="000D0D98"/>
    <w:rsid w:val="000D44AD"/>
    <w:rsid w:val="000D72E6"/>
    <w:rsid w:val="000E252C"/>
    <w:rsid w:val="000E499C"/>
    <w:rsid w:val="000E6B87"/>
    <w:rsid w:val="000E6D3C"/>
    <w:rsid w:val="000F035B"/>
    <w:rsid w:val="000F2100"/>
    <w:rsid w:val="000F47F4"/>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3EDB"/>
    <w:rsid w:val="001641C5"/>
    <w:rsid w:val="001656CE"/>
    <w:rsid w:val="00166B7C"/>
    <w:rsid w:val="00170488"/>
    <w:rsid w:val="00171081"/>
    <w:rsid w:val="00171DC4"/>
    <w:rsid w:val="00172A27"/>
    <w:rsid w:val="001743D2"/>
    <w:rsid w:val="001756D5"/>
    <w:rsid w:val="00176116"/>
    <w:rsid w:val="00176541"/>
    <w:rsid w:val="001804E5"/>
    <w:rsid w:val="001809B6"/>
    <w:rsid w:val="00180A78"/>
    <w:rsid w:val="00181303"/>
    <w:rsid w:val="00183B61"/>
    <w:rsid w:val="00184612"/>
    <w:rsid w:val="001866AC"/>
    <w:rsid w:val="00190212"/>
    <w:rsid w:val="00192E94"/>
    <w:rsid w:val="00193782"/>
    <w:rsid w:val="001A1F77"/>
    <w:rsid w:val="001A4A26"/>
    <w:rsid w:val="001A6057"/>
    <w:rsid w:val="001A63D5"/>
    <w:rsid w:val="001B03C1"/>
    <w:rsid w:val="001B4D8E"/>
    <w:rsid w:val="001B6482"/>
    <w:rsid w:val="001C08A9"/>
    <w:rsid w:val="001D0E22"/>
    <w:rsid w:val="001D414F"/>
    <w:rsid w:val="001D4D3C"/>
    <w:rsid w:val="001D507B"/>
    <w:rsid w:val="001D784A"/>
    <w:rsid w:val="001D7D80"/>
    <w:rsid w:val="001E3D17"/>
    <w:rsid w:val="001E50E4"/>
    <w:rsid w:val="001F28DD"/>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53C98"/>
    <w:rsid w:val="002727E2"/>
    <w:rsid w:val="00275597"/>
    <w:rsid w:val="002818DD"/>
    <w:rsid w:val="00281F28"/>
    <w:rsid w:val="00286921"/>
    <w:rsid w:val="0028704B"/>
    <w:rsid w:val="00290A62"/>
    <w:rsid w:val="002912E9"/>
    <w:rsid w:val="00297DDD"/>
    <w:rsid w:val="002A6EF5"/>
    <w:rsid w:val="002B0A49"/>
    <w:rsid w:val="002B151E"/>
    <w:rsid w:val="002B1F1B"/>
    <w:rsid w:val="002B1F8A"/>
    <w:rsid w:val="002B2104"/>
    <w:rsid w:val="002B21DB"/>
    <w:rsid w:val="002B2A18"/>
    <w:rsid w:val="002B2FF2"/>
    <w:rsid w:val="002B384F"/>
    <w:rsid w:val="002B39C1"/>
    <w:rsid w:val="002B4688"/>
    <w:rsid w:val="002B556E"/>
    <w:rsid w:val="002B59AF"/>
    <w:rsid w:val="002B6028"/>
    <w:rsid w:val="002B6EEC"/>
    <w:rsid w:val="002C08DB"/>
    <w:rsid w:val="002C318F"/>
    <w:rsid w:val="002C59F0"/>
    <w:rsid w:val="002D1344"/>
    <w:rsid w:val="002D28E7"/>
    <w:rsid w:val="002D38D8"/>
    <w:rsid w:val="002D5AB8"/>
    <w:rsid w:val="002D694B"/>
    <w:rsid w:val="002D700F"/>
    <w:rsid w:val="002D7301"/>
    <w:rsid w:val="002D7928"/>
    <w:rsid w:val="002E132A"/>
    <w:rsid w:val="002E1ED0"/>
    <w:rsid w:val="002E22CA"/>
    <w:rsid w:val="002E62DB"/>
    <w:rsid w:val="002F0B3C"/>
    <w:rsid w:val="002F0CC5"/>
    <w:rsid w:val="002F4F94"/>
    <w:rsid w:val="002F52A8"/>
    <w:rsid w:val="0030109F"/>
    <w:rsid w:val="00302A40"/>
    <w:rsid w:val="00317528"/>
    <w:rsid w:val="00321BAA"/>
    <w:rsid w:val="003251B4"/>
    <w:rsid w:val="00333A21"/>
    <w:rsid w:val="00333A29"/>
    <w:rsid w:val="0034106D"/>
    <w:rsid w:val="003506C4"/>
    <w:rsid w:val="003534C9"/>
    <w:rsid w:val="00353F83"/>
    <w:rsid w:val="003559F8"/>
    <w:rsid w:val="00356B57"/>
    <w:rsid w:val="00360373"/>
    <w:rsid w:val="003634AB"/>
    <w:rsid w:val="00365DBF"/>
    <w:rsid w:val="00370152"/>
    <w:rsid w:val="00373382"/>
    <w:rsid w:val="0037426D"/>
    <w:rsid w:val="00374559"/>
    <w:rsid w:val="0037549E"/>
    <w:rsid w:val="0037721E"/>
    <w:rsid w:val="00380986"/>
    <w:rsid w:val="003824B3"/>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3D6C"/>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21F3"/>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BD1"/>
    <w:rsid w:val="00491CFF"/>
    <w:rsid w:val="00494AE3"/>
    <w:rsid w:val="004A285F"/>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16C"/>
    <w:rsid w:val="00512A1F"/>
    <w:rsid w:val="0052151F"/>
    <w:rsid w:val="005226EE"/>
    <w:rsid w:val="00524147"/>
    <w:rsid w:val="00525D5A"/>
    <w:rsid w:val="0052705E"/>
    <w:rsid w:val="00527303"/>
    <w:rsid w:val="00527449"/>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6B5"/>
    <w:rsid w:val="00657B85"/>
    <w:rsid w:val="00662038"/>
    <w:rsid w:val="00662F1B"/>
    <w:rsid w:val="00663912"/>
    <w:rsid w:val="00665B74"/>
    <w:rsid w:val="00666E46"/>
    <w:rsid w:val="00672AF1"/>
    <w:rsid w:val="006733F1"/>
    <w:rsid w:val="00674B7B"/>
    <w:rsid w:val="006774B7"/>
    <w:rsid w:val="00681340"/>
    <w:rsid w:val="00681E00"/>
    <w:rsid w:val="00681EFA"/>
    <w:rsid w:val="00683BD4"/>
    <w:rsid w:val="006901E3"/>
    <w:rsid w:val="00694D1A"/>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51C7"/>
    <w:rsid w:val="006E7834"/>
    <w:rsid w:val="006F1887"/>
    <w:rsid w:val="006F1C0B"/>
    <w:rsid w:val="006F2533"/>
    <w:rsid w:val="006F36C9"/>
    <w:rsid w:val="006F3FF8"/>
    <w:rsid w:val="006F5EBB"/>
    <w:rsid w:val="006F6D76"/>
    <w:rsid w:val="00700968"/>
    <w:rsid w:val="00715942"/>
    <w:rsid w:val="00717D28"/>
    <w:rsid w:val="00717D7C"/>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011"/>
    <w:rsid w:val="00756A8B"/>
    <w:rsid w:val="007635C6"/>
    <w:rsid w:val="00766B59"/>
    <w:rsid w:val="0076783A"/>
    <w:rsid w:val="00770296"/>
    <w:rsid w:val="0077380E"/>
    <w:rsid w:val="00774041"/>
    <w:rsid w:val="00776A44"/>
    <w:rsid w:val="007819D5"/>
    <w:rsid w:val="00784D17"/>
    <w:rsid w:val="007855DC"/>
    <w:rsid w:val="007907C7"/>
    <w:rsid w:val="00791C0A"/>
    <w:rsid w:val="007A1ABC"/>
    <w:rsid w:val="007A1BDB"/>
    <w:rsid w:val="007A393C"/>
    <w:rsid w:val="007A7CCF"/>
    <w:rsid w:val="007B2EDA"/>
    <w:rsid w:val="007B4516"/>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41A"/>
    <w:rsid w:val="008509F0"/>
    <w:rsid w:val="00853408"/>
    <w:rsid w:val="008553A0"/>
    <w:rsid w:val="00862B84"/>
    <w:rsid w:val="008639A5"/>
    <w:rsid w:val="00864F88"/>
    <w:rsid w:val="008715A4"/>
    <w:rsid w:val="008717DC"/>
    <w:rsid w:val="008757D7"/>
    <w:rsid w:val="00880AFB"/>
    <w:rsid w:val="0088168B"/>
    <w:rsid w:val="00881F4C"/>
    <w:rsid w:val="008821B7"/>
    <w:rsid w:val="00882C3F"/>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2D02"/>
    <w:rsid w:val="009659CB"/>
    <w:rsid w:val="00966ECA"/>
    <w:rsid w:val="00967B87"/>
    <w:rsid w:val="009717CE"/>
    <w:rsid w:val="00975858"/>
    <w:rsid w:val="009808B9"/>
    <w:rsid w:val="00980E18"/>
    <w:rsid w:val="009814D9"/>
    <w:rsid w:val="00990484"/>
    <w:rsid w:val="00991ADF"/>
    <w:rsid w:val="009923FC"/>
    <w:rsid w:val="00992B89"/>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620"/>
    <w:rsid w:val="009E0962"/>
    <w:rsid w:val="009E0C76"/>
    <w:rsid w:val="009E0FBD"/>
    <w:rsid w:val="009E79A7"/>
    <w:rsid w:val="009F07C2"/>
    <w:rsid w:val="009F4C0F"/>
    <w:rsid w:val="00A02455"/>
    <w:rsid w:val="00A024E5"/>
    <w:rsid w:val="00A027B8"/>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679D8"/>
    <w:rsid w:val="00A7048A"/>
    <w:rsid w:val="00A70F9F"/>
    <w:rsid w:val="00A7567E"/>
    <w:rsid w:val="00A771FC"/>
    <w:rsid w:val="00A77547"/>
    <w:rsid w:val="00A776A7"/>
    <w:rsid w:val="00A811B1"/>
    <w:rsid w:val="00A840B0"/>
    <w:rsid w:val="00A842D5"/>
    <w:rsid w:val="00A87569"/>
    <w:rsid w:val="00A9022C"/>
    <w:rsid w:val="00A906A4"/>
    <w:rsid w:val="00A90A32"/>
    <w:rsid w:val="00A92654"/>
    <w:rsid w:val="00A9622A"/>
    <w:rsid w:val="00A965DA"/>
    <w:rsid w:val="00AA16BA"/>
    <w:rsid w:val="00AA2C6F"/>
    <w:rsid w:val="00AA53A8"/>
    <w:rsid w:val="00AA6A35"/>
    <w:rsid w:val="00AA6C76"/>
    <w:rsid w:val="00AA721E"/>
    <w:rsid w:val="00AB0080"/>
    <w:rsid w:val="00AB0CF3"/>
    <w:rsid w:val="00AB1F09"/>
    <w:rsid w:val="00AB4031"/>
    <w:rsid w:val="00AB4C61"/>
    <w:rsid w:val="00AB4FE8"/>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765EB"/>
    <w:rsid w:val="00B8080C"/>
    <w:rsid w:val="00B822BE"/>
    <w:rsid w:val="00B84F51"/>
    <w:rsid w:val="00B92A8B"/>
    <w:rsid w:val="00B93759"/>
    <w:rsid w:val="00BA1348"/>
    <w:rsid w:val="00BA2782"/>
    <w:rsid w:val="00BA4A4B"/>
    <w:rsid w:val="00BA5CF4"/>
    <w:rsid w:val="00BA6B20"/>
    <w:rsid w:val="00BA758E"/>
    <w:rsid w:val="00BB0E9F"/>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38E7"/>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296"/>
    <w:rsid w:val="00D7434F"/>
    <w:rsid w:val="00D74FBF"/>
    <w:rsid w:val="00D75153"/>
    <w:rsid w:val="00D836FD"/>
    <w:rsid w:val="00D908DF"/>
    <w:rsid w:val="00D90CE5"/>
    <w:rsid w:val="00D91BFF"/>
    <w:rsid w:val="00D92E03"/>
    <w:rsid w:val="00D955C8"/>
    <w:rsid w:val="00D95A7C"/>
    <w:rsid w:val="00D97115"/>
    <w:rsid w:val="00DA47D9"/>
    <w:rsid w:val="00DA61DA"/>
    <w:rsid w:val="00DA6398"/>
    <w:rsid w:val="00DB3E61"/>
    <w:rsid w:val="00DB49B6"/>
    <w:rsid w:val="00DB6D4C"/>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0749"/>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0CE"/>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02D"/>
    <w:rsid w:val="00EC7303"/>
    <w:rsid w:val="00EC7A5B"/>
    <w:rsid w:val="00EC7F0B"/>
    <w:rsid w:val="00ED4C1C"/>
    <w:rsid w:val="00ED53C6"/>
    <w:rsid w:val="00ED6DDC"/>
    <w:rsid w:val="00EE3B37"/>
    <w:rsid w:val="00EE587A"/>
    <w:rsid w:val="00EE76CE"/>
    <w:rsid w:val="00EE7F59"/>
    <w:rsid w:val="00EF1189"/>
    <w:rsid w:val="00EF217F"/>
    <w:rsid w:val="00F04815"/>
    <w:rsid w:val="00F10A0C"/>
    <w:rsid w:val="00F12C86"/>
    <w:rsid w:val="00F13026"/>
    <w:rsid w:val="00F202C7"/>
    <w:rsid w:val="00F21CDF"/>
    <w:rsid w:val="00F25755"/>
    <w:rsid w:val="00F26633"/>
    <w:rsid w:val="00F278E5"/>
    <w:rsid w:val="00F303A6"/>
    <w:rsid w:val="00F307E9"/>
    <w:rsid w:val="00F31895"/>
    <w:rsid w:val="00F3285E"/>
    <w:rsid w:val="00F32E5B"/>
    <w:rsid w:val="00F34CF8"/>
    <w:rsid w:val="00F3568E"/>
    <w:rsid w:val="00F407A8"/>
    <w:rsid w:val="00F41E77"/>
    <w:rsid w:val="00F44D67"/>
    <w:rsid w:val="00F45EB1"/>
    <w:rsid w:val="00F51957"/>
    <w:rsid w:val="00F525F5"/>
    <w:rsid w:val="00F52F8B"/>
    <w:rsid w:val="00F63312"/>
    <w:rsid w:val="00F65557"/>
    <w:rsid w:val="00F67593"/>
    <w:rsid w:val="00F72A47"/>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D715BE"/>
    <w:rsid w:val="01EB45BC"/>
    <w:rsid w:val="01EE7C08"/>
    <w:rsid w:val="01F04981"/>
    <w:rsid w:val="01F9035B"/>
    <w:rsid w:val="01FA63A5"/>
    <w:rsid w:val="01FA65AD"/>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D92EF7"/>
    <w:rsid w:val="02DA4665"/>
    <w:rsid w:val="02F40325"/>
    <w:rsid w:val="02FA082F"/>
    <w:rsid w:val="02FE20CD"/>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E33071"/>
    <w:rsid w:val="03F447E2"/>
    <w:rsid w:val="03F77068"/>
    <w:rsid w:val="03FB660C"/>
    <w:rsid w:val="042E37DB"/>
    <w:rsid w:val="04416C20"/>
    <w:rsid w:val="04732647"/>
    <w:rsid w:val="047968B1"/>
    <w:rsid w:val="04870542"/>
    <w:rsid w:val="04B30F7A"/>
    <w:rsid w:val="04CC1D57"/>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122C49"/>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800C7C"/>
    <w:rsid w:val="088A7F5F"/>
    <w:rsid w:val="08BC0A60"/>
    <w:rsid w:val="08C52D6F"/>
    <w:rsid w:val="08C94F2B"/>
    <w:rsid w:val="08E42BE4"/>
    <w:rsid w:val="08EF0201"/>
    <w:rsid w:val="08F41DE8"/>
    <w:rsid w:val="093D1475"/>
    <w:rsid w:val="094840A2"/>
    <w:rsid w:val="09644C54"/>
    <w:rsid w:val="09737462"/>
    <w:rsid w:val="099156C3"/>
    <w:rsid w:val="09A33F5B"/>
    <w:rsid w:val="09A53F39"/>
    <w:rsid w:val="09A60E13"/>
    <w:rsid w:val="09A82D92"/>
    <w:rsid w:val="09AB2883"/>
    <w:rsid w:val="09CD0A4B"/>
    <w:rsid w:val="09D206F0"/>
    <w:rsid w:val="0A067AB9"/>
    <w:rsid w:val="0A13455E"/>
    <w:rsid w:val="0A321AC2"/>
    <w:rsid w:val="0A343D4E"/>
    <w:rsid w:val="0A344626"/>
    <w:rsid w:val="0A3E6D2E"/>
    <w:rsid w:val="0A4232E4"/>
    <w:rsid w:val="0A4F145F"/>
    <w:rsid w:val="0A8455AD"/>
    <w:rsid w:val="0A8729A8"/>
    <w:rsid w:val="0AD13A85"/>
    <w:rsid w:val="0AE0655C"/>
    <w:rsid w:val="0B091954"/>
    <w:rsid w:val="0B195776"/>
    <w:rsid w:val="0B1A7CC0"/>
    <w:rsid w:val="0B34773E"/>
    <w:rsid w:val="0B3A32E6"/>
    <w:rsid w:val="0B3B7D65"/>
    <w:rsid w:val="0B434C20"/>
    <w:rsid w:val="0B5F0822"/>
    <w:rsid w:val="0B637D77"/>
    <w:rsid w:val="0B6C3D24"/>
    <w:rsid w:val="0B7006C4"/>
    <w:rsid w:val="0B726646"/>
    <w:rsid w:val="0B7606E8"/>
    <w:rsid w:val="0B8B471A"/>
    <w:rsid w:val="0B924545"/>
    <w:rsid w:val="0BAC324F"/>
    <w:rsid w:val="0BB84F4E"/>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AD06C0"/>
    <w:rsid w:val="0CC53C5B"/>
    <w:rsid w:val="0CC72121"/>
    <w:rsid w:val="0CEE5A21"/>
    <w:rsid w:val="0D05268E"/>
    <w:rsid w:val="0D0646E7"/>
    <w:rsid w:val="0D0C38CA"/>
    <w:rsid w:val="0D206810"/>
    <w:rsid w:val="0D4861FD"/>
    <w:rsid w:val="0D554FDF"/>
    <w:rsid w:val="0D6A0A82"/>
    <w:rsid w:val="0D735465"/>
    <w:rsid w:val="0DC577E0"/>
    <w:rsid w:val="0DDC6319"/>
    <w:rsid w:val="0DE1181F"/>
    <w:rsid w:val="0DFE4F67"/>
    <w:rsid w:val="0E0C0D4C"/>
    <w:rsid w:val="0E115DA1"/>
    <w:rsid w:val="0E1409F6"/>
    <w:rsid w:val="0E162D6D"/>
    <w:rsid w:val="0E460DCC"/>
    <w:rsid w:val="0E541CA2"/>
    <w:rsid w:val="0E594756"/>
    <w:rsid w:val="0E95596D"/>
    <w:rsid w:val="0EAE6205"/>
    <w:rsid w:val="0EAE6579"/>
    <w:rsid w:val="0EAF71BF"/>
    <w:rsid w:val="0EB16245"/>
    <w:rsid w:val="0ECE6257"/>
    <w:rsid w:val="0EE4129D"/>
    <w:rsid w:val="0F171032"/>
    <w:rsid w:val="0F335E69"/>
    <w:rsid w:val="0F372614"/>
    <w:rsid w:val="0F3D59C9"/>
    <w:rsid w:val="0F516D5A"/>
    <w:rsid w:val="0F565B36"/>
    <w:rsid w:val="0F684933"/>
    <w:rsid w:val="0F694D72"/>
    <w:rsid w:val="0F6E2388"/>
    <w:rsid w:val="0F713C26"/>
    <w:rsid w:val="0F821E7D"/>
    <w:rsid w:val="0FC91CB4"/>
    <w:rsid w:val="0FCA42ED"/>
    <w:rsid w:val="0FDB5F4F"/>
    <w:rsid w:val="0FE7592C"/>
    <w:rsid w:val="0FFC17A5"/>
    <w:rsid w:val="0FFD20F0"/>
    <w:rsid w:val="10142F30"/>
    <w:rsid w:val="102F7D69"/>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43BFC"/>
    <w:rsid w:val="1196056D"/>
    <w:rsid w:val="11B85B3D"/>
    <w:rsid w:val="11CD20A0"/>
    <w:rsid w:val="11D34654"/>
    <w:rsid w:val="11E52EFE"/>
    <w:rsid w:val="12010480"/>
    <w:rsid w:val="120E707F"/>
    <w:rsid w:val="121D0051"/>
    <w:rsid w:val="12412AA1"/>
    <w:rsid w:val="12413D84"/>
    <w:rsid w:val="124F79E4"/>
    <w:rsid w:val="1274067F"/>
    <w:rsid w:val="127A7D1C"/>
    <w:rsid w:val="12836D8B"/>
    <w:rsid w:val="12993BC0"/>
    <w:rsid w:val="12AB0349"/>
    <w:rsid w:val="12B66520"/>
    <w:rsid w:val="12BE7183"/>
    <w:rsid w:val="12CD57F1"/>
    <w:rsid w:val="12CE5941"/>
    <w:rsid w:val="12CE7AFA"/>
    <w:rsid w:val="12CF1390"/>
    <w:rsid w:val="12D67466"/>
    <w:rsid w:val="12DC5736"/>
    <w:rsid w:val="12FE7EC7"/>
    <w:rsid w:val="13036052"/>
    <w:rsid w:val="13272A5D"/>
    <w:rsid w:val="132A2A6A"/>
    <w:rsid w:val="133C40E3"/>
    <w:rsid w:val="13410069"/>
    <w:rsid w:val="13493108"/>
    <w:rsid w:val="134A4EBA"/>
    <w:rsid w:val="13556AB7"/>
    <w:rsid w:val="13713CFE"/>
    <w:rsid w:val="13733928"/>
    <w:rsid w:val="13741F37"/>
    <w:rsid w:val="13857CA0"/>
    <w:rsid w:val="13920D68"/>
    <w:rsid w:val="139C16C9"/>
    <w:rsid w:val="13A5238E"/>
    <w:rsid w:val="13A72C43"/>
    <w:rsid w:val="13B63CE1"/>
    <w:rsid w:val="13BC6684"/>
    <w:rsid w:val="13C06F2A"/>
    <w:rsid w:val="13C72B3A"/>
    <w:rsid w:val="13D12EE6"/>
    <w:rsid w:val="13DF575E"/>
    <w:rsid w:val="13E470BD"/>
    <w:rsid w:val="13EE3A98"/>
    <w:rsid w:val="13F3280A"/>
    <w:rsid w:val="142123F7"/>
    <w:rsid w:val="142A11D8"/>
    <w:rsid w:val="14353475"/>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096967"/>
    <w:rsid w:val="161D09ED"/>
    <w:rsid w:val="162323A3"/>
    <w:rsid w:val="162F30B1"/>
    <w:rsid w:val="163E5980"/>
    <w:rsid w:val="16412E71"/>
    <w:rsid w:val="16473933"/>
    <w:rsid w:val="1650762F"/>
    <w:rsid w:val="16510F12"/>
    <w:rsid w:val="166448F9"/>
    <w:rsid w:val="1677211D"/>
    <w:rsid w:val="16774218"/>
    <w:rsid w:val="167954F9"/>
    <w:rsid w:val="169C5A2D"/>
    <w:rsid w:val="169F7296"/>
    <w:rsid w:val="16A060BA"/>
    <w:rsid w:val="16A57EAF"/>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EE5BFF"/>
    <w:rsid w:val="18097740"/>
    <w:rsid w:val="18136133"/>
    <w:rsid w:val="1825166D"/>
    <w:rsid w:val="184055B9"/>
    <w:rsid w:val="184A2082"/>
    <w:rsid w:val="185D3C42"/>
    <w:rsid w:val="185F38AF"/>
    <w:rsid w:val="188F0211"/>
    <w:rsid w:val="18AD1BEB"/>
    <w:rsid w:val="18B3004A"/>
    <w:rsid w:val="18B31B6D"/>
    <w:rsid w:val="18B96080"/>
    <w:rsid w:val="18CE20EA"/>
    <w:rsid w:val="18DB2CD8"/>
    <w:rsid w:val="18ED6A14"/>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A125525"/>
    <w:rsid w:val="1A4268EB"/>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5519F1"/>
    <w:rsid w:val="1B6573E8"/>
    <w:rsid w:val="1B6922A5"/>
    <w:rsid w:val="1B721452"/>
    <w:rsid w:val="1B8C18B7"/>
    <w:rsid w:val="1BB73AE1"/>
    <w:rsid w:val="1BDA6D68"/>
    <w:rsid w:val="1BF14125"/>
    <w:rsid w:val="1C002CEE"/>
    <w:rsid w:val="1C2F10F1"/>
    <w:rsid w:val="1C4032FE"/>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DEF0B38"/>
    <w:rsid w:val="1E0345E3"/>
    <w:rsid w:val="1E0F0715"/>
    <w:rsid w:val="1E1B7B7F"/>
    <w:rsid w:val="1E220F0E"/>
    <w:rsid w:val="1E443370"/>
    <w:rsid w:val="1E504E6B"/>
    <w:rsid w:val="1E656063"/>
    <w:rsid w:val="1E6B06A5"/>
    <w:rsid w:val="1E7554E1"/>
    <w:rsid w:val="1E7F7D9E"/>
    <w:rsid w:val="1E8047B2"/>
    <w:rsid w:val="1E840DA4"/>
    <w:rsid w:val="1EA41923"/>
    <w:rsid w:val="1EA5444C"/>
    <w:rsid w:val="1EB350EF"/>
    <w:rsid w:val="1EC21749"/>
    <w:rsid w:val="1EE844E0"/>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BE47F2"/>
    <w:rsid w:val="20EA3839"/>
    <w:rsid w:val="2100305C"/>
    <w:rsid w:val="210112AE"/>
    <w:rsid w:val="210F579E"/>
    <w:rsid w:val="21163FF0"/>
    <w:rsid w:val="211B39F2"/>
    <w:rsid w:val="212550B5"/>
    <w:rsid w:val="21592B62"/>
    <w:rsid w:val="2172049B"/>
    <w:rsid w:val="21747CD2"/>
    <w:rsid w:val="219263AA"/>
    <w:rsid w:val="219E5782"/>
    <w:rsid w:val="21D10545"/>
    <w:rsid w:val="21E72B0B"/>
    <w:rsid w:val="21E76A4A"/>
    <w:rsid w:val="21EE607E"/>
    <w:rsid w:val="21F66F4C"/>
    <w:rsid w:val="221F2D96"/>
    <w:rsid w:val="22246DB1"/>
    <w:rsid w:val="22440067"/>
    <w:rsid w:val="225A6017"/>
    <w:rsid w:val="225B679C"/>
    <w:rsid w:val="22631AF5"/>
    <w:rsid w:val="227710FC"/>
    <w:rsid w:val="227A5532"/>
    <w:rsid w:val="22843A03"/>
    <w:rsid w:val="228E5C2C"/>
    <w:rsid w:val="22995516"/>
    <w:rsid w:val="229B4DEB"/>
    <w:rsid w:val="22A338AB"/>
    <w:rsid w:val="22AD37A2"/>
    <w:rsid w:val="22B31E8A"/>
    <w:rsid w:val="22C05285"/>
    <w:rsid w:val="22C735BD"/>
    <w:rsid w:val="22CA56D0"/>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30A9D"/>
    <w:rsid w:val="23C4797E"/>
    <w:rsid w:val="23CD5478"/>
    <w:rsid w:val="23D4764B"/>
    <w:rsid w:val="23EC3718"/>
    <w:rsid w:val="23EE304F"/>
    <w:rsid w:val="23FE6B29"/>
    <w:rsid w:val="240243FC"/>
    <w:rsid w:val="24044EF2"/>
    <w:rsid w:val="2407139D"/>
    <w:rsid w:val="240B04F4"/>
    <w:rsid w:val="240E369A"/>
    <w:rsid w:val="241E2177"/>
    <w:rsid w:val="242A0646"/>
    <w:rsid w:val="2435301D"/>
    <w:rsid w:val="243A0633"/>
    <w:rsid w:val="243D6E1A"/>
    <w:rsid w:val="24453D05"/>
    <w:rsid w:val="244A2F6C"/>
    <w:rsid w:val="244A6AC8"/>
    <w:rsid w:val="24607F91"/>
    <w:rsid w:val="246C581B"/>
    <w:rsid w:val="247C52A2"/>
    <w:rsid w:val="24942917"/>
    <w:rsid w:val="24AE34FB"/>
    <w:rsid w:val="24B46637"/>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14925"/>
    <w:rsid w:val="25B87B65"/>
    <w:rsid w:val="25CB78C3"/>
    <w:rsid w:val="25D54390"/>
    <w:rsid w:val="25F5515A"/>
    <w:rsid w:val="261879A7"/>
    <w:rsid w:val="261A071C"/>
    <w:rsid w:val="26395046"/>
    <w:rsid w:val="264B0BA4"/>
    <w:rsid w:val="264F4111"/>
    <w:rsid w:val="265E0AEC"/>
    <w:rsid w:val="2661459D"/>
    <w:rsid w:val="268C5256"/>
    <w:rsid w:val="268E455B"/>
    <w:rsid w:val="26904BE0"/>
    <w:rsid w:val="26912B30"/>
    <w:rsid w:val="269772F0"/>
    <w:rsid w:val="26997893"/>
    <w:rsid w:val="26A30712"/>
    <w:rsid w:val="26AC0C27"/>
    <w:rsid w:val="26AF41D3"/>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54102"/>
    <w:rsid w:val="27565784"/>
    <w:rsid w:val="275E53AF"/>
    <w:rsid w:val="27606603"/>
    <w:rsid w:val="276658E8"/>
    <w:rsid w:val="276F4A9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81571"/>
    <w:rsid w:val="284C16F5"/>
    <w:rsid w:val="28570AB5"/>
    <w:rsid w:val="285F2CDC"/>
    <w:rsid w:val="28622C36"/>
    <w:rsid w:val="2869172C"/>
    <w:rsid w:val="288C2D07"/>
    <w:rsid w:val="289E7E22"/>
    <w:rsid w:val="28BC3D0D"/>
    <w:rsid w:val="28C2534B"/>
    <w:rsid w:val="28C5525A"/>
    <w:rsid w:val="28D14B96"/>
    <w:rsid w:val="28ED036A"/>
    <w:rsid w:val="29020C46"/>
    <w:rsid w:val="290240C7"/>
    <w:rsid w:val="29080D00"/>
    <w:rsid w:val="290D6316"/>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442150"/>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7B6FD3"/>
    <w:rsid w:val="2B7D3C27"/>
    <w:rsid w:val="2B8D373E"/>
    <w:rsid w:val="2B9E4F56"/>
    <w:rsid w:val="2BD96984"/>
    <w:rsid w:val="2BDB5A88"/>
    <w:rsid w:val="2BDB6BA0"/>
    <w:rsid w:val="2BE91C37"/>
    <w:rsid w:val="2BEC3F72"/>
    <w:rsid w:val="2C083572"/>
    <w:rsid w:val="2C185F94"/>
    <w:rsid w:val="2C1F1AC4"/>
    <w:rsid w:val="2C2945BA"/>
    <w:rsid w:val="2C2E71FC"/>
    <w:rsid w:val="2C387B4E"/>
    <w:rsid w:val="2C3F3A41"/>
    <w:rsid w:val="2C4431C4"/>
    <w:rsid w:val="2C55747C"/>
    <w:rsid w:val="2C62059F"/>
    <w:rsid w:val="2C626979"/>
    <w:rsid w:val="2C6634FA"/>
    <w:rsid w:val="2C7843EE"/>
    <w:rsid w:val="2CA25191"/>
    <w:rsid w:val="2CA451E4"/>
    <w:rsid w:val="2CAC022C"/>
    <w:rsid w:val="2CC11807"/>
    <w:rsid w:val="2CC66CD6"/>
    <w:rsid w:val="2CE327BC"/>
    <w:rsid w:val="2CF16074"/>
    <w:rsid w:val="2CF81D1B"/>
    <w:rsid w:val="2D3F2453"/>
    <w:rsid w:val="2D6F134E"/>
    <w:rsid w:val="2D835174"/>
    <w:rsid w:val="2D9331F9"/>
    <w:rsid w:val="2D947006"/>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30C6F"/>
    <w:rsid w:val="2E5C0A3D"/>
    <w:rsid w:val="2E742F70"/>
    <w:rsid w:val="2E9077CD"/>
    <w:rsid w:val="2E9574DA"/>
    <w:rsid w:val="2E9A689E"/>
    <w:rsid w:val="2ED31DB0"/>
    <w:rsid w:val="2ED61D9E"/>
    <w:rsid w:val="2EDC2A13"/>
    <w:rsid w:val="2EFD7DB9"/>
    <w:rsid w:val="2F1A081D"/>
    <w:rsid w:val="2F1C72B3"/>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0A35B0"/>
    <w:rsid w:val="3011153D"/>
    <w:rsid w:val="30142680"/>
    <w:rsid w:val="302567CF"/>
    <w:rsid w:val="302A11B1"/>
    <w:rsid w:val="302A5C42"/>
    <w:rsid w:val="30662043"/>
    <w:rsid w:val="306D3B35"/>
    <w:rsid w:val="307153DD"/>
    <w:rsid w:val="3083092C"/>
    <w:rsid w:val="30930D2E"/>
    <w:rsid w:val="30B8125D"/>
    <w:rsid w:val="30BF439A"/>
    <w:rsid w:val="30CD2F5B"/>
    <w:rsid w:val="30CF6A37"/>
    <w:rsid w:val="30D250CF"/>
    <w:rsid w:val="30E6401D"/>
    <w:rsid w:val="30E7260A"/>
    <w:rsid w:val="31002970"/>
    <w:rsid w:val="311016AD"/>
    <w:rsid w:val="311F752F"/>
    <w:rsid w:val="31220DA0"/>
    <w:rsid w:val="31253A1B"/>
    <w:rsid w:val="3136622A"/>
    <w:rsid w:val="31393501"/>
    <w:rsid w:val="3139422E"/>
    <w:rsid w:val="314857E8"/>
    <w:rsid w:val="31496359"/>
    <w:rsid w:val="314D19A6"/>
    <w:rsid w:val="31580A38"/>
    <w:rsid w:val="316177A4"/>
    <w:rsid w:val="316D3DF6"/>
    <w:rsid w:val="31700E4B"/>
    <w:rsid w:val="3172683C"/>
    <w:rsid w:val="318F773E"/>
    <w:rsid w:val="31A359FC"/>
    <w:rsid w:val="31AD0D61"/>
    <w:rsid w:val="31C205E6"/>
    <w:rsid w:val="31C42968"/>
    <w:rsid w:val="31CD297B"/>
    <w:rsid w:val="31CD73BD"/>
    <w:rsid w:val="31D66571"/>
    <w:rsid w:val="31DB4220"/>
    <w:rsid w:val="31DC56CD"/>
    <w:rsid w:val="31E63B94"/>
    <w:rsid w:val="31E75CF0"/>
    <w:rsid w:val="31F27AF7"/>
    <w:rsid w:val="31FA74CA"/>
    <w:rsid w:val="32176602"/>
    <w:rsid w:val="322A7699"/>
    <w:rsid w:val="322B25C6"/>
    <w:rsid w:val="32422E70"/>
    <w:rsid w:val="325E56C6"/>
    <w:rsid w:val="3275698A"/>
    <w:rsid w:val="327A0EC0"/>
    <w:rsid w:val="327C0679"/>
    <w:rsid w:val="32870EE7"/>
    <w:rsid w:val="32943B86"/>
    <w:rsid w:val="32A93829"/>
    <w:rsid w:val="32B943EC"/>
    <w:rsid w:val="32B9519B"/>
    <w:rsid w:val="32DC63A0"/>
    <w:rsid w:val="32E429C1"/>
    <w:rsid w:val="330503EE"/>
    <w:rsid w:val="330662B0"/>
    <w:rsid w:val="33274478"/>
    <w:rsid w:val="334045BE"/>
    <w:rsid w:val="334A3B2A"/>
    <w:rsid w:val="3365592E"/>
    <w:rsid w:val="336A31F3"/>
    <w:rsid w:val="336F6533"/>
    <w:rsid w:val="337E5E2F"/>
    <w:rsid w:val="3384610D"/>
    <w:rsid w:val="33AA5979"/>
    <w:rsid w:val="33C03E90"/>
    <w:rsid w:val="33C96649"/>
    <w:rsid w:val="33CC3D88"/>
    <w:rsid w:val="33D939C5"/>
    <w:rsid w:val="33DD0306"/>
    <w:rsid w:val="33EA3E24"/>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07CB7"/>
    <w:rsid w:val="35571045"/>
    <w:rsid w:val="356E46AA"/>
    <w:rsid w:val="357235B0"/>
    <w:rsid w:val="3578502D"/>
    <w:rsid w:val="3586192A"/>
    <w:rsid w:val="358625C7"/>
    <w:rsid w:val="35A815CB"/>
    <w:rsid w:val="35A85BD0"/>
    <w:rsid w:val="35AA1B9C"/>
    <w:rsid w:val="35D501BC"/>
    <w:rsid w:val="35DB09A6"/>
    <w:rsid w:val="35F5260C"/>
    <w:rsid w:val="36080591"/>
    <w:rsid w:val="3609472F"/>
    <w:rsid w:val="36203B2D"/>
    <w:rsid w:val="363E0457"/>
    <w:rsid w:val="364F0AEF"/>
    <w:rsid w:val="36557C1C"/>
    <w:rsid w:val="365B4B65"/>
    <w:rsid w:val="369B4CF0"/>
    <w:rsid w:val="36D62629"/>
    <w:rsid w:val="36D76172"/>
    <w:rsid w:val="36D84407"/>
    <w:rsid w:val="36E833BB"/>
    <w:rsid w:val="36EB1E1B"/>
    <w:rsid w:val="36F17F0D"/>
    <w:rsid w:val="36FB00F6"/>
    <w:rsid w:val="37103BA1"/>
    <w:rsid w:val="37224581"/>
    <w:rsid w:val="3735197D"/>
    <w:rsid w:val="373756A2"/>
    <w:rsid w:val="375E0DA6"/>
    <w:rsid w:val="377639AE"/>
    <w:rsid w:val="378142CB"/>
    <w:rsid w:val="378B61A6"/>
    <w:rsid w:val="379E11AD"/>
    <w:rsid w:val="37B90F0B"/>
    <w:rsid w:val="37CD3F98"/>
    <w:rsid w:val="37DF75BA"/>
    <w:rsid w:val="37E148E2"/>
    <w:rsid w:val="37F848EE"/>
    <w:rsid w:val="37F912FC"/>
    <w:rsid w:val="380D59EE"/>
    <w:rsid w:val="38233FA0"/>
    <w:rsid w:val="3826179D"/>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2E6561"/>
    <w:rsid w:val="39465F15"/>
    <w:rsid w:val="394A2C6F"/>
    <w:rsid w:val="39505209"/>
    <w:rsid w:val="396453C5"/>
    <w:rsid w:val="396B1563"/>
    <w:rsid w:val="39922CCF"/>
    <w:rsid w:val="39A24859"/>
    <w:rsid w:val="39A65327"/>
    <w:rsid w:val="39A65C9B"/>
    <w:rsid w:val="39BC5ED6"/>
    <w:rsid w:val="39D27231"/>
    <w:rsid w:val="39DF5AAD"/>
    <w:rsid w:val="39E82BB3"/>
    <w:rsid w:val="39EB39E0"/>
    <w:rsid w:val="39EF02D4"/>
    <w:rsid w:val="3A11342A"/>
    <w:rsid w:val="3A153110"/>
    <w:rsid w:val="3A2149EA"/>
    <w:rsid w:val="3A2507C0"/>
    <w:rsid w:val="3A285AD8"/>
    <w:rsid w:val="3A393FA7"/>
    <w:rsid w:val="3A3A5A22"/>
    <w:rsid w:val="3A485400"/>
    <w:rsid w:val="3A524858"/>
    <w:rsid w:val="3A64203E"/>
    <w:rsid w:val="3A663D00"/>
    <w:rsid w:val="3A7428D0"/>
    <w:rsid w:val="3A747EDD"/>
    <w:rsid w:val="3A7E52C6"/>
    <w:rsid w:val="3A7F09EA"/>
    <w:rsid w:val="3A923AE4"/>
    <w:rsid w:val="3AA50E25"/>
    <w:rsid w:val="3AC566E3"/>
    <w:rsid w:val="3AD6747A"/>
    <w:rsid w:val="3AD95C48"/>
    <w:rsid w:val="3ADF5D0A"/>
    <w:rsid w:val="3AFE01B5"/>
    <w:rsid w:val="3B312338"/>
    <w:rsid w:val="3B3C5B77"/>
    <w:rsid w:val="3B3D0FF2"/>
    <w:rsid w:val="3B501351"/>
    <w:rsid w:val="3B521A18"/>
    <w:rsid w:val="3B8D2B96"/>
    <w:rsid w:val="3B923660"/>
    <w:rsid w:val="3BC60CD2"/>
    <w:rsid w:val="3BCA44BE"/>
    <w:rsid w:val="3BF77780"/>
    <w:rsid w:val="3C061F3A"/>
    <w:rsid w:val="3C0A04F9"/>
    <w:rsid w:val="3C2974B3"/>
    <w:rsid w:val="3C495480"/>
    <w:rsid w:val="3C4C3A42"/>
    <w:rsid w:val="3C557EA4"/>
    <w:rsid w:val="3C6F0167"/>
    <w:rsid w:val="3C71667B"/>
    <w:rsid w:val="3C7C75E3"/>
    <w:rsid w:val="3C914F3B"/>
    <w:rsid w:val="3CB334BB"/>
    <w:rsid w:val="3CC17F13"/>
    <w:rsid w:val="3CD15B81"/>
    <w:rsid w:val="3CD50B40"/>
    <w:rsid w:val="3CE320A3"/>
    <w:rsid w:val="3CE9196C"/>
    <w:rsid w:val="3CF15105"/>
    <w:rsid w:val="3CF33D49"/>
    <w:rsid w:val="3D0C04B9"/>
    <w:rsid w:val="3D1414C5"/>
    <w:rsid w:val="3D1C4922"/>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135D25"/>
    <w:rsid w:val="3E1A106E"/>
    <w:rsid w:val="3E36303B"/>
    <w:rsid w:val="3E526044"/>
    <w:rsid w:val="3E5C591E"/>
    <w:rsid w:val="3E6C2B3A"/>
    <w:rsid w:val="3E832EAB"/>
    <w:rsid w:val="3E8C5311"/>
    <w:rsid w:val="3E8E7E55"/>
    <w:rsid w:val="3EB2553E"/>
    <w:rsid w:val="3EB61473"/>
    <w:rsid w:val="3EC033B6"/>
    <w:rsid w:val="3EC66011"/>
    <w:rsid w:val="3ED25BE0"/>
    <w:rsid w:val="3ED75B7F"/>
    <w:rsid w:val="3EF9316D"/>
    <w:rsid w:val="3F1104B7"/>
    <w:rsid w:val="3F315E6B"/>
    <w:rsid w:val="3F5175E2"/>
    <w:rsid w:val="3F56276A"/>
    <w:rsid w:val="3F6A5E19"/>
    <w:rsid w:val="3F6C10E0"/>
    <w:rsid w:val="3F963015"/>
    <w:rsid w:val="3F964D35"/>
    <w:rsid w:val="3FA327ED"/>
    <w:rsid w:val="3FB11738"/>
    <w:rsid w:val="3FB5581B"/>
    <w:rsid w:val="3FC33D05"/>
    <w:rsid w:val="3FF46B18"/>
    <w:rsid w:val="3FF74A2E"/>
    <w:rsid w:val="3FFC36E2"/>
    <w:rsid w:val="4005572D"/>
    <w:rsid w:val="402833BA"/>
    <w:rsid w:val="40283C2B"/>
    <w:rsid w:val="4033445D"/>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C7A58"/>
    <w:rsid w:val="424E1A22"/>
    <w:rsid w:val="425B5DD1"/>
    <w:rsid w:val="425F59DD"/>
    <w:rsid w:val="4260300C"/>
    <w:rsid w:val="42755200"/>
    <w:rsid w:val="42772802"/>
    <w:rsid w:val="427C799E"/>
    <w:rsid w:val="427F607F"/>
    <w:rsid w:val="42800B9B"/>
    <w:rsid w:val="4281223D"/>
    <w:rsid w:val="428E62C2"/>
    <w:rsid w:val="42976F25"/>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E95A32"/>
    <w:rsid w:val="44FB1C9C"/>
    <w:rsid w:val="45392A13"/>
    <w:rsid w:val="453E3FCF"/>
    <w:rsid w:val="4540363F"/>
    <w:rsid w:val="45455FF2"/>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BF7E28"/>
    <w:rsid w:val="46C3037C"/>
    <w:rsid w:val="46EF26BD"/>
    <w:rsid w:val="46FF15E0"/>
    <w:rsid w:val="4700581C"/>
    <w:rsid w:val="4702516A"/>
    <w:rsid w:val="4724600B"/>
    <w:rsid w:val="472E597E"/>
    <w:rsid w:val="473D3E13"/>
    <w:rsid w:val="474A4B33"/>
    <w:rsid w:val="47665A15"/>
    <w:rsid w:val="47677941"/>
    <w:rsid w:val="477F1660"/>
    <w:rsid w:val="4788232A"/>
    <w:rsid w:val="478A52AA"/>
    <w:rsid w:val="478B0398"/>
    <w:rsid w:val="478D6B48"/>
    <w:rsid w:val="478F5D0B"/>
    <w:rsid w:val="479D5A47"/>
    <w:rsid w:val="47A11E6C"/>
    <w:rsid w:val="47A31F5F"/>
    <w:rsid w:val="47A84BA6"/>
    <w:rsid w:val="47B52444"/>
    <w:rsid w:val="47B8724E"/>
    <w:rsid w:val="47BB625F"/>
    <w:rsid w:val="47E548D6"/>
    <w:rsid w:val="47ED7BCA"/>
    <w:rsid w:val="47EF3A41"/>
    <w:rsid w:val="47EF7816"/>
    <w:rsid w:val="48016F34"/>
    <w:rsid w:val="480556DB"/>
    <w:rsid w:val="48185C56"/>
    <w:rsid w:val="48254C34"/>
    <w:rsid w:val="48450F81"/>
    <w:rsid w:val="48455675"/>
    <w:rsid w:val="484E729D"/>
    <w:rsid w:val="48566773"/>
    <w:rsid w:val="485A23C2"/>
    <w:rsid w:val="48691107"/>
    <w:rsid w:val="48895289"/>
    <w:rsid w:val="48A16B62"/>
    <w:rsid w:val="48AE0D54"/>
    <w:rsid w:val="48BC6222"/>
    <w:rsid w:val="48C245E9"/>
    <w:rsid w:val="48DB312A"/>
    <w:rsid w:val="48DF49D9"/>
    <w:rsid w:val="48E036C2"/>
    <w:rsid w:val="492108CC"/>
    <w:rsid w:val="49413F52"/>
    <w:rsid w:val="494F6304"/>
    <w:rsid w:val="49792B95"/>
    <w:rsid w:val="4981092F"/>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520DF4"/>
    <w:rsid w:val="4B603107"/>
    <w:rsid w:val="4B7A5635"/>
    <w:rsid w:val="4B842010"/>
    <w:rsid w:val="4B8E10E1"/>
    <w:rsid w:val="4B9802B0"/>
    <w:rsid w:val="4B9E65BE"/>
    <w:rsid w:val="4B9F33A8"/>
    <w:rsid w:val="4BA80AFD"/>
    <w:rsid w:val="4BB033BA"/>
    <w:rsid w:val="4BB469AD"/>
    <w:rsid w:val="4BC06040"/>
    <w:rsid w:val="4BC13264"/>
    <w:rsid w:val="4BC66ACD"/>
    <w:rsid w:val="4BCF5981"/>
    <w:rsid w:val="4BD846DB"/>
    <w:rsid w:val="4BF441D2"/>
    <w:rsid w:val="4C001E3B"/>
    <w:rsid w:val="4C1C2A09"/>
    <w:rsid w:val="4C284AD9"/>
    <w:rsid w:val="4C2A2BB8"/>
    <w:rsid w:val="4C423098"/>
    <w:rsid w:val="4C694192"/>
    <w:rsid w:val="4C7964D9"/>
    <w:rsid w:val="4C8C5620"/>
    <w:rsid w:val="4C9269F6"/>
    <w:rsid w:val="4CB75F07"/>
    <w:rsid w:val="4CC84335"/>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964534"/>
    <w:rsid w:val="4EB23220"/>
    <w:rsid w:val="4EE661F8"/>
    <w:rsid w:val="4EF27A04"/>
    <w:rsid w:val="4F0773B4"/>
    <w:rsid w:val="4F241019"/>
    <w:rsid w:val="4F304F0F"/>
    <w:rsid w:val="4F307BB1"/>
    <w:rsid w:val="4F336227"/>
    <w:rsid w:val="4F3C3EF2"/>
    <w:rsid w:val="4F3D562D"/>
    <w:rsid w:val="4F5C4EE0"/>
    <w:rsid w:val="4F681AF1"/>
    <w:rsid w:val="4F6E1972"/>
    <w:rsid w:val="4F943166"/>
    <w:rsid w:val="4F9C19A5"/>
    <w:rsid w:val="4FBA02A1"/>
    <w:rsid w:val="4FE7106E"/>
    <w:rsid w:val="4FF82FCD"/>
    <w:rsid w:val="50053943"/>
    <w:rsid w:val="50153B7F"/>
    <w:rsid w:val="50212524"/>
    <w:rsid w:val="50256815"/>
    <w:rsid w:val="50260569"/>
    <w:rsid w:val="50374A3C"/>
    <w:rsid w:val="50487AB0"/>
    <w:rsid w:val="50550E55"/>
    <w:rsid w:val="50901457"/>
    <w:rsid w:val="50903205"/>
    <w:rsid w:val="509F43E4"/>
    <w:rsid w:val="50A54D3E"/>
    <w:rsid w:val="50B82E88"/>
    <w:rsid w:val="50BB32A7"/>
    <w:rsid w:val="50CC5CB2"/>
    <w:rsid w:val="50F1402B"/>
    <w:rsid w:val="50FD2AD9"/>
    <w:rsid w:val="51081E85"/>
    <w:rsid w:val="51097D9A"/>
    <w:rsid w:val="51237D2E"/>
    <w:rsid w:val="515B06D0"/>
    <w:rsid w:val="51764AF1"/>
    <w:rsid w:val="51996737"/>
    <w:rsid w:val="51A76A58"/>
    <w:rsid w:val="51B408B8"/>
    <w:rsid w:val="51B80848"/>
    <w:rsid w:val="51CC0868"/>
    <w:rsid w:val="51D5340F"/>
    <w:rsid w:val="52287B99"/>
    <w:rsid w:val="52382F2A"/>
    <w:rsid w:val="52386E3D"/>
    <w:rsid w:val="523A7DD1"/>
    <w:rsid w:val="523B7711"/>
    <w:rsid w:val="5271774C"/>
    <w:rsid w:val="527A416D"/>
    <w:rsid w:val="528D7B65"/>
    <w:rsid w:val="52AA11D3"/>
    <w:rsid w:val="52C319D8"/>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864205"/>
    <w:rsid w:val="539A4AC7"/>
    <w:rsid w:val="53A44D07"/>
    <w:rsid w:val="53A46AC8"/>
    <w:rsid w:val="53AB7F1F"/>
    <w:rsid w:val="53AC5F20"/>
    <w:rsid w:val="53AC6F7B"/>
    <w:rsid w:val="53C01F4F"/>
    <w:rsid w:val="53EB297B"/>
    <w:rsid w:val="53EC4BF7"/>
    <w:rsid w:val="53F758A1"/>
    <w:rsid w:val="540D5A7F"/>
    <w:rsid w:val="542E2BC2"/>
    <w:rsid w:val="54352A96"/>
    <w:rsid w:val="543D36A4"/>
    <w:rsid w:val="54447390"/>
    <w:rsid w:val="544B514D"/>
    <w:rsid w:val="545253A1"/>
    <w:rsid w:val="545E1D01"/>
    <w:rsid w:val="54674051"/>
    <w:rsid w:val="54935B8F"/>
    <w:rsid w:val="549D3677"/>
    <w:rsid w:val="54B03E76"/>
    <w:rsid w:val="54BF230B"/>
    <w:rsid w:val="54CC6227"/>
    <w:rsid w:val="54D10F9B"/>
    <w:rsid w:val="54D97871"/>
    <w:rsid w:val="550B5550"/>
    <w:rsid w:val="550B72FE"/>
    <w:rsid w:val="551D586C"/>
    <w:rsid w:val="55200298"/>
    <w:rsid w:val="55335E1B"/>
    <w:rsid w:val="5536079B"/>
    <w:rsid w:val="554B7EF0"/>
    <w:rsid w:val="556F3D99"/>
    <w:rsid w:val="55720837"/>
    <w:rsid w:val="55860894"/>
    <w:rsid w:val="558F253F"/>
    <w:rsid w:val="558F6181"/>
    <w:rsid w:val="55B02DF1"/>
    <w:rsid w:val="55D47A00"/>
    <w:rsid w:val="55D5456D"/>
    <w:rsid w:val="55DC290C"/>
    <w:rsid w:val="55E71B19"/>
    <w:rsid w:val="55EA5D64"/>
    <w:rsid w:val="55F01FA1"/>
    <w:rsid w:val="55FC19B9"/>
    <w:rsid w:val="560C1580"/>
    <w:rsid w:val="56130B60"/>
    <w:rsid w:val="56234F28"/>
    <w:rsid w:val="56586573"/>
    <w:rsid w:val="56717635"/>
    <w:rsid w:val="56990B7C"/>
    <w:rsid w:val="569E1126"/>
    <w:rsid w:val="56A8690E"/>
    <w:rsid w:val="56AC3D25"/>
    <w:rsid w:val="56B679AB"/>
    <w:rsid w:val="56B80DEB"/>
    <w:rsid w:val="56E0560F"/>
    <w:rsid w:val="56E06E61"/>
    <w:rsid w:val="56EF3C74"/>
    <w:rsid w:val="56F653FE"/>
    <w:rsid w:val="57007337"/>
    <w:rsid w:val="574448FC"/>
    <w:rsid w:val="57561D39"/>
    <w:rsid w:val="575B7AFD"/>
    <w:rsid w:val="57660D3F"/>
    <w:rsid w:val="5785783C"/>
    <w:rsid w:val="578F06BB"/>
    <w:rsid w:val="57A852D8"/>
    <w:rsid w:val="57CC4BC2"/>
    <w:rsid w:val="57D10760"/>
    <w:rsid w:val="57D1153D"/>
    <w:rsid w:val="57D77297"/>
    <w:rsid w:val="57E722A5"/>
    <w:rsid w:val="57FA3774"/>
    <w:rsid w:val="58084A3C"/>
    <w:rsid w:val="582772A7"/>
    <w:rsid w:val="582C5F09"/>
    <w:rsid w:val="5847689F"/>
    <w:rsid w:val="58531B77"/>
    <w:rsid w:val="585D2975"/>
    <w:rsid w:val="585E3492"/>
    <w:rsid w:val="585F008D"/>
    <w:rsid w:val="585F64F9"/>
    <w:rsid w:val="587E3341"/>
    <w:rsid w:val="587F428B"/>
    <w:rsid w:val="58843A9C"/>
    <w:rsid w:val="58B31855"/>
    <w:rsid w:val="58BA5AA4"/>
    <w:rsid w:val="58CF56D8"/>
    <w:rsid w:val="58D31010"/>
    <w:rsid w:val="58D6741E"/>
    <w:rsid w:val="58DB0535"/>
    <w:rsid w:val="58E467E4"/>
    <w:rsid w:val="58E62E0E"/>
    <w:rsid w:val="58EA3D0E"/>
    <w:rsid w:val="58F24A5D"/>
    <w:rsid w:val="58F71269"/>
    <w:rsid w:val="58FE045E"/>
    <w:rsid w:val="58FE78A6"/>
    <w:rsid w:val="59014CEF"/>
    <w:rsid w:val="59561946"/>
    <w:rsid w:val="59670F51"/>
    <w:rsid w:val="596A44F9"/>
    <w:rsid w:val="596C19BB"/>
    <w:rsid w:val="59790BDB"/>
    <w:rsid w:val="597E3F42"/>
    <w:rsid w:val="598653AC"/>
    <w:rsid w:val="59AC3C86"/>
    <w:rsid w:val="59B817D3"/>
    <w:rsid w:val="59C11856"/>
    <w:rsid w:val="59C153AB"/>
    <w:rsid w:val="59D42FDA"/>
    <w:rsid w:val="59D6437F"/>
    <w:rsid w:val="59DA4E01"/>
    <w:rsid w:val="59F52EB6"/>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3752F1"/>
    <w:rsid w:val="5B585171"/>
    <w:rsid w:val="5B585B78"/>
    <w:rsid w:val="5B6D62B9"/>
    <w:rsid w:val="5B746CFA"/>
    <w:rsid w:val="5B9A2B59"/>
    <w:rsid w:val="5BA652E6"/>
    <w:rsid w:val="5BC0085A"/>
    <w:rsid w:val="5BE03293"/>
    <w:rsid w:val="5BF03D58"/>
    <w:rsid w:val="5BF20AFB"/>
    <w:rsid w:val="5C1A6BB2"/>
    <w:rsid w:val="5C205D85"/>
    <w:rsid w:val="5C306D31"/>
    <w:rsid w:val="5C37233A"/>
    <w:rsid w:val="5C4C26D6"/>
    <w:rsid w:val="5C5355FE"/>
    <w:rsid w:val="5C5A49A5"/>
    <w:rsid w:val="5C6519EA"/>
    <w:rsid w:val="5C6715FE"/>
    <w:rsid w:val="5C6F4105"/>
    <w:rsid w:val="5CBB7F6F"/>
    <w:rsid w:val="5CC248CE"/>
    <w:rsid w:val="5D042FB1"/>
    <w:rsid w:val="5D442CB4"/>
    <w:rsid w:val="5D551A5E"/>
    <w:rsid w:val="5D7C3F11"/>
    <w:rsid w:val="5D8F6D1E"/>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243C2"/>
    <w:rsid w:val="6213792C"/>
    <w:rsid w:val="621775E2"/>
    <w:rsid w:val="621C0D9D"/>
    <w:rsid w:val="622F7552"/>
    <w:rsid w:val="6250406E"/>
    <w:rsid w:val="6267666C"/>
    <w:rsid w:val="627D6831"/>
    <w:rsid w:val="62811B1C"/>
    <w:rsid w:val="628F156F"/>
    <w:rsid w:val="62A20409"/>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8B1196"/>
    <w:rsid w:val="64925346"/>
    <w:rsid w:val="64A170D2"/>
    <w:rsid w:val="64A251DD"/>
    <w:rsid w:val="64BC182A"/>
    <w:rsid w:val="650242F0"/>
    <w:rsid w:val="65365B2B"/>
    <w:rsid w:val="653F447E"/>
    <w:rsid w:val="65542778"/>
    <w:rsid w:val="655829AF"/>
    <w:rsid w:val="656B70C3"/>
    <w:rsid w:val="658F4798"/>
    <w:rsid w:val="659B1EBA"/>
    <w:rsid w:val="65A11CE5"/>
    <w:rsid w:val="65A83379"/>
    <w:rsid w:val="65AA1AAA"/>
    <w:rsid w:val="65B461E9"/>
    <w:rsid w:val="65BE39A8"/>
    <w:rsid w:val="65C23A09"/>
    <w:rsid w:val="65FB3FBE"/>
    <w:rsid w:val="66101A71"/>
    <w:rsid w:val="66171FA7"/>
    <w:rsid w:val="66247D11"/>
    <w:rsid w:val="663B3EC9"/>
    <w:rsid w:val="665A1E94"/>
    <w:rsid w:val="66736112"/>
    <w:rsid w:val="667F5B5B"/>
    <w:rsid w:val="6694262A"/>
    <w:rsid w:val="66990381"/>
    <w:rsid w:val="66B31B01"/>
    <w:rsid w:val="66B64B5D"/>
    <w:rsid w:val="66CE1E80"/>
    <w:rsid w:val="66E362F9"/>
    <w:rsid w:val="66E47FD9"/>
    <w:rsid w:val="66E520A5"/>
    <w:rsid w:val="66F04175"/>
    <w:rsid w:val="66F127F8"/>
    <w:rsid w:val="67071922"/>
    <w:rsid w:val="673B73C0"/>
    <w:rsid w:val="674743C8"/>
    <w:rsid w:val="67530DBD"/>
    <w:rsid w:val="675608B6"/>
    <w:rsid w:val="67754402"/>
    <w:rsid w:val="677D54ED"/>
    <w:rsid w:val="678B726C"/>
    <w:rsid w:val="67B25E27"/>
    <w:rsid w:val="67B4646D"/>
    <w:rsid w:val="67B464CA"/>
    <w:rsid w:val="67C4383B"/>
    <w:rsid w:val="67D35E1A"/>
    <w:rsid w:val="67D839B8"/>
    <w:rsid w:val="67E22141"/>
    <w:rsid w:val="67F35317"/>
    <w:rsid w:val="67F73E3E"/>
    <w:rsid w:val="68016A6B"/>
    <w:rsid w:val="680201B7"/>
    <w:rsid w:val="68040309"/>
    <w:rsid w:val="68060525"/>
    <w:rsid w:val="68362BFB"/>
    <w:rsid w:val="683D085A"/>
    <w:rsid w:val="683F1130"/>
    <w:rsid w:val="684456A1"/>
    <w:rsid w:val="685E1363"/>
    <w:rsid w:val="687731D1"/>
    <w:rsid w:val="6878475E"/>
    <w:rsid w:val="688E1089"/>
    <w:rsid w:val="68993219"/>
    <w:rsid w:val="689E42BA"/>
    <w:rsid w:val="68A026F3"/>
    <w:rsid w:val="68A75121"/>
    <w:rsid w:val="68AF6C13"/>
    <w:rsid w:val="68E41039"/>
    <w:rsid w:val="68F25680"/>
    <w:rsid w:val="69074555"/>
    <w:rsid w:val="690E07C7"/>
    <w:rsid w:val="69140A20"/>
    <w:rsid w:val="69236A65"/>
    <w:rsid w:val="692E469B"/>
    <w:rsid w:val="69315C48"/>
    <w:rsid w:val="694019EC"/>
    <w:rsid w:val="694841AF"/>
    <w:rsid w:val="69584DB4"/>
    <w:rsid w:val="695B5B89"/>
    <w:rsid w:val="696C3D80"/>
    <w:rsid w:val="696F24F1"/>
    <w:rsid w:val="698A5EE4"/>
    <w:rsid w:val="69C811ED"/>
    <w:rsid w:val="69D33070"/>
    <w:rsid w:val="69E97E75"/>
    <w:rsid w:val="69FB5D9E"/>
    <w:rsid w:val="69FF6FDA"/>
    <w:rsid w:val="6A1A3007"/>
    <w:rsid w:val="6A1E645E"/>
    <w:rsid w:val="6A417049"/>
    <w:rsid w:val="6A576E16"/>
    <w:rsid w:val="6A6B466F"/>
    <w:rsid w:val="6A7903E5"/>
    <w:rsid w:val="6A8219B9"/>
    <w:rsid w:val="6A8641F2"/>
    <w:rsid w:val="6A9701A5"/>
    <w:rsid w:val="6AA03032"/>
    <w:rsid w:val="6AA86FEC"/>
    <w:rsid w:val="6AC36259"/>
    <w:rsid w:val="6ACB20F7"/>
    <w:rsid w:val="6ADA6AC4"/>
    <w:rsid w:val="6ADB11D6"/>
    <w:rsid w:val="6B1A2C3C"/>
    <w:rsid w:val="6B221F4E"/>
    <w:rsid w:val="6B2A277C"/>
    <w:rsid w:val="6B31644D"/>
    <w:rsid w:val="6B486C86"/>
    <w:rsid w:val="6B554C72"/>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5015B"/>
    <w:rsid w:val="6CE70FA1"/>
    <w:rsid w:val="6CF05300"/>
    <w:rsid w:val="6CFA6351"/>
    <w:rsid w:val="6CFC3C40"/>
    <w:rsid w:val="6D2F6F7D"/>
    <w:rsid w:val="6D480984"/>
    <w:rsid w:val="6D8079F9"/>
    <w:rsid w:val="6DA64B72"/>
    <w:rsid w:val="6DB13E57"/>
    <w:rsid w:val="6DC245A2"/>
    <w:rsid w:val="6DC71662"/>
    <w:rsid w:val="6DCD5126"/>
    <w:rsid w:val="6DDB6CB0"/>
    <w:rsid w:val="6DE21877"/>
    <w:rsid w:val="6DE2733E"/>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773A4"/>
    <w:rsid w:val="6F1E2E65"/>
    <w:rsid w:val="6F2F2D9E"/>
    <w:rsid w:val="6F4147D9"/>
    <w:rsid w:val="6F467459"/>
    <w:rsid w:val="6F581F47"/>
    <w:rsid w:val="6F5B0D5A"/>
    <w:rsid w:val="6F5C35EA"/>
    <w:rsid w:val="6F5E29F5"/>
    <w:rsid w:val="6F6B6A15"/>
    <w:rsid w:val="6F947E4B"/>
    <w:rsid w:val="6FA30BDA"/>
    <w:rsid w:val="6FB21D4C"/>
    <w:rsid w:val="6FB80698"/>
    <w:rsid w:val="6FBD6CD1"/>
    <w:rsid w:val="6FFD5E0F"/>
    <w:rsid w:val="701021F4"/>
    <w:rsid w:val="701C29A6"/>
    <w:rsid w:val="7024611F"/>
    <w:rsid w:val="7038498C"/>
    <w:rsid w:val="705605A5"/>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62034"/>
    <w:rsid w:val="7167680B"/>
    <w:rsid w:val="71764F23"/>
    <w:rsid w:val="7185070D"/>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7B1B10"/>
    <w:rsid w:val="728269FA"/>
    <w:rsid w:val="728704B4"/>
    <w:rsid w:val="72986FA0"/>
    <w:rsid w:val="72A17C99"/>
    <w:rsid w:val="72A5093A"/>
    <w:rsid w:val="72AD7197"/>
    <w:rsid w:val="72AF6F7E"/>
    <w:rsid w:val="72CD226C"/>
    <w:rsid w:val="73047407"/>
    <w:rsid w:val="73047904"/>
    <w:rsid w:val="731A4E85"/>
    <w:rsid w:val="73253EFA"/>
    <w:rsid w:val="73353A6C"/>
    <w:rsid w:val="734C1A6A"/>
    <w:rsid w:val="735663B7"/>
    <w:rsid w:val="735C5949"/>
    <w:rsid w:val="73671287"/>
    <w:rsid w:val="73682094"/>
    <w:rsid w:val="73737DA5"/>
    <w:rsid w:val="73740A39"/>
    <w:rsid w:val="73783823"/>
    <w:rsid w:val="73887B3E"/>
    <w:rsid w:val="73892412"/>
    <w:rsid w:val="73AF2114"/>
    <w:rsid w:val="73AF381F"/>
    <w:rsid w:val="73DD4830"/>
    <w:rsid w:val="73E96BCA"/>
    <w:rsid w:val="73EE4A6E"/>
    <w:rsid w:val="741048BC"/>
    <w:rsid w:val="742E78D4"/>
    <w:rsid w:val="74317498"/>
    <w:rsid w:val="74335A84"/>
    <w:rsid w:val="743934A6"/>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26272"/>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0E4D00"/>
    <w:rsid w:val="771A36A5"/>
    <w:rsid w:val="773F135E"/>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571967"/>
    <w:rsid w:val="786778FE"/>
    <w:rsid w:val="789D588A"/>
    <w:rsid w:val="78B65E3A"/>
    <w:rsid w:val="78E0091E"/>
    <w:rsid w:val="78EE1C79"/>
    <w:rsid w:val="78F8388C"/>
    <w:rsid w:val="78F85605"/>
    <w:rsid w:val="78FA66FA"/>
    <w:rsid w:val="79345B6A"/>
    <w:rsid w:val="793622EC"/>
    <w:rsid w:val="79386064"/>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523156"/>
    <w:rsid w:val="7A6F5001"/>
    <w:rsid w:val="7A7720A0"/>
    <w:rsid w:val="7A9635B3"/>
    <w:rsid w:val="7AA2343E"/>
    <w:rsid w:val="7AD60EB8"/>
    <w:rsid w:val="7ADA73A4"/>
    <w:rsid w:val="7AE66B99"/>
    <w:rsid w:val="7AF34646"/>
    <w:rsid w:val="7AFE508C"/>
    <w:rsid w:val="7B0A3BCA"/>
    <w:rsid w:val="7B1C0EF4"/>
    <w:rsid w:val="7B345AA9"/>
    <w:rsid w:val="7B4048C1"/>
    <w:rsid w:val="7B4C5DF7"/>
    <w:rsid w:val="7B51165F"/>
    <w:rsid w:val="7B73082F"/>
    <w:rsid w:val="7B7B492E"/>
    <w:rsid w:val="7B9A3D1D"/>
    <w:rsid w:val="7B9F686F"/>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3D5F4C"/>
    <w:rsid w:val="7C691974"/>
    <w:rsid w:val="7C8A6570"/>
    <w:rsid w:val="7C8B7390"/>
    <w:rsid w:val="7C9B0D0E"/>
    <w:rsid w:val="7CA42B03"/>
    <w:rsid w:val="7CBF7AC1"/>
    <w:rsid w:val="7CC55E61"/>
    <w:rsid w:val="7CCC5441"/>
    <w:rsid w:val="7CD2318A"/>
    <w:rsid w:val="7CD2702A"/>
    <w:rsid w:val="7CD34C42"/>
    <w:rsid w:val="7CD46B29"/>
    <w:rsid w:val="7CDE3FF9"/>
    <w:rsid w:val="7CE26EBF"/>
    <w:rsid w:val="7CEE3130"/>
    <w:rsid w:val="7CFC08E8"/>
    <w:rsid w:val="7D1E1A15"/>
    <w:rsid w:val="7D1F6674"/>
    <w:rsid w:val="7D2D6B0F"/>
    <w:rsid w:val="7D370079"/>
    <w:rsid w:val="7D475E29"/>
    <w:rsid w:val="7D480B34"/>
    <w:rsid w:val="7D777A3E"/>
    <w:rsid w:val="7D9005BC"/>
    <w:rsid w:val="7D9F0AD0"/>
    <w:rsid w:val="7DB22BDF"/>
    <w:rsid w:val="7DD12BB7"/>
    <w:rsid w:val="7DF223A2"/>
    <w:rsid w:val="7DFF0955"/>
    <w:rsid w:val="7E0A4F67"/>
    <w:rsid w:val="7E0B750E"/>
    <w:rsid w:val="7E1939E8"/>
    <w:rsid w:val="7E2400E7"/>
    <w:rsid w:val="7E2822EA"/>
    <w:rsid w:val="7E2A20CE"/>
    <w:rsid w:val="7E355A7B"/>
    <w:rsid w:val="7E455322"/>
    <w:rsid w:val="7E682F48"/>
    <w:rsid w:val="7E6E3E85"/>
    <w:rsid w:val="7E991353"/>
    <w:rsid w:val="7E9C184B"/>
    <w:rsid w:val="7EA72948"/>
    <w:rsid w:val="7EB31EDB"/>
    <w:rsid w:val="7ECB2594"/>
    <w:rsid w:val="7ED61132"/>
    <w:rsid w:val="7EE60311"/>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11">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12">
    <w:name w:val="heading 3"/>
    <w:basedOn w:val="1"/>
    <w:next w:val="1"/>
    <w:autoRedefine/>
    <w:qFormat/>
    <w:uiPriority w:val="0"/>
    <w:pPr>
      <w:keepNext/>
      <w:keepLines/>
      <w:spacing w:before="260" w:after="260" w:line="416" w:lineRule="auto"/>
      <w:outlineLvl w:val="2"/>
    </w:pPr>
    <w:rPr>
      <w:b/>
      <w:bCs/>
      <w:sz w:val="32"/>
      <w:szCs w:val="32"/>
    </w:rPr>
  </w:style>
  <w:style w:type="paragraph" w:styleId="13">
    <w:name w:val="heading 4"/>
    <w:basedOn w:val="1"/>
    <w:next w:val="1"/>
    <w:autoRedefine/>
    <w:qFormat/>
    <w:uiPriority w:val="0"/>
    <w:pPr>
      <w:keepNext/>
      <w:keepLines/>
      <w:spacing w:line="360" w:lineRule="auto"/>
      <w:outlineLvl w:val="3"/>
    </w:pPr>
    <w:rPr>
      <w:rFonts w:ascii="Arial" w:hAnsi="Arial"/>
      <w:b/>
      <w:bCs/>
      <w:szCs w:val="28"/>
    </w:rPr>
  </w:style>
  <w:style w:type="paragraph" w:styleId="14">
    <w:name w:val="heading 5"/>
    <w:basedOn w:val="1"/>
    <w:next w:val="1"/>
    <w:autoRedefine/>
    <w:unhideWhenUsed/>
    <w:qFormat/>
    <w:uiPriority w:val="0"/>
    <w:pPr>
      <w:keepNext/>
      <w:keepLines/>
      <w:spacing w:before="280" w:after="290" w:line="372" w:lineRule="auto"/>
      <w:outlineLvl w:val="4"/>
    </w:pPr>
    <w:rPr>
      <w:b/>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4">
    <w:name w:val="Body Text"/>
    <w:basedOn w:val="1"/>
    <w:next w:val="5"/>
    <w:link w:val="78"/>
    <w:autoRedefine/>
    <w:qFormat/>
    <w:uiPriority w:val="0"/>
  </w:style>
  <w:style w:type="paragraph" w:customStyle="1" w:styleId="5">
    <w:name w:val="style4"/>
    <w:basedOn w:val="6"/>
    <w:next w:val="10"/>
    <w:qFormat/>
    <w:uiPriority w:val="0"/>
    <w:pPr>
      <w:widowControl/>
      <w:spacing w:before="280" w:after="280"/>
    </w:pPr>
    <w:rPr>
      <w:rFonts w:ascii="宋体"/>
      <w:sz w:val="18"/>
    </w:rPr>
  </w:style>
  <w:style w:type="paragraph" w:customStyle="1" w:styleId="6">
    <w:name w:val="正文_0"/>
    <w:next w:val="7"/>
    <w:qFormat/>
    <w:uiPriority w:val="0"/>
    <w:pPr>
      <w:widowControl w:val="0"/>
      <w:jc w:val="both"/>
    </w:pPr>
    <w:rPr>
      <w:rFonts w:ascii="Calibri" w:hAnsi="Calibri" w:eastAsia="宋体" w:cs="Times New Roman"/>
      <w:kern w:val="2"/>
      <w:sz w:val="21"/>
      <w:szCs w:val="24"/>
      <w:lang w:val="en-US" w:eastAsia="zh-CN" w:bidi="ar-SA"/>
    </w:rPr>
  </w:style>
  <w:style w:type="paragraph" w:styleId="7">
    <w:name w:val="Body Text First Indent"/>
    <w:basedOn w:val="4"/>
    <w:next w:val="8"/>
    <w:autoRedefine/>
    <w:qFormat/>
    <w:uiPriority w:val="0"/>
    <w:pPr>
      <w:spacing w:line="360" w:lineRule="auto"/>
      <w:ind w:firstLine="420" w:firstLineChars="100"/>
    </w:pPr>
    <w:rPr>
      <w:szCs w:val="21"/>
    </w:rPr>
  </w:style>
  <w:style w:type="paragraph" w:styleId="8">
    <w:name w:val="Body Text First Indent 2"/>
    <w:basedOn w:val="9"/>
    <w:autoRedefine/>
    <w:qFormat/>
    <w:uiPriority w:val="0"/>
    <w:pPr>
      <w:ind w:firstLine="420" w:firstLineChars="200"/>
    </w:pPr>
  </w:style>
  <w:style w:type="paragraph" w:styleId="9">
    <w:name w:val="Body Text Indent"/>
    <w:basedOn w:val="1"/>
    <w:autoRedefine/>
    <w:qFormat/>
    <w:uiPriority w:val="0"/>
    <w:pPr>
      <w:widowControl/>
      <w:spacing w:beforeAutospacing="1" w:afterAutospacing="1"/>
      <w:jc w:val="left"/>
    </w:pPr>
    <w:rPr>
      <w:rFonts w:ascii="宋体" w:hAnsi="宋体" w:cs="宋体"/>
      <w:kern w:val="0"/>
      <w:sz w:val="24"/>
    </w:rPr>
  </w:style>
  <w:style w:type="paragraph" w:customStyle="1" w:styleId="1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5">
    <w:name w:val="List Number"/>
    <w:basedOn w:val="1"/>
    <w:autoRedefine/>
    <w:qFormat/>
    <w:uiPriority w:val="0"/>
    <w:pPr>
      <w:widowControl/>
      <w:spacing w:beforeAutospacing="1" w:afterAutospacing="1"/>
      <w:jc w:val="left"/>
    </w:pPr>
    <w:rPr>
      <w:rFonts w:ascii="宋体" w:hAnsi="宋体" w:cs="宋体"/>
      <w:kern w:val="0"/>
      <w:sz w:val="24"/>
    </w:rPr>
  </w:style>
  <w:style w:type="paragraph" w:styleId="16">
    <w:name w:val="Document Map"/>
    <w:basedOn w:val="1"/>
    <w:link w:val="80"/>
    <w:autoRedefine/>
    <w:qFormat/>
    <w:uiPriority w:val="0"/>
    <w:rPr>
      <w:rFonts w:ascii="宋体" w:hAnsi="Calibri"/>
      <w:sz w:val="18"/>
      <w:szCs w:val="18"/>
    </w:rPr>
  </w:style>
  <w:style w:type="paragraph" w:styleId="17">
    <w:name w:val="annotation text"/>
    <w:basedOn w:val="1"/>
    <w:autoRedefine/>
    <w:qFormat/>
    <w:uiPriority w:val="0"/>
    <w:pPr>
      <w:jc w:val="left"/>
    </w:pPr>
  </w:style>
  <w:style w:type="paragraph" w:styleId="18">
    <w:name w:val="Body Text 3"/>
    <w:basedOn w:val="1"/>
    <w:autoRedefine/>
    <w:qFormat/>
    <w:uiPriority w:val="0"/>
    <w:rPr>
      <w:sz w:val="16"/>
      <w:szCs w:val="16"/>
    </w:rPr>
  </w:style>
  <w:style w:type="paragraph" w:styleId="19">
    <w:name w:val="List 2"/>
    <w:basedOn w:val="1"/>
    <w:autoRedefine/>
    <w:qFormat/>
    <w:uiPriority w:val="0"/>
    <w:pPr>
      <w:ind w:left="100" w:leftChars="200" w:hanging="200" w:hangingChars="200"/>
    </w:pPr>
  </w:style>
  <w:style w:type="paragraph" w:styleId="20">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21">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2">
    <w:name w:val="Plain Text"/>
    <w:basedOn w:val="1"/>
    <w:autoRedefine/>
    <w:qFormat/>
    <w:uiPriority w:val="0"/>
    <w:pPr>
      <w:widowControl/>
      <w:spacing w:beforeAutospacing="1" w:afterAutospacing="1"/>
      <w:jc w:val="left"/>
    </w:pPr>
    <w:rPr>
      <w:rFonts w:ascii="宋体" w:hAnsi="宋体" w:cs="宋体"/>
      <w:kern w:val="0"/>
      <w:sz w:val="24"/>
    </w:rPr>
  </w:style>
  <w:style w:type="paragraph" w:styleId="23">
    <w:name w:val="Date"/>
    <w:basedOn w:val="1"/>
    <w:next w:val="1"/>
    <w:autoRedefine/>
    <w:qFormat/>
    <w:uiPriority w:val="0"/>
    <w:pPr>
      <w:ind w:left="100" w:leftChars="2500"/>
    </w:pPr>
    <w:rPr>
      <w:rFonts w:ascii="宋体" w:hAnsi="宋体"/>
      <w:sz w:val="28"/>
    </w:rPr>
  </w:style>
  <w:style w:type="paragraph" w:styleId="24">
    <w:name w:val="Body Text Indent 2"/>
    <w:basedOn w:val="1"/>
    <w:autoRedefine/>
    <w:qFormat/>
    <w:uiPriority w:val="0"/>
    <w:pPr>
      <w:spacing w:line="480" w:lineRule="auto"/>
      <w:ind w:left="420" w:leftChars="200"/>
    </w:pPr>
  </w:style>
  <w:style w:type="paragraph" w:styleId="25">
    <w:name w:val="footer"/>
    <w:basedOn w:val="1"/>
    <w:link w:val="100"/>
    <w:autoRedefine/>
    <w:qFormat/>
    <w:uiPriority w:val="99"/>
    <w:pPr>
      <w:tabs>
        <w:tab w:val="center" w:pos="4153"/>
        <w:tab w:val="right" w:pos="8306"/>
      </w:tabs>
      <w:snapToGrid w:val="0"/>
      <w:jc w:val="left"/>
    </w:pPr>
    <w:rPr>
      <w:sz w:val="18"/>
      <w:szCs w:val="18"/>
    </w:rPr>
  </w:style>
  <w:style w:type="paragraph" w:styleId="26">
    <w:name w:val="envelope return"/>
    <w:basedOn w:val="1"/>
    <w:autoRedefine/>
    <w:unhideWhenUsed/>
    <w:qFormat/>
    <w:uiPriority w:val="99"/>
    <w:pPr>
      <w:snapToGrid w:val="0"/>
    </w:pPr>
    <w:rPr>
      <w:rFonts w:ascii="Arial" w:hAnsi="Arial"/>
    </w:rPr>
  </w:style>
  <w:style w:type="paragraph" w:styleId="2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0"/>
  </w:style>
  <w:style w:type="paragraph" w:styleId="29">
    <w:name w:val="List"/>
    <w:basedOn w:val="1"/>
    <w:autoRedefine/>
    <w:qFormat/>
    <w:uiPriority w:val="0"/>
    <w:pPr>
      <w:ind w:left="200" w:hanging="200" w:hangingChars="200"/>
    </w:pPr>
  </w:style>
  <w:style w:type="paragraph" w:styleId="30">
    <w:name w:val="Body Text 2"/>
    <w:basedOn w:val="1"/>
    <w:next w:val="4"/>
    <w:autoRedefine/>
    <w:qFormat/>
    <w:uiPriority w:val="0"/>
    <w:pPr>
      <w:spacing w:line="480" w:lineRule="auto"/>
    </w:pPr>
  </w:style>
  <w:style w:type="paragraph" w:styleId="31">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3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3">
    <w:name w:val="Normal (Web)"/>
    <w:basedOn w:val="1"/>
    <w:autoRedefine/>
    <w:qFormat/>
    <w:uiPriority w:val="99"/>
    <w:pPr>
      <w:widowControl/>
      <w:snapToGrid w:val="0"/>
      <w:spacing w:line="324" w:lineRule="auto"/>
      <w:ind w:firstLine="420" w:firstLineChars="200"/>
      <w:jc w:val="left"/>
    </w:pPr>
    <w:rPr>
      <w:rFonts w:ascii="宋体" w:hAnsi="宋体" w:cs="宋体"/>
      <w:kern w:val="0"/>
      <w:szCs w:val="21"/>
      <w:shd w:val="clear" w:color="auto" w:fill="FFFFFF"/>
    </w:rPr>
  </w:style>
  <w:style w:type="paragraph" w:styleId="34">
    <w:name w:val="Title"/>
    <w:basedOn w:val="1"/>
    <w:autoRedefine/>
    <w:qFormat/>
    <w:uiPriority w:val="0"/>
    <w:pPr>
      <w:jc w:val="center"/>
      <w:outlineLvl w:val="0"/>
    </w:pPr>
    <w:rPr>
      <w:rFonts w:ascii="Arial" w:hAnsi="Arial" w:cs="Arial"/>
      <w:b/>
      <w:bCs/>
      <w:sz w:val="32"/>
      <w:szCs w:val="32"/>
    </w:rPr>
  </w:style>
  <w:style w:type="table" w:styleId="36">
    <w:name w:val="Table Grid"/>
    <w:basedOn w:val="35"/>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bCs/>
      <w:szCs w:val="24"/>
    </w:rPr>
  </w:style>
  <w:style w:type="character" w:styleId="39">
    <w:name w:val="page number"/>
    <w:basedOn w:val="37"/>
    <w:autoRedefine/>
    <w:qFormat/>
    <w:uiPriority w:val="0"/>
  </w:style>
  <w:style w:type="character" w:styleId="40">
    <w:name w:val="FollowedHyperlink"/>
    <w:autoRedefine/>
    <w:qFormat/>
    <w:uiPriority w:val="0"/>
    <w:rPr>
      <w:color w:val="333333"/>
      <w:szCs w:val="24"/>
      <w:u w:val="none"/>
    </w:rPr>
  </w:style>
  <w:style w:type="character" w:styleId="41">
    <w:name w:val="Emphasis"/>
    <w:basedOn w:val="37"/>
    <w:autoRedefine/>
    <w:qFormat/>
    <w:uiPriority w:val="0"/>
  </w:style>
  <w:style w:type="character" w:styleId="42">
    <w:name w:val="HTML Definition"/>
    <w:basedOn w:val="37"/>
    <w:autoRedefine/>
    <w:qFormat/>
    <w:uiPriority w:val="0"/>
  </w:style>
  <w:style w:type="character" w:styleId="43">
    <w:name w:val="HTML Typewriter"/>
    <w:basedOn w:val="37"/>
    <w:autoRedefine/>
    <w:qFormat/>
    <w:uiPriority w:val="0"/>
    <w:rPr>
      <w:rFonts w:hint="default" w:ascii="monospace" w:hAnsi="monospace" w:eastAsia="monospace" w:cs="monospace"/>
      <w:sz w:val="20"/>
    </w:rPr>
  </w:style>
  <w:style w:type="character" w:styleId="44">
    <w:name w:val="HTML Acronym"/>
    <w:basedOn w:val="37"/>
    <w:autoRedefine/>
    <w:qFormat/>
    <w:uiPriority w:val="0"/>
  </w:style>
  <w:style w:type="character" w:styleId="45">
    <w:name w:val="HTML Variable"/>
    <w:basedOn w:val="37"/>
    <w:autoRedefine/>
    <w:qFormat/>
    <w:uiPriority w:val="0"/>
  </w:style>
  <w:style w:type="character" w:styleId="46">
    <w:name w:val="Hyperlink"/>
    <w:basedOn w:val="37"/>
    <w:autoRedefine/>
    <w:qFormat/>
    <w:uiPriority w:val="0"/>
    <w:rPr>
      <w:color w:val="333333"/>
      <w:szCs w:val="24"/>
      <w:u w:val="none"/>
    </w:rPr>
  </w:style>
  <w:style w:type="character" w:styleId="47">
    <w:name w:val="HTML Code"/>
    <w:basedOn w:val="37"/>
    <w:autoRedefine/>
    <w:qFormat/>
    <w:uiPriority w:val="0"/>
    <w:rPr>
      <w:rFonts w:ascii="monospace" w:hAnsi="monospace" w:eastAsia="monospace" w:cs="monospace"/>
      <w:sz w:val="20"/>
    </w:rPr>
  </w:style>
  <w:style w:type="character" w:styleId="48">
    <w:name w:val="HTML Cite"/>
    <w:basedOn w:val="37"/>
    <w:autoRedefine/>
    <w:qFormat/>
    <w:uiPriority w:val="0"/>
  </w:style>
  <w:style w:type="character" w:styleId="49">
    <w:name w:val="HTML Keyboard"/>
    <w:basedOn w:val="37"/>
    <w:autoRedefine/>
    <w:qFormat/>
    <w:uiPriority w:val="0"/>
    <w:rPr>
      <w:rFonts w:hint="default" w:ascii="monospace" w:hAnsi="monospace" w:eastAsia="monospace" w:cs="monospace"/>
      <w:sz w:val="20"/>
    </w:rPr>
  </w:style>
  <w:style w:type="character" w:styleId="50">
    <w:name w:val="HTML Sample"/>
    <w:basedOn w:val="37"/>
    <w:autoRedefine/>
    <w:qFormat/>
    <w:uiPriority w:val="0"/>
    <w:rPr>
      <w:rFonts w:hint="default" w:ascii="monospace" w:hAnsi="monospace" w:eastAsia="monospace" w:cs="monospace"/>
    </w:rPr>
  </w:style>
  <w:style w:type="paragraph" w:customStyle="1" w:styleId="51">
    <w:name w:val="Default"/>
    <w:next w:val="52"/>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2">
    <w:name w:val="大标题"/>
    <w:basedOn w:val="1"/>
    <w:next w:val="8"/>
    <w:autoRedefine/>
    <w:qFormat/>
    <w:uiPriority w:val="0"/>
    <w:pPr>
      <w:jc w:val="center"/>
    </w:pPr>
    <w:rPr>
      <w:rFonts w:ascii="Arial" w:hAnsi="Arial"/>
      <w:b/>
      <w:sz w:val="28"/>
    </w:rPr>
  </w:style>
  <w:style w:type="paragraph" w:customStyle="1" w:styleId="53">
    <w:name w:val="正文文本缩进 21"/>
    <w:basedOn w:val="1"/>
    <w:autoRedefine/>
    <w:qFormat/>
    <w:uiPriority w:val="0"/>
    <w:pPr>
      <w:ind w:firstLine="570"/>
    </w:pPr>
    <w:rPr>
      <w:sz w:val="32"/>
    </w:rPr>
  </w:style>
  <w:style w:type="paragraph" w:customStyle="1" w:styleId="54">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6">
    <w:name w:val="No Spacing1"/>
    <w:basedOn w:val="1"/>
    <w:autoRedefine/>
    <w:qFormat/>
    <w:uiPriority w:val="0"/>
    <w:pPr>
      <w:spacing w:line="400" w:lineRule="exact"/>
    </w:pPr>
    <w:rPr>
      <w:sz w:val="24"/>
    </w:rPr>
  </w:style>
  <w:style w:type="paragraph" w:customStyle="1" w:styleId="57">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8">
    <w:name w:val="Char"/>
    <w:basedOn w:val="1"/>
    <w:autoRedefine/>
    <w:qFormat/>
    <w:uiPriority w:val="0"/>
  </w:style>
  <w:style w:type="paragraph" w:customStyle="1" w:styleId="59">
    <w:name w:val="正文缩进1"/>
    <w:basedOn w:val="1"/>
    <w:autoRedefine/>
    <w:qFormat/>
    <w:uiPriority w:val="0"/>
    <w:pPr>
      <w:widowControl/>
      <w:ind w:firstLine="420"/>
      <w:jc w:val="left"/>
    </w:pPr>
    <w:rPr>
      <w:kern w:val="0"/>
      <w:szCs w:val="20"/>
    </w:rPr>
  </w:style>
  <w:style w:type="paragraph" w:customStyle="1" w:styleId="60">
    <w:name w:val="列出段落2"/>
    <w:basedOn w:val="1"/>
    <w:autoRedefine/>
    <w:qFormat/>
    <w:uiPriority w:val="34"/>
    <w:pPr>
      <w:ind w:firstLine="420" w:firstLineChars="200"/>
    </w:pPr>
  </w:style>
  <w:style w:type="paragraph" w:customStyle="1" w:styleId="61">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1"/>
    <w:basedOn w:val="1"/>
    <w:autoRedefine/>
    <w:qFormat/>
    <w:uiPriority w:val="0"/>
    <w:pPr>
      <w:widowControl/>
      <w:spacing w:beforeAutospacing="1" w:afterAutospacing="1"/>
      <w:jc w:val="left"/>
    </w:pPr>
    <w:rPr>
      <w:rFonts w:ascii="宋体" w:hAnsi="宋体" w:cs="宋体"/>
      <w:kern w:val="0"/>
      <w:sz w:val="24"/>
    </w:rPr>
  </w:style>
  <w:style w:type="paragraph" w:styleId="63">
    <w:name w:val="No Spacing"/>
    <w:autoRedefine/>
    <w:qFormat/>
    <w:uiPriority w:val="1"/>
    <w:rPr>
      <w:rFonts w:ascii="Calibri" w:hAnsi="Calibri" w:eastAsia="宋体" w:cs="Times New Roman"/>
      <w:sz w:val="22"/>
      <w:szCs w:val="22"/>
      <w:lang w:val="en-US" w:eastAsia="zh-CN" w:bidi="ar-SA"/>
    </w:rPr>
  </w:style>
  <w:style w:type="paragraph" w:customStyle="1" w:styleId="64">
    <w:name w:val="_Style 2"/>
    <w:basedOn w:val="1"/>
    <w:autoRedefine/>
    <w:qFormat/>
    <w:uiPriority w:val="34"/>
    <w:pPr>
      <w:ind w:firstLine="420" w:firstLineChars="200"/>
    </w:pPr>
    <w:rPr>
      <w:rFonts w:ascii="Calibri" w:hAnsi="Calibri"/>
    </w:rPr>
  </w:style>
  <w:style w:type="paragraph" w:customStyle="1" w:styleId="65">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6">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7">
    <w:name w:val="Char1"/>
    <w:basedOn w:val="1"/>
    <w:autoRedefine/>
    <w:qFormat/>
    <w:uiPriority w:val="0"/>
  </w:style>
  <w:style w:type="paragraph" w:customStyle="1" w:styleId="68">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9">
    <w:name w:val="Table Paragraph"/>
    <w:basedOn w:val="1"/>
    <w:autoRedefine/>
    <w:qFormat/>
    <w:uiPriority w:val="1"/>
    <w:pPr>
      <w:jc w:val="left"/>
    </w:pPr>
    <w:rPr>
      <w:rFonts w:ascii="宋体" w:hAnsi="宋体" w:cs="宋体"/>
      <w:kern w:val="0"/>
      <w:sz w:val="22"/>
      <w:szCs w:val="22"/>
      <w:lang w:eastAsia="en-US"/>
    </w:rPr>
  </w:style>
  <w:style w:type="paragraph" w:customStyle="1" w:styleId="70">
    <w:name w:val="无间隔1"/>
    <w:basedOn w:val="1"/>
    <w:autoRedefine/>
    <w:qFormat/>
    <w:uiPriority w:val="1"/>
    <w:pPr>
      <w:spacing w:line="400" w:lineRule="exact"/>
    </w:pPr>
    <w:rPr>
      <w:sz w:val="24"/>
    </w:rPr>
  </w:style>
  <w:style w:type="paragraph" w:customStyle="1" w:styleId="71">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2">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
    <w:basedOn w:val="1"/>
    <w:autoRedefine/>
    <w:qFormat/>
    <w:uiPriority w:val="34"/>
    <w:pPr>
      <w:ind w:firstLine="420" w:firstLineChars="200"/>
    </w:pPr>
  </w:style>
  <w:style w:type="paragraph" w:customStyle="1" w:styleId="74">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5">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6">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7">
    <w:name w:val="列出段落11"/>
    <w:basedOn w:val="1"/>
    <w:autoRedefine/>
    <w:qFormat/>
    <w:uiPriority w:val="0"/>
    <w:pPr>
      <w:ind w:firstLine="420" w:firstLineChars="200"/>
    </w:pPr>
    <w:rPr>
      <w:rFonts w:ascii="Calibri" w:hAnsi="Calibri"/>
      <w:szCs w:val="22"/>
    </w:rPr>
  </w:style>
  <w:style w:type="character" w:customStyle="1" w:styleId="78">
    <w:name w:val="正文文本 字符"/>
    <w:basedOn w:val="37"/>
    <w:link w:val="4"/>
    <w:autoRedefine/>
    <w:qFormat/>
    <w:uiPriority w:val="0"/>
  </w:style>
  <w:style w:type="character" w:customStyle="1" w:styleId="79">
    <w:name w:val="apple-converted-space"/>
    <w:basedOn w:val="37"/>
    <w:autoRedefine/>
    <w:qFormat/>
    <w:uiPriority w:val="0"/>
  </w:style>
  <w:style w:type="character" w:customStyle="1" w:styleId="80">
    <w:name w:val="文档结构图 字符"/>
    <w:link w:val="16"/>
    <w:autoRedefine/>
    <w:qFormat/>
    <w:uiPriority w:val="0"/>
    <w:rPr>
      <w:rFonts w:ascii="宋体"/>
      <w:kern w:val="2"/>
      <w:sz w:val="18"/>
      <w:szCs w:val="18"/>
    </w:rPr>
  </w:style>
  <w:style w:type="character" w:customStyle="1" w:styleId="81">
    <w:name w:val="不明显强调1"/>
    <w:autoRedefine/>
    <w:qFormat/>
    <w:uiPriority w:val="19"/>
    <w:rPr>
      <w:i/>
      <w:iCs/>
      <w:color w:val="7F7F7F"/>
      <w:szCs w:val="24"/>
    </w:rPr>
  </w:style>
  <w:style w:type="character" w:customStyle="1" w:styleId="82">
    <w:name w:val="font71"/>
    <w:basedOn w:val="37"/>
    <w:autoRedefine/>
    <w:qFormat/>
    <w:uiPriority w:val="0"/>
    <w:rPr>
      <w:rFonts w:hint="eastAsia" w:ascii="宋体" w:hAnsi="宋体" w:eastAsia="宋体" w:cs="宋体"/>
      <w:color w:val="000000"/>
      <w:sz w:val="28"/>
      <w:szCs w:val="28"/>
      <w:u w:val="none"/>
    </w:rPr>
  </w:style>
  <w:style w:type="character" w:customStyle="1" w:styleId="83">
    <w:name w:val="font21"/>
    <w:autoRedefine/>
    <w:qFormat/>
    <w:uiPriority w:val="0"/>
    <w:rPr>
      <w:rFonts w:hint="default" w:ascii="Calibri" w:hAnsi="Calibri" w:cs="Calibri"/>
      <w:color w:val="000000"/>
      <w:sz w:val="28"/>
      <w:szCs w:val="28"/>
      <w:u w:val="none"/>
    </w:rPr>
  </w:style>
  <w:style w:type="character" w:customStyle="1" w:styleId="84">
    <w:name w:val="17"/>
    <w:autoRedefine/>
    <w:qFormat/>
    <w:uiPriority w:val="0"/>
    <w:rPr>
      <w:rFonts w:hint="eastAsia" w:ascii="宋体" w:hAnsi="宋体" w:eastAsia="宋体"/>
      <w:color w:val="000000"/>
    </w:rPr>
  </w:style>
  <w:style w:type="character" w:customStyle="1" w:styleId="85">
    <w:name w:val="font91"/>
    <w:autoRedefine/>
    <w:qFormat/>
    <w:uiPriority w:val="0"/>
    <w:rPr>
      <w:rFonts w:hint="eastAsia" w:ascii="宋体" w:hAnsi="宋体" w:eastAsia="宋体" w:cs="宋体"/>
      <w:color w:val="FF0000"/>
      <w:sz w:val="28"/>
      <w:szCs w:val="28"/>
      <w:u w:val="none"/>
    </w:rPr>
  </w:style>
  <w:style w:type="paragraph" w:customStyle="1" w:styleId="86">
    <w:name w:val="p"/>
    <w:basedOn w:val="1"/>
    <w:autoRedefine/>
    <w:qFormat/>
    <w:uiPriority w:val="0"/>
    <w:pPr>
      <w:widowControl/>
      <w:spacing w:line="432" w:lineRule="auto"/>
      <w:jc w:val="left"/>
    </w:pPr>
    <w:rPr>
      <w:rFonts w:ascii="宋体" w:hAnsi="宋体" w:cs="宋体"/>
      <w:kern w:val="0"/>
      <w:sz w:val="24"/>
    </w:rPr>
  </w:style>
  <w:style w:type="paragraph" w:customStyle="1" w:styleId="87">
    <w:name w:val="WPSOffice手动目录 1"/>
    <w:autoRedefine/>
    <w:qFormat/>
    <w:uiPriority w:val="0"/>
    <w:rPr>
      <w:rFonts w:ascii="Times New Roman" w:hAnsi="Times New Roman" w:eastAsia="宋体" w:cs="Times New Roman"/>
      <w:lang w:val="en-US" w:eastAsia="zh-CN" w:bidi="ar-SA"/>
    </w:rPr>
  </w:style>
  <w:style w:type="paragraph" w:customStyle="1" w:styleId="88">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9">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90">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1">
    <w:name w:val="列表段落1"/>
    <w:basedOn w:val="1"/>
    <w:autoRedefine/>
    <w:qFormat/>
    <w:uiPriority w:val="34"/>
    <w:pPr>
      <w:widowControl/>
      <w:ind w:firstLine="420"/>
      <w:jc w:val="left"/>
    </w:pPr>
    <w:rPr>
      <w:kern w:val="0"/>
    </w:rPr>
  </w:style>
  <w:style w:type="paragraph" w:styleId="92">
    <w:name w:val="List Paragraph"/>
    <w:basedOn w:val="1"/>
    <w:autoRedefine/>
    <w:qFormat/>
    <w:uiPriority w:val="34"/>
    <w:pPr>
      <w:ind w:firstLine="420" w:firstLineChars="200"/>
    </w:pPr>
  </w:style>
  <w:style w:type="character" w:customStyle="1" w:styleId="93">
    <w:name w:val="hover18"/>
    <w:basedOn w:val="37"/>
    <w:autoRedefine/>
    <w:qFormat/>
    <w:uiPriority w:val="0"/>
  </w:style>
  <w:style w:type="table" w:customStyle="1" w:styleId="94">
    <w:name w:val="Table Normal"/>
    <w:autoRedefine/>
    <w:qFormat/>
    <w:uiPriority w:val="0"/>
    <w:tblPr>
      <w:tblCellMar>
        <w:top w:w="0" w:type="dxa"/>
        <w:left w:w="0" w:type="dxa"/>
        <w:bottom w:w="0" w:type="dxa"/>
        <w:right w:w="0" w:type="dxa"/>
      </w:tblCellMar>
    </w:tblPr>
  </w:style>
  <w:style w:type="paragraph" w:customStyle="1" w:styleId="95">
    <w:name w:val="Table Text"/>
    <w:basedOn w:val="1"/>
    <w:autoRedefine/>
    <w:semiHidden/>
    <w:qFormat/>
    <w:uiPriority w:val="0"/>
    <w:rPr>
      <w:rFonts w:ascii="宋体" w:hAnsi="宋体" w:cs="宋体"/>
      <w:sz w:val="45"/>
      <w:szCs w:val="45"/>
      <w:lang w:eastAsia="en-US"/>
    </w:rPr>
  </w:style>
  <w:style w:type="character" w:customStyle="1" w:styleId="96">
    <w:name w:val="font11"/>
    <w:basedOn w:val="37"/>
    <w:autoRedefine/>
    <w:qFormat/>
    <w:uiPriority w:val="0"/>
    <w:rPr>
      <w:rFonts w:ascii="Calibri" w:hAnsi="Calibri" w:cs="Calibri"/>
      <w:color w:val="000000"/>
      <w:sz w:val="24"/>
      <w:szCs w:val="24"/>
      <w:u w:val="none"/>
    </w:rPr>
  </w:style>
  <w:style w:type="paragraph" w:customStyle="1" w:styleId="97">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8">
    <w:name w:val="font61"/>
    <w:basedOn w:val="37"/>
    <w:qFormat/>
    <w:uiPriority w:val="0"/>
    <w:rPr>
      <w:rFonts w:ascii="宋体" w:hAnsi="宋体" w:eastAsia="宋体" w:cs="宋体"/>
      <w:color w:val="000000"/>
      <w:sz w:val="24"/>
      <w:szCs w:val="24"/>
      <w:u w:val="none"/>
    </w:rPr>
  </w:style>
  <w:style w:type="character" w:customStyle="1" w:styleId="99">
    <w:name w:val="font81"/>
    <w:basedOn w:val="37"/>
    <w:qFormat/>
    <w:uiPriority w:val="0"/>
    <w:rPr>
      <w:rFonts w:hint="default" w:ascii="Times New Roman" w:hAnsi="Times New Roman" w:cs="Times New Roman"/>
      <w:color w:val="000000"/>
      <w:sz w:val="18"/>
      <w:szCs w:val="18"/>
      <w:u w:val="none"/>
    </w:rPr>
  </w:style>
  <w:style w:type="character" w:customStyle="1" w:styleId="100">
    <w:name w:val="页脚 字符"/>
    <w:basedOn w:val="37"/>
    <w:link w:val="2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16252</Words>
  <Characters>17023</Characters>
  <Lines>137</Lines>
  <Paragraphs>38</Paragraphs>
  <TotalTime>0</TotalTime>
  <ScaleCrop>false</ScaleCrop>
  <LinksUpToDate>false</LinksUpToDate>
  <CharactersWithSpaces>17938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2025-07-14T12:24:00Z</dcterms:created>
  <dc:creator>微软用户</dc:creator>
  <cp:lastModifiedBy>潘艳红</cp:lastModifiedBy>
  <cp:lastPrinted>2021-09-30T00:46:00Z</cp:lastPrinted>
  <dcterms:modified xsi:type="dcterms:W3CDTF">2025-07-21T07:14:47Z</dcterms:modified>
  <dc:title>驻马店市政府采购货物项目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76E9EC2400804A809788D436132F2096_13</vt:lpwstr>
  </property>
  <property fmtid="{D5CDD505-2E9C-101B-9397-08002B2CF9AE}" pid="4" name="KSOTemplateDocerSaveRecord">
    <vt:lpwstr>eyJoZGlkIjoiYzIwMjRmYTY4OTJhZjc1NTA1MGQwNDc0NzZhNTkwMmUiLCJ1c2VySWQiOiIxNjg0NTc5MjM2In0=</vt:lpwstr>
  </property>
</Properties>
</file>