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驻马店市中心医院手术器械（异物钳）供货</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 xml:space="preserve">  </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7</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17</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驻马店市中心医院手术器械（异物钳）供货</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手术器械（异物钳）供货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驻马店市中心医院手术器械（异物钳）供货</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25万元</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合同履行期限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23395"/>
      <w:bookmarkStart w:id="10" w:name="_Toc9562"/>
      <w:bookmarkStart w:id="11" w:name="_Toc3064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7480"/>
      <w:bookmarkStart w:id="15" w:name="_Toc15135"/>
      <w:bookmarkStart w:id="16" w:name="_Toc25869"/>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2.采购代理机构：中大宇辰项目管理有限公司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联系人：李先生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ascii="宋体" w:hAnsi="宋体" w:eastAsia="宋体" w:cs="宋体"/>
          <w:color w:val="auto"/>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6</w:t>
      </w:r>
      <w:bookmarkStart w:id="95" w:name="_GoBack"/>
      <w:bookmarkEnd w:id="95"/>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cs="宋体"/>
          <w:i w:val="0"/>
          <w:iCs/>
          <w:sz w:val="21"/>
          <w:szCs w:val="21"/>
          <w:highlight w:val="none"/>
          <w:u w:val="none"/>
          <w:lang w:val="en-US" w:eastAsia="zh-CN"/>
        </w:rPr>
        <w:t>驻马店市中心医院手术器械（异物钳）供货</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仿宋" w:hAnsi="仿宋" w:eastAsia="仿宋" w:cs="仿宋"/>
          <w:b w:val="0"/>
          <w:bCs w:val="0"/>
          <w:sz w:val="28"/>
          <w:szCs w:val="28"/>
          <w:u w:val="single"/>
          <w:lang w:val="en-US" w:eastAsia="zh-CN"/>
        </w:rPr>
      </w:pPr>
      <w:r>
        <w:rPr>
          <w:rFonts w:hint="eastAsia" w:ascii="宋体" w:hAnsi="宋体" w:eastAsia="宋体" w:cs="宋体"/>
          <w:b/>
          <w:bCs/>
          <w:i w:val="0"/>
          <w:iCs/>
          <w:sz w:val="21"/>
          <w:szCs w:val="21"/>
          <w:highlight w:val="none"/>
          <w:u w:val="none"/>
          <w:lang w:val="en-US" w:eastAsia="zh-CN"/>
        </w:rPr>
        <w:t>二、项目概况</w:t>
      </w:r>
      <w:r>
        <w:rPr>
          <w:rFonts w:hint="eastAsia" w:ascii="仿宋" w:hAnsi="仿宋" w:eastAsia="仿宋" w:cs="仿宋"/>
          <w:sz w:val="32"/>
          <w:szCs w:val="32"/>
          <w:u w:val="none"/>
          <w:lang w:eastAsia="zh-CN"/>
        </w:rPr>
        <w:t>：</w:t>
      </w:r>
      <w:r>
        <w:rPr>
          <w:rFonts w:hint="eastAsia" w:ascii="宋体" w:hAnsi="宋体" w:eastAsia="宋体" w:cs="宋体"/>
          <w:i w:val="0"/>
          <w:iCs/>
          <w:sz w:val="21"/>
          <w:szCs w:val="21"/>
          <w:highlight w:val="none"/>
          <w:u w:val="none"/>
          <w:lang w:val="en-US" w:eastAsia="zh-CN"/>
        </w:rPr>
        <w:t>手术器械（异物钳）供货一年，费用据实结算。</w:t>
      </w:r>
    </w:p>
    <w:p>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三、采购标的清单：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971"/>
        <w:gridCol w:w="725"/>
        <w:gridCol w:w="1377"/>
        <w:gridCol w:w="92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pStyle w:val="14"/>
              <w:numPr>
                <w:ilvl w:val="0"/>
                <w:numId w:val="0"/>
              </w:numPr>
              <w:jc w:val="center"/>
              <w:rPr>
                <w:rFonts w:hint="eastAsia"/>
                <w:b/>
                <w:bCs/>
                <w:lang w:val="en-US" w:eastAsia="zh-CN"/>
              </w:rPr>
            </w:pPr>
            <w:r>
              <w:rPr>
                <w:rFonts w:hint="eastAsia"/>
                <w:b/>
                <w:bCs/>
                <w:lang w:val="en-US" w:eastAsia="zh-CN"/>
              </w:rPr>
              <w:t>包号</w:t>
            </w:r>
          </w:p>
        </w:tc>
        <w:tc>
          <w:tcPr>
            <w:tcW w:w="652" w:type="dxa"/>
            <w:vAlign w:val="center"/>
          </w:tcPr>
          <w:p>
            <w:pPr>
              <w:pStyle w:val="14"/>
              <w:numPr>
                <w:ilvl w:val="0"/>
                <w:numId w:val="0"/>
              </w:numPr>
              <w:jc w:val="center"/>
              <w:rPr>
                <w:rFonts w:hint="eastAsia"/>
                <w:b/>
                <w:bCs/>
                <w:lang w:val="en-US" w:eastAsia="zh-CN"/>
              </w:rPr>
            </w:pPr>
            <w:r>
              <w:rPr>
                <w:rFonts w:hint="eastAsia"/>
                <w:b/>
                <w:bCs/>
                <w:lang w:val="en-US" w:eastAsia="zh-CN"/>
              </w:rPr>
              <w:t>序号</w:t>
            </w:r>
          </w:p>
        </w:tc>
        <w:tc>
          <w:tcPr>
            <w:tcW w:w="2207" w:type="dxa"/>
            <w:vAlign w:val="center"/>
          </w:tcPr>
          <w:p>
            <w:pPr>
              <w:pStyle w:val="14"/>
              <w:numPr>
                <w:ilvl w:val="0"/>
                <w:numId w:val="0"/>
              </w:numPr>
              <w:jc w:val="center"/>
              <w:rPr>
                <w:rFonts w:hint="eastAsia"/>
                <w:b/>
                <w:bCs/>
                <w:lang w:val="en-US" w:eastAsia="zh-CN"/>
              </w:rPr>
            </w:pPr>
            <w:r>
              <w:rPr>
                <w:rFonts w:hint="eastAsia"/>
                <w:b/>
                <w:bCs/>
                <w:lang w:val="en-US" w:eastAsia="zh-CN"/>
              </w:rPr>
              <w:t>标的名称</w:t>
            </w:r>
          </w:p>
        </w:tc>
        <w:tc>
          <w:tcPr>
            <w:tcW w:w="971" w:type="dxa"/>
            <w:vAlign w:val="center"/>
          </w:tcPr>
          <w:p>
            <w:pPr>
              <w:pStyle w:val="14"/>
              <w:numPr>
                <w:ilvl w:val="0"/>
                <w:numId w:val="0"/>
              </w:numPr>
              <w:jc w:val="center"/>
              <w:rPr>
                <w:rFonts w:hint="eastAsia"/>
                <w:b/>
                <w:bCs/>
                <w:lang w:val="en-US" w:eastAsia="zh-CN"/>
              </w:rPr>
            </w:pPr>
            <w:r>
              <w:rPr>
                <w:rFonts w:hint="eastAsia"/>
                <w:b/>
                <w:bCs/>
                <w:lang w:val="en-US" w:eastAsia="zh-CN"/>
              </w:rPr>
              <w:t>单位</w:t>
            </w:r>
          </w:p>
        </w:tc>
        <w:tc>
          <w:tcPr>
            <w:tcW w:w="725" w:type="dxa"/>
            <w:vAlign w:val="center"/>
          </w:tcPr>
          <w:p>
            <w:pPr>
              <w:pStyle w:val="14"/>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pPr>
              <w:pStyle w:val="14"/>
              <w:numPr>
                <w:ilvl w:val="0"/>
                <w:numId w:val="0"/>
              </w:numPr>
              <w:jc w:val="center"/>
              <w:rPr>
                <w:rFonts w:hint="eastAsia"/>
                <w:b/>
                <w:bCs/>
                <w:lang w:val="en-US" w:eastAsia="zh-CN"/>
              </w:rPr>
            </w:pPr>
            <w:r>
              <w:rPr>
                <w:rFonts w:hint="eastAsia"/>
                <w:b/>
                <w:bCs/>
                <w:lang w:val="en-US" w:eastAsia="zh-CN"/>
              </w:rPr>
              <w:t>资金</w:t>
            </w:r>
          </w:p>
          <w:p>
            <w:pPr>
              <w:pStyle w:val="14"/>
              <w:numPr>
                <w:ilvl w:val="0"/>
                <w:numId w:val="0"/>
              </w:numPr>
              <w:jc w:val="center"/>
              <w:rPr>
                <w:rFonts w:hint="eastAsia"/>
                <w:b/>
                <w:bCs/>
                <w:lang w:val="en-US" w:eastAsia="zh-CN"/>
              </w:rPr>
            </w:pPr>
            <w:r>
              <w:rPr>
                <w:rFonts w:hint="eastAsia"/>
                <w:b/>
                <w:bCs/>
                <w:lang w:val="en-US" w:eastAsia="zh-CN"/>
              </w:rPr>
              <w:t>预算</w:t>
            </w:r>
          </w:p>
        </w:tc>
        <w:tc>
          <w:tcPr>
            <w:tcW w:w="923" w:type="dxa"/>
            <w:vAlign w:val="center"/>
          </w:tcPr>
          <w:p>
            <w:pPr>
              <w:pStyle w:val="14"/>
              <w:numPr>
                <w:ilvl w:val="0"/>
                <w:numId w:val="0"/>
              </w:numPr>
              <w:jc w:val="center"/>
              <w:rPr>
                <w:rFonts w:hint="eastAsia"/>
                <w:b/>
                <w:bCs/>
                <w:lang w:val="en-US" w:eastAsia="zh-CN"/>
              </w:rPr>
            </w:pPr>
            <w:r>
              <w:rPr>
                <w:rFonts w:hint="eastAsia"/>
                <w:b/>
                <w:bCs/>
                <w:lang w:val="en-US" w:eastAsia="zh-CN"/>
              </w:rPr>
              <w:t>资金</w:t>
            </w:r>
          </w:p>
          <w:p>
            <w:pPr>
              <w:pStyle w:val="14"/>
              <w:numPr>
                <w:ilvl w:val="0"/>
                <w:numId w:val="0"/>
              </w:numPr>
              <w:jc w:val="center"/>
              <w:rPr>
                <w:rFonts w:hint="eastAsia"/>
                <w:b/>
                <w:bCs/>
                <w:lang w:val="en-US" w:eastAsia="zh-CN"/>
              </w:rPr>
            </w:pPr>
            <w:r>
              <w:rPr>
                <w:rFonts w:hint="eastAsia"/>
                <w:b/>
                <w:bCs/>
                <w:lang w:val="en-US" w:eastAsia="zh-CN"/>
              </w:rPr>
              <w:t>性质</w:t>
            </w:r>
          </w:p>
        </w:tc>
        <w:tc>
          <w:tcPr>
            <w:tcW w:w="1202" w:type="dxa"/>
            <w:vAlign w:val="center"/>
          </w:tcPr>
          <w:p>
            <w:pPr>
              <w:pStyle w:val="14"/>
              <w:numPr>
                <w:ilvl w:val="0"/>
                <w:numId w:val="0"/>
              </w:numPr>
              <w:jc w:val="center"/>
              <w:rPr>
                <w:rFonts w:hint="eastAsia"/>
                <w:b/>
                <w:bCs/>
                <w:lang w:val="en-US" w:eastAsia="zh-CN"/>
              </w:rPr>
            </w:pPr>
            <w:r>
              <w:rPr>
                <w:rFonts w:hint="eastAsia"/>
                <w:b/>
                <w:bCs/>
                <w:lang w:val="en-US" w:eastAsia="zh-CN"/>
              </w:rPr>
              <w:t>国产/</w:t>
            </w:r>
          </w:p>
          <w:p>
            <w:pPr>
              <w:pStyle w:val="14"/>
              <w:numPr>
                <w:ilvl w:val="0"/>
                <w:numId w:val="0"/>
              </w:numPr>
              <w:jc w:val="center"/>
              <w:rPr>
                <w:rFonts w:hint="eastAsia"/>
                <w:b/>
                <w:bCs/>
                <w:lang w:val="en-US" w:eastAsia="zh-CN"/>
              </w:rPr>
            </w:pPr>
            <w:r>
              <w:rPr>
                <w:rFonts w:hint="eastAsia"/>
                <w:b/>
                <w:bCs/>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pStyle w:val="14"/>
              <w:numPr>
                <w:ilvl w:val="0"/>
                <w:numId w:val="0"/>
              </w:numPr>
              <w:jc w:val="center"/>
              <w:rPr>
                <w:rFonts w:hint="eastAsia"/>
                <w:lang w:val="en-US" w:eastAsia="zh-CN"/>
              </w:rPr>
            </w:pPr>
            <w:r>
              <w:rPr>
                <w:rFonts w:hint="eastAsia"/>
                <w:lang w:val="en-US" w:eastAsia="zh-CN"/>
              </w:rPr>
              <w:t>1</w:t>
            </w:r>
          </w:p>
        </w:tc>
        <w:tc>
          <w:tcPr>
            <w:tcW w:w="6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1</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手术器械（异物钳）供货</w:t>
            </w:r>
          </w:p>
        </w:tc>
        <w:tc>
          <w:tcPr>
            <w:tcW w:w="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条</w:t>
            </w:r>
          </w:p>
        </w:tc>
        <w:tc>
          <w:tcPr>
            <w:tcW w:w="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据实结算</w:t>
            </w:r>
          </w:p>
        </w:tc>
        <w:tc>
          <w:tcPr>
            <w:tcW w:w="1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2200元/条，总预算约25万</w:t>
            </w:r>
          </w:p>
        </w:tc>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自筹</w:t>
            </w:r>
          </w:p>
        </w:tc>
        <w:tc>
          <w:tcPr>
            <w:tcW w:w="1202" w:type="dxa"/>
            <w:vAlign w:val="center"/>
          </w:tcPr>
          <w:p>
            <w:pPr>
              <w:pStyle w:val="14"/>
              <w:numPr>
                <w:ilvl w:val="0"/>
                <w:numId w:val="0"/>
              </w:numPr>
              <w:jc w:val="center"/>
              <w:rPr>
                <w:rFonts w:hint="eastAsia"/>
                <w:lang w:val="en-US" w:eastAsia="zh-CN"/>
              </w:rPr>
            </w:pPr>
          </w:p>
        </w:tc>
      </w:tr>
    </w:tbl>
    <w:p>
      <w:pPr>
        <w:pStyle w:val="14"/>
        <w:tabs>
          <w:tab w:val="left" w:pos="568"/>
        </w:tabs>
        <w:spacing w:line="240" w:lineRule="auto"/>
        <w:ind w:firstLine="534" w:firstLineChars="200"/>
        <w:jc w:val="center"/>
        <w:rPr>
          <w:rFonts w:hint="eastAsia" w:ascii="宋体" w:hAnsi="宋体" w:eastAsia="宋体" w:cs="宋体"/>
          <w:b/>
          <w:bCs/>
          <w:spacing w:val="28"/>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outlineLvl w:val="1"/>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四、技术要求：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1、参数要求：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eastAsia="宋体" w:cs="宋体"/>
          <w:sz w:val="21"/>
          <w:szCs w:val="21"/>
          <w:lang w:val="zh-CN"/>
        </w:rPr>
        <w:t>工作长度为</w:t>
      </w:r>
      <w:r>
        <w:rPr>
          <w:rFonts w:hint="eastAsia" w:ascii="宋体" w:hAnsi="宋体" w:eastAsia="宋体" w:cs="宋体"/>
          <w:sz w:val="21"/>
          <w:szCs w:val="21"/>
          <w:lang w:val="en-US" w:eastAsia="zh-CN"/>
        </w:rPr>
        <w:t>580㎜，规格5Fr、4Fr可选；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②手术器械为可拆卸硬性器械；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③手术器械可360°旋转；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④可高温高压低温等离子灭菌。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医疗器械的包装应符合国家有关标准或行业标淮，并保证适合运输、储存。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提供的</w:t>
      </w:r>
      <w:r>
        <w:rPr>
          <w:rFonts w:hint="eastAsia" w:ascii="宋体" w:hAnsi="宋体" w:eastAsia="宋体" w:cs="宋体"/>
          <w:sz w:val="21"/>
          <w:szCs w:val="21"/>
          <w:lang w:val="en-US" w:eastAsia="zh-CN"/>
        </w:rPr>
        <w:t>器械</w:t>
      </w:r>
      <w:r>
        <w:rPr>
          <w:rFonts w:hint="eastAsia" w:ascii="宋体" w:hAnsi="宋体" w:eastAsia="宋体" w:cs="宋体"/>
          <w:sz w:val="21"/>
          <w:szCs w:val="21"/>
          <w:lang w:val="zh-CN"/>
        </w:rPr>
        <w:t>必须是合格出厂的全新（含零部件、配件等）产品，全部外观表面无划伤、无碰撞痕迹，产品所有权及自身涉及的各项知识产权权属清楚，不得存在侵害他人知识产权和其他权益的情形。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5、器械</w:t>
      </w:r>
      <w:r>
        <w:rPr>
          <w:rFonts w:hint="eastAsia" w:ascii="宋体" w:hAnsi="宋体" w:eastAsia="宋体" w:cs="宋体"/>
          <w:sz w:val="21"/>
          <w:szCs w:val="21"/>
          <w:lang w:val="zh-CN"/>
        </w:rPr>
        <w:t>出厂时必须符合或优于国家(没有国标时，以行标）新标准，同时符合本项目招标文件确定的各项质量要求和技术指标及出厂标准。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6、器械</w:t>
      </w:r>
      <w:r>
        <w:rPr>
          <w:rFonts w:hint="eastAsia" w:ascii="宋体" w:hAnsi="宋体" w:eastAsia="宋体" w:cs="宋体"/>
          <w:sz w:val="21"/>
          <w:szCs w:val="21"/>
          <w:lang w:val="zh-CN"/>
        </w:rPr>
        <w:t>的制造质量存在或出现问题时，必须负责三包（包修、包换、包退），有权亲自派员或委托第三方到生产或仓储现场查验标的物质量或生产进度。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五、商务要求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所供医疗器械的标签及说明书更新证明文件应在货到之日 24 小时内提供，否则将作退货处理。(如属特殊情况，请签订销售责任保证书）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在接到采购通知单（款到发货的为收到货款）后，应在 5个工作日内将医疗器械送达。</w:t>
      </w:r>
    </w:p>
    <w:p>
      <w:pPr>
        <w:pStyle w:val="13"/>
        <w:rPr>
          <w:rFonts w:hint="eastAsia" w:eastAsia="宋体"/>
          <w:lang w:val="en-US" w:eastAsia="zh-CN"/>
        </w:rPr>
      </w:pP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lang w:val="en-US" w:eastAsia="zh-CN"/>
                <w14:textFill>
                  <w14:solidFill>
                    <w14:schemeClr w14:val="tx1"/>
                  </w14:solidFill>
                </w14:textFill>
              </w:rPr>
              <w:t>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半年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符合国家现行标准要求</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以合同签订为准。</w:t>
            </w:r>
          </w:p>
        </w:tc>
      </w:tr>
    </w:tbl>
    <w:p>
      <w:pPr>
        <w:pStyle w:val="13"/>
        <w:rPr>
          <w:rFonts w:hint="eastAsia"/>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驻马店市中心医院手术器械（异物钳）供货</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250000元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250000.00元</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lang w:eastAsia="zh-CN"/>
        </w:rPr>
        <w:t>控制单价为</w:t>
      </w:r>
      <w:r>
        <w:rPr>
          <w:rFonts w:hint="eastAsia" w:ascii="宋体" w:hAnsi="宋体" w:cs="宋体"/>
          <w:color w:val="auto"/>
          <w:kern w:val="0"/>
          <w:szCs w:val="21"/>
          <w:highlight w:val="none"/>
          <w:lang w:val="en-US" w:eastAsia="zh-CN"/>
        </w:rPr>
        <w:t>2200.00元/条，投标人的投标报价高于</w:t>
      </w:r>
      <w:r>
        <w:rPr>
          <w:rFonts w:hint="eastAsia" w:ascii="宋体" w:hAnsi="宋体" w:cs="宋体"/>
          <w:color w:val="auto"/>
          <w:kern w:val="0"/>
          <w:szCs w:val="21"/>
          <w:highlight w:val="none"/>
          <w:lang w:eastAsia="zh-CN"/>
        </w:rPr>
        <w:t>控制单价</w:t>
      </w:r>
      <w:r>
        <w:rPr>
          <w:rFonts w:hint="eastAsia" w:ascii="宋体" w:hAnsi="宋体" w:cs="宋体"/>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4.2 </w:t>
      </w:r>
      <w:r>
        <w:rPr>
          <w:rFonts w:hint="eastAsia" w:ascii="宋体" w:hAnsi="宋体" w:eastAsia="宋体" w:cs="宋体"/>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lang w:val="en-US"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5</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完全满足招标文件第二章 采购需求 四、技术要求”的得30分；一项不满足扣5分。得分为0，则投标无效。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2.实施方案（15分）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供应商对项目实施方案的整体规划，包括对接方案、供货方案、交货期保证措施。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以上措施详细、合理、可行的11-15分；基本详细、基本合理、基本可行的6-10分；基本详细度、合理性差、可行性差的1-5分；缺项得0分。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质保期达到招标要求的，得基础分2分，超过招标文件规定的，每增加半年加2分,最多加4分（出具相关服务承诺书）；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w:t>
            </w:r>
            <w:r>
              <w:rPr>
                <w:rFonts w:hint="eastAsia" w:ascii="宋体" w:hAnsi="宋体" w:cs="宋体"/>
                <w:lang w:val="en-US" w:eastAsia="zh-CN"/>
              </w:rPr>
              <w:t>1</w:t>
            </w:r>
            <w:r>
              <w:rPr>
                <w:rFonts w:hint="eastAsia" w:ascii="宋体" w:hAnsi="宋体" w:eastAsia="宋体" w:cs="宋体"/>
                <w:lang w:val="en-US" w:eastAsia="zh-CN"/>
              </w:rPr>
              <w:t>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根据</w:t>
            </w:r>
            <w:r>
              <w:rPr>
                <w:rFonts w:hint="eastAsia" w:ascii="宋体" w:hAnsi="宋体" w:eastAsia="宋体" w:cs="宋体"/>
                <w:lang w:eastAsia="zh-CN"/>
              </w:rPr>
              <w:t>供应商</w:t>
            </w:r>
            <w:r>
              <w:rPr>
                <w:rFonts w:hint="eastAsia" w:ascii="宋体" w:hAnsi="宋体" w:eastAsia="宋体" w:cs="宋体"/>
              </w:rPr>
              <w:t>服务团队设立情况、备品备件供应、售后服务及时率、详细的售后处理方案、售后服务承诺等内容进行综合对比评分。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售后服务承诺内容具体、完善、合理性程度强得</w:t>
            </w:r>
            <w:r>
              <w:rPr>
                <w:rFonts w:hint="eastAsia" w:ascii="宋体" w:hAnsi="宋体" w:eastAsia="宋体" w:cs="宋体"/>
                <w:lang w:val="en-US" w:eastAsia="zh-CN"/>
              </w:rPr>
              <w:t>11</w:t>
            </w:r>
            <w:r>
              <w:rPr>
                <w:rFonts w:hint="eastAsia" w:ascii="宋体" w:hAnsi="宋体" w:eastAsia="宋体" w:cs="宋体"/>
              </w:rPr>
              <w:t>-</w:t>
            </w:r>
            <w:r>
              <w:rPr>
                <w:rFonts w:hint="eastAsia" w:ascii="宋体" w:hAnsi="宋体" w:eastAsia="宋体" w:cs="宋体"/>
                <w:lang w:val="en-US" w:eastAsia="zh-CN"/>
              </w:rPr>
              <w:t>15</w:t>
            </w:r>
            <w:r>
              <w:rPr>
                <w:rFonts w:hint="eastAsia" w:ascii="宋体" w:hAnsi="宋体" w:eastAsia="宋体" w:cs="宋体"/>
              </w:rPr>
              <w:t>分，具体、完善、合理性程度一般得</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分，具体、完善、合理性程度差得1-</w:t>
            </w:r>
            <w:r>
              <w:rPr>
                <w:rFonts w:hint="eastAsia" w:ascii="宋体" w:hAnsi="宋体" w:eastAsia="宋体" w:cs="宋体"/>
                <w:lang w:val="en-US" w:eastAsia="zh-CN"/>
              </w:rPr>
              <w:t>5</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482"/>
      <w:bookmarkStart w:id="45" w:name="_Toc1947"/>
      <w:bookmarkStart w:id="46" w:name="_Toc256519703"/>
      <w:bookmarkStart w:id="47" w:name="_Toc326786897"/>
    </w:p>
    <w:p>
      <w:pPr>
        <w:pStyle w:val="3"/>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3" w:name="_Toc14560"/>
      <w:bookmarkStart w:id="64" w:name="_Toc8818"/>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5" w:name="_Toc7838"/>
      <w:r>
        <w:rPr>
          <w:rFonts w:hint="eastAsia"/>
          <w:color w:val="auto"/>
          <w:highlight w:val="none"/>
        </w:rPr>
        <w:t>附件3               开标一览表</w:t>
      </w:r>
      <w:bookmarkEnd w:id="65"/>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widowControl/>
              <w:snapToGrid w:val="0"/>
              <w:spacing w:before="50" w:after="50"/>
              <w:jc w:val="center"/>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元/条</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708" w:type="dxa"/>
            <w:noWrap/>
            <w:vAlign w:val="bottom"/>
          </w:tcPr>
          <w:p>
            <w:pPr>
              <w:spacing w:line="360" w:lineRule="auto"/>
              <w:ind w:firstLine="1155" w:firstLineChars="550"/>
              <w:rPr>
                <w:rFonts w:ascii="宋体" w:hAnsi="宋体"/>
                <w:color w:val="0000FF"/>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合同履行期限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2"/>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2"/>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6" w:name="_Toc29960"/>
      <w:bookmarkStart w:id="77" w:name="_Toc20420"/>
      <w:bookmarkStart w:id="78" w:name="_Toc24168"/>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bookmarkStart w:id="81" w:name="_Toc29406"/>
      <w:r>
        <w:rPr>
          <w:rFonts w:hint="eastAsia" w:ascii="Arial" w:hAnsi="Arial" w:eastAsia="新宋体"/>
          <w:b/>
          <w:color w:val="auto"/>
          <w:sz w:val="28"/>
          <w:highlight w:val="none"/>
        </w:rPr>
        <w:t>附件7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2939"/>
      <w:bookmarkStart w:id="84" w:name="_Toc13976"/>
      <w:r>
        <w:rPr>
          <w:rFonts w:hint="eastAsia" w:ascii="Arial" w:hAnsi="Arial" w:eastAsia="新宋体"/>
          <w:b/>
          <w:color w:val="auto"/>
          <w:sz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5" w:name="_Toc3342"/>
      <w:bookmarkStart w:id="86" w:name="_Toc18105"/>
      <w:bookmarkStart w:id="87" w:name="_Toc24693"/>
      <w:r>
        <w:rPr>
          <w:rFonts w:hint="eastAsia" w:ascii="Arial" w:hAnsi="Arial" w:eastAsia="新宋体"/>
          <w:b/>
          <w:color w:val="auto"/>
          <w:sz w:val="28"/>
          <w:highlight w:val="none"/>
        </w:rPr>
        <w:t>附件9               证明文件</w:t>
      </w:r>
      <w:bookmarkEnd w:id="85"/>
      <w:bookmarkEnd w:id="86"/>
      <w:bookmarkEnd w:id="87"/>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9" w:name="_Toc12888"/>
      <w:bookmarkStart w:id="90" w:name="_Toc13726"/>
      <w:bookmarkStart w:id="91" w:name="_Toc16083"/>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92" w:name="_Toc23394"/>
      <w:bookmarkStart w:id="93" w:name="_Toc31685"/>
      <w:bookmarkStart w:id="94"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驻马店市中心医院手术器械（异物钳）供货</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51639"/>
    <w:rsid w:val="021C6E40"/>
    <w:rsid w:val="02222FF2"/>
    <w:rsid w:val="02384FF4"/>
    <w:rsid w:val="023F67A9"/>
    <w:rsid w:val="0247575A"/>
    <w:rsid w:val="025235B1"/>
    <w:rsid w:val="0262674D"/>
    <w:rsid w:val="02744B1B"/>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0E236F"/>
    <w:rsid w:val="054C0111"/>
    <w:rsid w:val="05545DD3"/>
    <w:rsid w:val="056E2AD6"/>
    <w:rsid w:val="057354E1"/>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AC324F"/>
    <w:rsid w:val="0BC11EE9"/>
    <w:rsid w:val="0BF16C73"/>
    <w:rsid w:val="0BF72F1E"/>
    <w:rsid w:val="0C3152C1"/>
    <w:rsid w:val="0C3957A5"/>
    <w:rsid w:val="0C507E2F"/>
    <w:rsid w:val="0C626DA7"/>
    <w:rsid w:val="0C6876AE"/>
    <w:rsid w:val="0C71390F"/>
    <w:rsid w:val="0C720EC8"/>
    <w:rsid w:val="0C942042"/>
    <w:rsid w:val="0C9D50DC"/>
    <w:rsid w:val="0CA2629B"/>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5247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81293"/>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BE19D3"/>
    <w:rsid w:val="17C227C0"/>
    <w:rsid w:val="17D66D7C"/>
    <w:rsid w:val="17EE5BFF"/>
    <w:rsid w:val="18097740"/>
    <w:rsid w:val="184055B9"/>
    <w:rsid w:val="184A2082"/>
    <w:rsid w:val="1853049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B3CDE"/>
    <w:rsid w:val="1D6E2950"/>
    <w:rsid w:val="1D756FD8"/>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0A5F40"/>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AA560B"/>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CA2A79"/>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EA295B"/>
    <w:rsid w:val="3B312338"/>
    <w:rsid w:val="3B3C5B77"/>
    <w:rsid w:val="3B3D0FF2"/>
    <w:rsid w:val="3B521A18"/>
    <w:rsid w:val="3B8D2B96"/>
    <w:rsid w:val="3B923660"/>
    <w:rsid w:val="3B933ABE"/>
    <w:rsid w:val="3BCA44BE"/>
    <w:rsid w:val="3C061F3A"/>
    <w:rsid w:val="3C0A04F9"/>
    <w:rsid w:val="3C495480"/>
    <w:rsid w:val="3C4C3A42"/>
    <w:rsid w:val="3C6321FA"/>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BC05DF"/>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C45247"/>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4E765F"/>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7560D1"/>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EA7056"/>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D2040"/>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471775"/>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690189"/>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582CF2"/>
    <w:rsid w:val="7F951B4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3"/>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4"/>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4"/>
    <w:next w:val="31"/>
    <w:autoRedefine/>
    <w:qFormat/>
    <w:uiPriority w:val="0"/>
    <w:pPr>
      <w:spacing w:line="360" w:lineRule="auto"/>
      <w:ind w:firstLine="420" w:firstLineChars="100"/>
    </w:pPr>
    <w:rPr>
      <w:szCs w:val="21"/>
    </w:rPr>
  </w:style>
  <w:style w:type="paragraph" w:styleId="31">
    <w:name w:val="Body Text First Indent 2"/>
    <w:basedOn w:val="13"/>
    <w:next w:val="9"/>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4"/>
    <w:autoRedefine/>
    <w:qFormat/>
    <w:uiPriority w:val="0"/>
  </w:style>
  <w:style w:type="character" w:customStyle="1" w:styleId="74">
    <w:name w:val="apple-converted-space"/>
    <w:basedOn w:val="34"/>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 w:type="character" w:customStyle="1" w:styleId="91">
    <w:name w:val="hover19"/>
    <w:basedOn w:val="34"/>
    <w:autoRedefine/>
    <w:qFormat/>
    <w:uiPriority w:val="0"/>
    <w:rPr>
      <w:color w:val="FFFFFF"/>
    </w:rPr>
  </w:style>
  <w:style w:type="character" w:customStyle="1" w:styleId="92">
    <w:name w:val="hover20"/>
    <w:basedOn w:val="34"/>
    <w:autoRedefine/>
    <w:qFormat/>
    <w:uiPriority w:val="0"/>
    <w:rPr>
      <w:color w:val="5FB878"/>
    </w:rPr>
  </w:style>
  <w:style w:type="character" w:customStyle="1" w:styleId="93">
    <w:name w:val="hover21"/>
    <w:basedOn w:val="34"/>
    <w:autoRedefine/>
    <w:qFormat/>
    <w:uiPriority w:val="0"/>
    <w:rPr>
      <w:color w:val="5FB878"/>
    </w:rPr>
  </w:style>
  <w:style w:type="character" w:customStyle="1" w:styleId="94">
    <w:name w:val="layui-this4"/>
    <w:basedOn w:val="34"/>
    <w:autoRedefine/>
    <w:qFormat/>
    <w:uiPriority w:val="0"/>
    <w:rPr>
      <w:bdr w:val="single" w:color="EEEEEE" w:sz="6" w:space="0"/>
      <w:shd w:val="clear" w:fill="FFFFFF"/>
    </w:rPr>
  </w:style>
  <w:style w:type="character" w:customStyle="1" w:styleId="95">
    <w:name w:val="layui-laypage-curr"/>
    <w:basedOn w:val="34"/>
    <w:autoRedefine/>
    <w:qFormat/>
    <w:uiPriority w:val="0"/>
  </w:style>
  <w:style w:type="character" w:customStyle="1" w:styleId="96">
    <w:name w:val="first-child"/>
    <w:basedOn w:val="3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2024-05-06T00:17:20Z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961207537B26443FBB245ADAC61562D1_13</vt:lpwstr>
  </property>
</Properties>
</file>