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highlight w:val="none"/>
          <w:lang w:val="en-US" w:eastAsia="zh-CN"/>
        </w:rPr>
      </w:pPr>
      <w:bookmarkStart w:id="0" w:name="_Toc22953395"/>
      <w:bookmarkEnd w:id="0"/>
      <w:bookmarkStart w:id="1" w:name="_Toc22804073"/>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highlight w:val="none"/>
        </w:rPr>
      </w:pPr>
      <w:r>
        <w:rPr>
          <w:rFonts w:hint="eastAsia" w:cs="宋体"/>
          <w:b/>
          <w:bCs/>
          <w:sz w:val="48"/>
          <w:szCs w:val="48"/>
          <w:highlight w:val="none"/>
          <w:lang w:val="en-US" w:eastAsia="zh-CN"/>
        </w:rPr>
        <w:t>驻马店市中心医院等离子体刀头采购项目</w:t>
      </w:r>
    </w:p>
    <w:p>
      <w:pPr>
        <w:pStyle w:val="20"/>
        <w:bidi w:val="0"/>
        <w:jc w:val="center"/>
        <w:rPr>
          <w:rStyle w:val="43"/>
          <w:rFonts w:hint="eastAsia" w:ascii="宋体" w:hAnsi="宋体" w:eastAsia="宋体" w:cs="宋体"/>
          <w:b/>
          <w:bCs/>
          <w:color w:val="auto"/>
          <w:sz w:val="48"/>
          <w:szCs w:val="48"/>
          <w:highlight w:val="none"/>
        </w:rPr>
      </w:pPr>
    </w:p>
    <w:p>
      <w:pPr>
        <w:pStyle w:val="20"/>
        <w:bidi w:val="0"/>
        <w:jc w:val="center"/>
        <w:rPr>
          <w:rStyle w:val="43"/>
          <w:rFonts w:hint="eastAsia" w:ascii="宋体" w:hAnsi="宋体" w:eastAsia="宋体" w:cs="宋体"/>
          <w:b/>
          <w:bCs/>
          <w:color w:val="auto"/>
          <w:sz w:val="48"/>
          <w:szCs w:val="48"/>
          <w:highlight w:val="none"/>
        </w:rPr>
      </w:pPr>
    </w:p>
    <w:p>
      <w:pPr>
        <w:pStyle w:val="20"/>
        <w:bidi w:val="0"/>
        <w:jc w:val="center"/>
        <w:rPr>
          <w:rStyle w:val="43"/>
          <w:rFonts w:hint="eastAsia" w:ascii="宋体" w:hAnsi="宋体" w:eastAsia="宋体" w:cs="宋体"/>
          <w:b/>
          <w:bCs/>
          <w:color w:val="auto"/>
          <w:szCs w:val="44"/>
          <w:highlight w:val="none"/>
        </w:rPr>
      </w:pPr>
      <w:r>
        <w:rPr>
          <w:rStyle w:val="43"/>
          <w:rFonts w:hint="eastAsia" w:cs="宋体"/>
          <w:b/>
          <w:bCs/>
          <w:color w:val="auto"/>
          <w:sz w:val="72"/>
          <w:szCs w:val="72"/>
          <w:highlight w:val="none"/>
          <w:lang w:val="en-US" w:eastAsia="zh-CN"/>
        </w:rPr>
        <w:t>采购</w:t>
      </w:r>
      <w:r>
        <w:rPr>
          <w:rStyle w:val="43"/>
          <w:rFonts w:hint="eastAsia" w:ascii="宋体" w:hAnsi="宋体" w:eastAsia="宋体" w:cs="宋体"/>
          <w:b/>
          <w:bCs/>
          <w:color w:val="auto"/>
          <w:sz w:val="72"/>
          <w:szCs w:val="72"/>
          <w:highlight w:val="none"/>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highlight w:val="none"/>
          <w:lang w:val="en-US" w:eastAsia="zh-CN"/>
        </w:rPr>
      </w:pPr>
    </w:p>
    <w:p>
      <w:pPr>
        <w:snapToGrid w:val="0"/>
        <w:spacing w:line="380" w:lineRule="exact"/>
        <w:jc w:val="center"/>
        <w:rPr>
          <w:rFonts w:hint="eastAsia" w:ascii="宋体" w:hAnsi="宋体" w:eastAsia="宋体" w:cs="宋体"/>
          <w:b/>
          <w:sz w:val="32"/>
          <w:szCs w:val="32"/>
          <w:highlight w:val="none"/>
        </w:rPr>
      </w:pPr>
    </w:p>
    <w:p>
      <w:pPr>
        <w:pStyle w:val="4"/>
        <w:rPr>
          <w:rFonts w:hint="eastAsia"/>
          <w:highlight w:val="none"/>
        </w:rPr>
      </w:pPr>
    </w:p>
    <w:p>
      <w:pPr>
        <w:pStyle w:val="59"/>
        <w:rPr>
          <w:rFonts w:hint="eastAsia" w:ascii="宋体" w:hAnsi="宋体" w:eastAsia="宋体" w:cs="宋体"/>
          <w:bCs/>
          <w:sz w:val="2"/>
          <w:szCs w:val="2"/>
          <w:highlight w:val="none"/>
        </w:rPr>
      </w:pPr>
    </w:p>
    <w:p>
      <w:pPr>
        <w:rPr>
          <w:rFonts w:hint="eastAsia" w:ascii="宋体" w:hAnsi="宋体" w:eastAsia="宋体" w:cs="宋体"/>
          <w:bCs/>
          <w:sz w:val="2"/>
          <w:szCs w:val="2"/>
          <w:highlight w:val="none"/>
        </w:rPr>
      </w:pPr>
    </w:p>
    <w:p>
      <w:pPr>
        <w:spacing w:line="20" w:lineRule="exact"/>
        <w:rPr>
          <w:rFonts w:hint="eastAsia" w:ascii="宋体" w:hAnsi="宋体" w:eastAsia="宋体" w:cs="宋体"/>
          <w:bCs/>
          <w:sz w:val="2"/>
          <w:szCs w:val="2"/>
          <w:highlight w:val="none"/>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highlight w:val="none"/>
        </w:rPr>
      </w:pPr>
      <w:r>
        <w:rPr>
          <w:rFonts w:hint="eastAsia" w:ascii="宋体" w:hAnsi="宋体" w:eastAsia="宋体" w:cs="宋体"/>
          <w:b/>
          <w:bCs/>
          <w:spacing w:val="-10"/>
          <w:sz w:val="34"/>
          <w:szCs w:val="34"/>
          <w:highlight w:val="none"/>
          <w:lang w:val="en-US" w:eastAsia="zh-CN"/>
        </w:rPr>
        <w:t>采 购</w:t>
      </w:r>
      <w:r>
        <w:rPr>
          <w:rFonts w:hint="eastAsia" w:ascii="宋体" w:hAnsi="宋体" w:eastAsia="宋体" w:cs="宋体"/>
          <w:b/>
          <w:bCs/>
          <w:spacing w:val="-10"/>
          <w:sz w:val="34"/>
          <w:szCs w:val="34"/>
          <w:highlight w:val="none"/>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highlight w:val="none"/>
          <w:lang w:val="en-US" w:eastAsia="zh-CN"/>
        </w:rPr>
        <w:t>202</w:t>
      </w:r>
      <w:r>
        <w:rPr>
          <w:rFonts w:hint="eastAsia" w:ascii="宋体" w:hAnsi="宋体" w:cs="宋体"/>
          <w:b/>
          <w:bCs/>
          <w:spacing w:val="40"/>
          <w:sz w:val="34"/>
          <w:szCs w:val="34"/>
          <w:highlight w:val="none"/>
          <w:lang w:val="en-US" w:eastAsia="zh-CN"/>
        </w:rPr>
        <w:t>3</w:t>
      </w:r>
      <w:r>
        <w:rPr>
          <w:rFonts w:hint="eastAsia" w:ascii="宋体" w:hAnsi="宋体" w:eastAsia="宋体" w:cs="宋体"/>
          <w:b/>
          <w:bCs/>
          <w:spacing w:val="40"/>
          <w:sz w:val="34"/>
          <w:szCs w:val="34"/>
          <w:highlight w:val="none"/>
        </w:rPr>
        <w:t>年</w:t>
      </w:r>
      <w:r>
        <w:rPr>
          <w:rFonts w:hint="eastAsia" w:ascii="宋体" w:hAnsi="宋体" w:cs="宋体"/>
          <w:b/>
          <w:bCs/>
          <w:spacing w:val="40"/>
          <w:sz w:val="34"/>
          <w:szCs w:val="34"/>
          <w:highlight w:val="none"/>
          <w:lang w:val="en-US" w:eastAsia="zh-CN"/>
        </w:rPr>
        <w:t>12</w:t>
      </w:r>
      <w:r>
        <w:rPr>
          <w:rFonts w:hint="eastAsia" w:ascii="宋体" w:hAnsi="宋体" w:eastAsia="宋体" w:cs="宋体"/>
          <w:b/>
          <w:bCs/>
          <w:spacing w:val="40"/>
          <w:sz w:val="34"/>
          <w:szCs w:val="34"/>
          <w:highlight w:val="none"/>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highlight w:val="none"/>
        </w:rPr>
      </w:pPr>
      <w:r>
        <w:rPr>
          <w:rFonts w:hint="eastAsia" w:ascii="黑体" w:hAnsi="黑体" w:eastAsia="黑体" w:cs="宋体"/>
          <w:bCs/>
          <w:color w:val="auto"/>
          <w:kern w:val="0"/>
          <w:sz w:val="28"/>
          <w:szCs w:val="28"/>
          <w:highlight w:val="none"/>
          <w:u w:val="none"/>
          <w:lang w:val="en-US" w:eastAsia="zh-CN"/>
        </w:rPr>
        <w:t>驻马店市中心医院等离子体刀头采购项目竞争性磋商</w:t>
      </w:r>
      <w:r>
        <w:rPr>
          <w:rFonts w:hint="eastAsia" w:ascii="黑体" w:hAnsi="黑体" w:eastAsia="黑体" w:cs="宋体"/>
          <w:bCs/>
          <w:color w:val="auto"/>
          <w:kern w:val="0"/>
          <w:sz w:val="28"/>
          <w:szCs w:val="28"/>
          <w:highlight w:val="none"/>
        </w:rPr>
        <w:t>公告</w:t>
      </w:r>
    </w:p>
    <w:p>
      <w:pPr>
        <w:keepNext w:val="0"/>
        <w:keepLines w:val="0"/>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sz w:val="24"/>
          <w:szCs w:val="24"/>
        </w:rPr>
      </w:pPr>
      <w:bookmarkStart w:id="3" w:name="_Toc35393795"/>
      <w:bookmarkStart w:id="4" w:name="_Toc35393626"/>
      <w:bookmarkStart w:id="5" w:name="_Toc25063"/>
      <w:bookmarkStart w:id="6" w:name="_Toc23793"/>
      <w:bookmarkStart w:id="7" w:name="_Toc29890"/>
      <w:r>
        <w:rPr>
          <w:rFonts w:hint="eastAsia" w:ascii="宋体" w:hAnsi="宋体" w:eastAsia="宋体" w:cs="宋体"/>
          <w:color w:val="auto"/>
          <w:sz w:val="24"/>
          <w:szCs w:val="28"/>
        </w:rPr>
        <w:t>驻马店市中心医院现对</w:t>
      </w:r>
      <w:r>
        <w:rPr>
          <w:rFonts w:hint="eastAsia" w:ascii="宋体" w:hAnsi="宋体" w:cs="宋体"/>
          <w:color w:val="auto"/>
          <w:sz w:val="24"/>
          <w:szCs w:val="28"/>
          <w:u w:val="single"/>
          <w:lang w:eastAsia="zh-CN"/>
        </w:rPr>
        <w:t>等离子体刀头采购项目</w:t>
      </w:r>
      <w:r>
        <w:rPr>
          <w:rFonts w:hint="eastAsia" w:ascii="宋体" w:hAnsi="宋体" w:eastAsia="宋体" w:cs="宋体"/>
          <w:color w:val="auto"/>
          <w:sz w:val="24"/>
          <w:szCs w:val="28"/>
        </w:rPr>
        <w:t>进行院内</w:t>
      </w:r>
      <w:r>
        <w:rPr>
          <w:rFonts w:hint="eastAsia" w:ascii="宋体" w:hAnsi="宋体" w:eastAsia="宋体" w:cs="宋体"/>
          <w:color w:val="auto"/>
          <w:sz w:val="24"/>
          <w:szCs w:val="28"/>
          <w:lang w:val="en-US" w:eastAsia="zh-CN"/>
        </w:rPr>
        <w:t>竞争性磋商</w:t>
      </w:r>
      <w:r>
        <w:rPr>
          <w:rFonts w:hint="eastAsia" w:ascii="宋体" w:hAnsi="宋体" w:eastAsia="宋体" w:cs="宋体"/>
          <w:color w:val="auto"/>
          <w:sz w:val="24"/>
          <w:szCs w:val="28"/>
        </w:rPr>
        <w:t>采购，欢迎符合资格条件的供应商前来</w:t>
      </w:r>
      <w:r>
        <w:rPr>
          <w:rFonts w:hint="eastAsia" w:ascii="宋体" w:hAnsi="宋体" w:eastAsia="宋体" w:cs="宋体"/>
          <w:color w:val="auto"/>
          <w:sz w:val="24"/>
          <w:szCs w:val="28"/>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val="en-US" w:eastAsia="zh-CN"/>
        </w:rPr>
        <w:t>驻马店市中心医院等离子体刀头采购项目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bookmarkStart w:id="8" w:name="_Toc26725"/>
      <w:r>
        <w:rPr>
          <w:rFonts w:hint="eastAsia" w:ascii="宋体" w:hAnsi="宋体" w:eastAsia="宋体" w:cs="宋体"/>
          <w:color w:val="auto"/>
          <w:sz w:val="24"/>
          <w:szCs w:val="24"/>
          <w:highlight w:val="none"/>
          <w:shd w:val="clear" w:color="auto" w:fill="FFFFFF"/>
        </w:rPr>
        <w:t>、预算金额：</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kern w:val="0"/>
          <w:sz w:val="24"/>
          <w:szCs w:val="24"/>
          <w:highlight w:val="none"/>
          <w:u w:val="none"/>
          <w:lang w:val="en-US" w:eastAsia="zh-CN"/>
        </w:rPr>
        <w:t>万</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自筹资金</w:t>
      </w:r>
      <w:r>
        <w:rPr>
          <w:rFonts w:hint="eastAsia" w:ascii="宋体" w:hAnsi="宋体" w:cs="宋体"/>
          <w:color w:val="auto"/>
          <w:sz w:val="24"/>
          <w:szCs w:val="24"/>
          <w:highlight w:val="none"/>
          <w:shd w:val="clear" w:color="auto" w:fill="FFFFFF"/>
          <w:lang w:val="en-US" w:eastAsia="zh-CN"/>
        </w:rPr>
        <w:t>（据实结算）</w:t>
      </w:r>
      <w:r>
        <w:rPr>
          <w:rFonts w:hint="eastAsia" w:ascii="宋体" w:hAnsi="宋体" w:eastAsia="宋体" w:cs="宋体"/>
          <w:color w:val="auto"/>
          <w:sz w:val="24"/>
          <w:szCs w:val="24"/>
          <w:highlight w:val="none"/>
          <w:shd w:val="clear" w:color="auto" w:fill="FFFFFF"/>
          <w:lang w:val="en-US" w:eastAsia="zh-CN"/>
        </w:rPr>
        <w:t>；</w:t>
      </w:r>
    </w:p>
    <w:p>
      <w:pPr>
        <w:keepNext w:val="0"/>
        <w:keepLines w:val="0"/>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bookmarkStart w:id="9" w:name="_Toc21071"/>
      <w:bookmarkStart w:id="10" w:name="_Toc19521"/>
      <w:bookmarkStart w:id="11" w:name="_Toc27913"/>
      <w:bookmarkStart w:id="12" w:name="_Toc26079"/>
      <w:bookmarkStart w:id="13" w:name="_Toc24040"/>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w:t>
      </w:r>
      <w:bookmarkEnd w:id="9"/>
      <w:bookmarkEnd w:id="10"/>
      <w:bookmarkEnd w:id="11"/>
      <w:bookmarkEnd w:id="12"/>
      <w:bookmarkEnd w:id="13"/>
      <w:r>
        <w:rPr>
          <w:rFonts w:hint="eastAsia" w:ascii="宋体" w:hAnsi="宋体" w:eastAsia="宋体" w:cs="宋体"/>
          <w:color w:val="auto"/>
          <w:sz w:val="24"/>
          <w:szCs w:val="24"/>
          <w:highlight w:val="none"/>
          <w:shd w:val="clear" w:color="auto" w:fill="FFFFFF"/>
          <w:lang w:val="en-US" w:eastAsia="zh-CN"/>
        </w:rPr>
        <w:t>质量要求：合格</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6、服务期：1年。</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auto"/>
          <w:kern w:val="2"/>
          <w:sz w:val="24"/>
          <w:szCs w:val="24"/>
          <w:shd w:val="clear" w:color="auto" w:fill="FFFFFF"/>
          <w:lang w:val="en-US" w:eastAsia="zh-CN" w:bidi="ar-SA"/>
        </w:rPr>
      </w:pPr>
      <w:bookmarkStart w:id="14" w:name="_Toc18607"/>
      <w:bookmarkStart w:id="15" w:name="_Toc16639"/>
      <w:bookmarkStart w:id="16" w:name="_Toc27704"/>
      <w:bookmarkStart w:id="17" w:name="_Toc23626"/>
      <w:r>
        <w:rPr>
          <w:rFonts w:hint="eastAsia" w:ascii="宋体" w:hAnsi="宋体" w:eastAsia="宋体" w:cs="宋体"/>
          <w:b/>
          <w:bCs/>
          <w:color w:val="auto"/>
          <w:kern w:val="2"/>
          <w:sz w:val="24"/>
          <w:szCs w:val="24"/>
          <w:shd w:val="clear" w:color="auto" w:fill="FFFFFF"/>
          <w:lang w:val="en-US" w:eastAsia="zh-CN" w:bidi="ar-SA"/>
        </w:rPr>
        <w:t>二、</w:t>
      </w:r>
      <w:bookmarkEnd w:id="8"/>
      <w:bookmarkEnd w:id="14"/>
      <w:bookmarkEnd w:id="15"/>
      <w:bookmarkEnd w:id="16"/>
      <w:bookmarkEnd w:id="17"/>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2、供应商应提供</w:t>
      </w:r>
      <w:r>
        <w:rPr>
          <w:rFonts w:hint="eastAsia" w:ascii="宋体" w:hAnsi="宋体" w:cs="宋体"/>
          <w:color w:val="auto"/>
          <w:kern w:val="2"/>
          <w:sz w:val="24"/>
          <w:szCs w:val="32"/>
          <w:lang w:val="en-US" w:eastAsia="zh-CN" w:bidi="ar-SA"/>
        </w:rPr>
        <w:t>2022年度</w:t>
      </w:r>
      <w:r>
        <w:rPr>
          <w:rFonts w:hint="eastAsia" w:ascii="宋体" w:hAnsi="宋体" w:eastAsia="宋体" w:cs="宋体"/>
          <w:color w:val="auto"/>
          <w:kern w:val="2"/>
          <w:sz w:val="24"/>
          <w:szCs w:val="32"/>
          <w:lang w:val="en-US" w:eastAsia="zh-CN" w:bidi="ar-SA"/>
        </w:rPr>
        <w:t>经审计的财务报告或者其基本开户银行出具的资信证明；采购活动前近三个月内或上个季度</w:t>
      </w:r>
      <w:r>
        <w:rPr>
          <w:rFonts w:hint="eastAsia" w:ascii="宋体" w:hAnsi="宋体" w:cs="宋体"/>
          <w:color w:val="auto"/>
          <w:kern w:val="2"/>
          <w:sz w:val="24"/>
          <w:szCs w:val="32"/>
          <w:lang w:val="en-US" w:eastAsia="zh-CN" w:bidi="ar-SA"/>
        </w:rPr>
        <w:t>任一个月</w:t>
      </w:r>
      <w:r>
        <w:rPr>
          <w:rFonts w:hint="eastAsia" w:ascii="宋体" w:hAnsi="宋体" w:eastAsia="宋体" w:cs="宋体"/>
          <w:color w:val="auto"/>
          <w:kern w:val="2"/>
          <w:sz w:val="24"/>
          <w:szCs w:val="32"/>
          <w:lang w:val="en-US" w:eastAsia="zh-CN" w:bidi="ar-SA"/>
        </w:rPr>
        <w:t>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3</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4</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5</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sz w:val="24"/>
          <w:szCs w:val="28"/>
          <w:lang w:val="en-US" w:eastAsia="zh-CN"/>
        </w:rPr>
      </w:pPr>
      <w:r>
        <w:rPr>
          <w:rFonts w:hint="eastAsia" w:ascii="宋体" w:hAnsi="宋体" w:eastAsia="宋体" w:cs="宋体"/>
          <w:color w:val="auto"/>
          <w:kern w:val="2"/>
          <w:sz w:val="24"/>
          <w:szCs w:val="32"/>
          <w:highlight w:val="none"/>
          <w:lang w:val="en-US" w:eastAsia="zh-CN" w:bidi="ar-SA"/>
        </w:rPr>
        <w:t>6</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7</w:t>
      </w:r>
      <w:r>
        <w:rPr>
          <w:rFonts w:hint="eastAsia" w:ascii="宋体" w:hAnsi="宋体" w:eastAsia="宋体" w:cs="宋体"/>
          <w:color w:val="auto"/>
          <w:kern w:val="2"/>
          <w:sz w:val="24"/>
          <w:szCs w:val="32"/>
          <w:lang w:val="en-US" w:eastAsia="zh-CN" w:bidi="ar-SA"/>
        </w:rPr>
        <w:t>、不接受联合体投标。</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auto"/>
          <w:kern w:val="2"/>
          <w:sz w:val="24"/>
          <w:szCs w:val="32"/>
          <w:lang w:val="en-US" w:eastAsia="zh-CN" w:bidi="ar-SA"/>
        </w:rPr>
      </w:pPr>
      <w:bookmarkStart w:id="18" w:name="_Toc30643"/>
      <w:bookmarkStart w:id="19" w:name="_Toc23395"/>
      <w:bookmarkStart w:id="20" w:name="_Toc9562"/>
      <w:bookmarkStart w:id="21" w:name="_Toc7823"/>
      <w:bookmarkStart w:id="22" w:name="_Toc30971"/>
      <w:r>
        <w:rPr>
          <w:rFonts w:hint="eastAsia" w:ascii="宋体" w:hAnsi="宋体" w:eastAsia="宋体" w:cs="宋体"/>
          <w:b/>
          <w:bCs/>
          <w:color w:val="auto"/>
          <w:kern w:val="2"/>
          <w:sz w:val="24"/>
          <w:szCs w:val="32"/>
          <w:lang w:val="en-US" w:eastAsia="zh-CN" w:bidi="ar-SA"/>
        </w:rPr>
        <w:t>三、获取采购文件</w:t>
      </w:r>
      <w:bookmarkEnd w:id="18"/>
      <w:bookmarkEnd w:id="19"/>
      <w:bookmarkEnd w:id="20"/>
      <w:bookmarkEnd w:id="21"/>
      <w:bookmarkEnd w:id="22"/>
    </w:p>
    <w:p>
      <w:pPr>
        <w:keepNext w:val="0"/>
        <w:keepLines w:val="0"/>
        <w:pageBreakBefore w:val="0"/>
        <w:widowControl/>
        <w:kinsoku/>
        <w:overflowPunct/>
        <w:topLinePunct w:val="0"/>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报</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名</w:t>
      </w:r>
      <w:r>
        <w:rPr>
          <w:rFonts w:hint="eastAsia" w:ascii="宋体" w:hAnsi="宋体" w:eastAsia="宋体" w:cs="宋体"/>
          <w:color w:val="auto"/>
          <w:sz w:val="24"/>
          <w:szCs w:val="24"/>
          <w:shd w:val="clear" w:color="auto" w:fill="FFFFFF"/>
        </w:rPr>
        <w:t>时间：</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25</w:t>
      </w:r>
      <w:r>
        <w:rPr>
          <w:rFonts w:hint="eastAsia" w:ascii="宋体" w:hAnsi="宋体" w:eastAsia="宋体" w:cs="宋体"/>
          <w:color w:val="auto"/>
          <w:sz w:val="24"/>
          <w:szCs w:val="24"/>
          <w:highlight w:val="none"/>
          <w:shd w:val="clear" w:color="auto" w:fill="FFFFFF"/>
        </w:rPr>
        <w:t>日-202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27</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rPr>
        <w:t>，上</w:t>
      </w:r>
      <w:r>
        <w:rPr>
          <w:rFonts w:hint="eastAsia" w:ascii="宋体" w:hAnsi="宋体" w:eastAsia="宋体" w:cs="宋体"/>
          <w:color w:val="auto"/>
          <w:sz w:val="24"/>
          <w:szCs w:val="24"/>
          <w:shd w:val="clear" w:color="auto" w:fill="FFFFFF"/>
        </w:rPr>
        <w:t>午8：30-11:30，下午14:30-17:30（北京时间，法定节假日除外）</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报名费用：</w:t>
      </w:r>
      <w:r>
        <w:rPr>
          <w:rFonts w:hint="eastAsia" w:ascii="宋体" w:hAnsi="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336" w:lineRule="auto"/>
        <w:ind w:left="0" w:leftChars="0" w:firstLine="480" w:firstLineChars="200"/>
        <w:jc w:val="left"/>
        <w:textAlignment w:val="auto"/>
        <w:rPr>
          <w:rFonts w:hint="eastAsia" w:ascii="宋体" w:hAnsi="宋体" w:eastAsia="宋体" w:cs="宋体"/>
          <w:color w:val="000000" w:themeColor="text1"/>
          <w:kern w:val="0"/>
          <w:sz w:val="24"/>
          <w:szCs w:val="24"/>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934027204@qq.com</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并标明XX公司XX</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项目报名资料；审核通过后按要求交纳报名费。</w:t>
      </w:r>
    </w:p>
    <w:p>
      <w:pPr>
        <w:keepNext w:val="0"/>
        <w:keepLines w:val="0"/>
        <w:pageBreakBefore w:val="0"/>
        <w:widowControl/>
        <w:kinsoku/>
        <w:wordWrap w:val="0"/>
        <w:overflowPunct/>
        <w:topLinePunct w:val="0"/>
        <w:bidi w:val="0"/>
        <w:snapToGrid w:val="0"/>
        <w:spacing w:before="0" w:beforeAutospacing="0" w:after="0" w:afterAutospacing="0" w:line="336" w:lineRule="auto"/>
        <w:ind w:left="420" w:left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4.报名登记表：请从附件中下载。</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3" w:name="_Toc27480"/>
      <w:bookmarkStart w:id="24" w:name="_Toc10738"/>
      <w:bookmarkStart w:id="25" w:name="_Toc25869"/>
      <w:bookmarkStart w:id="26" w:name="_Toc15135"/>
      <w:bookmarkStart w:id="27" w:name="_Toc15111"/>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四、投标截止时间及地点</w:t>
      </w:r>
      <w:bookmarkEnd w:id="23"/>
      <w:bookmarkEnd w:id="24"/>
      <w:bookmarkEnd w:id="25"/>
      <w:bookmarkEnd w:id="26"/>
      <w:bookmarkEnd w:id="27"/>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五、开标时间及地点</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u w:val="none"/>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8" w:name="_Toc30918"/>
      <w:bookmarkStart w:id="29" w:name="_Toc6523"/>
      <w:bookmarkStart w:id="30" w:name="_Toc20287"/>
      <w:bookmarkStart w:id="31" w:name="_Toc29784"/>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公告期限</w:t>
      </w:r>
      <w:bookmarkEnd w:id="28"/>
      <w:bookmarkEnd w:id="29"/>
      <w:bookmarkEnd w:id="30"/>
      <w:bookmarkEnd w:id="31"/>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4"/>
          <w:szCs w:val="24"/>
          <w:shd w:val="clear" w:color="auto" w:fill="auto"/>
          <w14:textFill>
            <w14:solidFill>
              <w14:schemeClr w14:val="tx1"/>
            </w14:solidFill>
          </w14:textFill>
        </w:rPr>
        <w:t>上发布</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p>
    <w:bookmarkEnd w:id="3"/>
    <w:bookmarkEnd w:id="4"/>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2" w:name="_Toc24274"/>
      <w:bookmarkStart w:id="33" w:name="_Toc16291"/>
      <w:bookmarkStart w:id="34" w:name="_Toc3604"/>
      <w:bookmarkStart w:id="35" w:name="_Toc27370"/>
      <w:bookmarkStart w:id="36" w:name="_Toc31928"/>
      <w:r>
        <w:rPr>
          <w:rFonts w:hint="eastAsia" w:ascii="宋体" w:hAnsi="宋体" w:cs="宋体"/>
          <w:b/>
          <w:bCs/>
          <w:color w:val="000000" w:themeColor="text1"/>
          <w:kern w:val="2"/>
          <w:sz w:val="24"/>
          <w:szCs w:val="24"/>
          <w:shd w:val="clear" w:color="auto" w:fill="FFFFFF"/>
          <w:lang w:val="en-US" w:eastAsia="zh-CN" w:bidi="ar-SA"/>
          <w14:textFill>
            <w14:solidFill>
              <w14:schemeClr w14:val="tx1"/>
            </w14:solidFill>
          </w14:textFill>
        </w:rPr>
        <w:t>七</w:t>
      </w: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w:t>
      </w:r>
      <w:bookmarkEnd w:id="32"/>
      <w:bookmarkEnd w:id="33"/>
      <w:bookmarkEnd w:id="34"/>
      <w:bookmarkEnd w:id="35"/>
      <w:bookmarkEnd w:id="36"/>
      <w:r>
        <w:rPr>
          <w:rFonts w:hint="eastAsia" w:ascii="宋体" w:hAnsi="宋体" w:eastAsia="宋体" w:cs="宋体"/>
          <w:b/>
          <w:bCs/>
          <w:color w:val="000000" w:themeColor="text1"/>
          <w:kern w:val="2"/>
          <w:sz w:val="24"/>
          <w:szCs w:val="24"/>
          <w:highlight w:val="none"/>
          <w:shd w:val="clear" w:color="auto" w:fill="FFFFFF"/>
          <w:lang w:val="en-US" w:eastAsia="zh-CN" w:bidi="ar-SA"/>
          <w14:textFill>
            <w14:solidFill>
              <w14:schemeClr w14:val="tx1"/>
            </w14:solidFill>
          </w14:textFill>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采购人：驻马店市中心医院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地址：驻马店市中华大道747号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联系人：陈先生 </w:t>
      </w:r>
      <w:bookmarkStart w:id="98" w:name="_GoBack"/>
      <w:bookmarkEnd w:id="98"/>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电话：0396-2726379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2.采购代理机构</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：河南省伟信招标管理咨询有限公司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地址：郑州市郑东新区东风南路与创业路交叉口绿地中心北塔16楼</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联系人：陈先生</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联系方式：18838148020</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监督部门：驻马店市中心医院纪检监察室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监督电话：0396-2726678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驻马店市中心医院采购科</w:t>
      </w:r>
    </w:p>
    <w:p>
      <w:pPr>
        <w:keepNext w:val="0"/>
        <w:keepLines w:val="0"/>
        <w:pageBreakBefore w:val="0"/>
        <w:kinsoku/>
        <w:overflowPunct/>
        <w:topLinePunct w:val="0"/>
        <w:bidi w:val="0"/>
        <w:spacing w:line="336" w:lineRule="auto"/>
        <w:jc w:val="right"/>
        <w:textAlignment w:val="auto"/>
        <w:rPr>
          <w:rFonts w:hint="eastAsia"/>
          <w:color w:val="auto"/>
        </w:rPr>
      </w:pPr>
      <w:r>
        <w:rPr>
          <w:rFonts w:hint="eastAsia" w:ascii="宋体" w:hAnsi="宋体" w:eastAsia="宋体" w:cs="宋体"/>
          <w:color w:val="auto"/>
          <w:kern w:val="0"/>
          <w:sz w:val="24"/>
          <w:szCs w:val="24"/>
          <w:shd w:val="clear" w:color="auto" w:fill="FFFFFF"/>
          <w:lang w:val="en-US" w:eastAsia="zh-CN" w:bidi="ar-SA"/>
        </w:rPr>
        <w:t>2023年</w:t>
      </w:r>
      <w:r>
        <w:rPr>
          <w:rFonts w:hint="eastAsia" w:ascii="宋体" w:hAnsi="宋体" w:cs="宋体"/>
          <w:color w:val="auto"/>
          <w:kern w:val="0"/>
          <w:sz w:val="24"/>
          <w:szCs w:val="24"/>
          <w:highlight w:val="none"/>
          <w:shd w:val="clear" w:color="auto" w:fill="FFFFFF"/>
          <w:lang w:val="en-US" w:eastAsia="zh-CN" w:bidi="ar-SA"/>
        </w:rPr>
        <w:t>12</w:t>
      </w:r>
      <w:r>
        <w:rPr>
          <w:rFonts w:hint="eastAsia" w:ascii="宋体" w:hAnsi="宋体" w:eastAsia="宋体" w:cs="宋体"/>
          <w:color w:val="auto"/>
          <w:kern w:val="0"/>
          <w:sz w:val="24"/>
          <w:szCs w:val="24"/>
          <w:highlight w:val="none"/>
          <w:shd w:val="clear" w:color="auto" w:fill="FFFFFF"/>
          <w:lang w:val="en-US" w:eastAsia="zh-CN" w:bidi="ar-SA"/>
        </w:rPr>
        <w:t>月</w:t>
      </w:r>
      <w:r>
        <w:rPr>
          <w:rFonts w:hint="eastAsia" w:ascii="宋体" w:hAnsi="宋体" w:cs="宋体"/>
          <w:color w:val="auto"/>
          <w:kern w:val="0"/>
          <w:sz w:val="24"/>
          <w:szCs w:val="24"/>
          <w:highlight w:val="none"/>
          <w:shd w:val="clear" w:color="auto" w:fill="FFFFFF"/>
          <w:lang w:val="en-US" w:eastAsia="zh-CN" w:bidi="ar-SA"/>
        </w:rPr>
        <w:t>22</w:t>
      </w:r>
      <w:r>
        <w:rPr>
          <w:rFonts w:hint="eastAsia" w:ascii="宋体" w:hAnsi="宋体" w:eastAsia="宋体" w:cs="宋体"/>
          <w:color w:val="auto"/>
          <w:kern w:val="0"/>
          <w:sz w:val="24"/>
          <w:szCs w:val="24"/>
          <w:highlight w:val="none"/>
          <w:shd w:val="clear" w:color="auto" w:fill="FFFFFF"/>
          <w:lang w:val="en-US" w:eastAsia="zh-CN" w:bidi="ar-SA"/>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5"/>
      <w:bookmarkStart w:id="37" w:name="_Toc23610"/>
      <w:bookmarkStart w:id="38" w:name="_Toc31536"/>
      <w:bookmarkStart w:id="39" w:name="_Toc9989"/>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一、项目名称、数量：</w:t>
      </w:r>
      <w:r>
        <w:rPr>
          <w:rFonts w:hint="eastAsia" w:ascii="宋体" w:hAnsi="宋体" w:eastAsia="宋体" w:cs="宋体"/>
          <w:b w:val="0"/>
          <w:bCs w:val="0"/>
          <w:color w:val="auto"/>
          <w:kern w:val="0"/>
          <w:sz w:val="21"/>
          <w:szCs w:val="21"/>
          <w:highlight w:val="none"/>
          <w:u w:val="single"/>
          <w:shd w:val="clear" w:color="auto" w:fill="FFFFFF"/>
          <w:lang w:val="en-US" w:eastAsia="zh-CN" w:bidi="ar-SA"/>
        </w:rPr>
        <w:t>驻马店市中心医院</w:t>
      </w:r>
      <w:r>
        <w:rPr>
          <w:rFonts w:hint="eastAsia" w:ascii="宋体" w:hAnsi="宋体" w:cs="宋体"/>
          <w:b w:val="0"/>
          <w:bCs w:val="0"/>
          <w:color w:val="auto"/>
          <w:kern w:val="0"/>
          <w:sz w:val="21"/>
          <w:szCs w:val="21"/>
          <w:highlight w:val="none"/>
          <w:u w:val="single"/>
          <w:shd w:val="clear" w:color="auto" w:fill="FFFFFF"/>
          <w:lang w:val="en-US" w:eastAsia="zh-CN" w:bidi="ar-SA"/>
        </w:rPr>
        <w:t>等离子体刀头采购项目。</w:t>
      </w:r>
      <w:r>
        <w:rPr>
          <w:rFonts w:hint="eastAsia" w:ascii="宋体" w:hAnsi="宋体" w:eastAsia="宋体" w:cs="宋体"/>
          <w:b/>
          <w:bCs/>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二</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3"/>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25"/>
        <w:gridCol w:w="2205"/>
        <w:gridCol w:w="900"/>
        <w:gridCol w:w="945"/>
        <w:gridCol w:w="1536"/>
        <w:gridCol w:w="9"/>
        <w:gridCol w:w="1110"/>
        <w:gridCol w:w="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82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20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90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4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545"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r>
              <w:rPr>
                <w:rFonts w:hint="eastAsia" w:cs="宋体"/>
                <w:b/>
                <w:bCs/>
                <w:sz w:val="21"/>
                <w:szCs w:val="21"/>
                <w:lang w:eastAsia="zh-CN"/>
              </w:rPr>
              <w:t>单价</w:t>
            </w:r>
            <w:r>
              <w:rPr>
                <w:rFonts w:hint="eastAsia" w:ascii="宋体" w:hAnsi="宋体" w:eastAsia="宋体" w:cs="宋体"/>
                <w:b/>
                <w:bCs/>
                <w:sz w:val="21"/>
                <w:szCs w:val="21"/>
                <w:lang w:eastAsia="zh-CN"/>
              </w:rPr>
              <w:t>（元）</w:t>
            </w:r>
          </w:p>
        </w:tc>
        <w:tc>
          <w:tcPr>
            <w:tcW w:w="11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等离子体刀头</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把</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2900</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22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12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95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vertAlign w:val="baseline"/>
                <w:lang w:val="en-US" w:eastAsia="zh-CN"/>
              </w:rPr>
              <w:t>招供应商，服务期一年，年用量据实结算</w:t>
            </w:r>
          </w:p>
        </w:tc>
      </w:tr>
    </w:tbl>
    <w:p>
      <w:pPr>
        <w:numPr>
          <w:ilvl w:val="0"/>
          <w:numId w:val="0"/>
        </w:numPr>
        <w:spacing w:line="460" w:lineRule="exact"/>
        <w:rPr>
          <w:rFonts w:hint="eastAsia" w:ascii="宋体" w:hAnsi="宋体" w:eastAsia="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三</w:t>
      </w:r>
      <w:r>
        <w:rPr>
          <w:rFonts w:hint="eastAsia" w:ascii="宋体" w:hAnsi="宋体" w:eastAsia="宋体" w:cs="宋体"/>
          <w:b/>
          <w:bCs/>
          <w:kern w:val="2"/>
          <w:sz w:val="21"/>
          <w:szCs w:val="21"/>
          <w:highlight w:val="none"/>
          <w:lang w:val="en-US" w:eastAsia="zh-CN" w:bidi="ar-SA"/>
        </w:rPr>
        <w:t>、详细</w:t>
      </w:r>
      <w:r>
        <w:rPr>
          <w:rFonts w:hint="eastAsia" w:ascii="宋体" w:hAnsi="宋体" w:eastAsia="宋体" w:cs="宋体"/>
          <w:b/>
          <w:bCs/>
          <w:color w:val="auto"/>
          <w:kern w:val="0"/>
          <w:sz w:val="21"/>
          <w:szCs w:val="21"/>
          <w:highlight w:val="none"/>
          <w:shd w:val="clear" w:color="auto" w:fill="FFFFFF"/>
          <w:lang w:val="en-US" w:eastAsia="zh-CN" w:bidi="ar-SA"/>
        </w:rPr>
        <w:t>技术要求、参数及产品资料等：</w:t>
      </w:r>
    </w:p>
    <w:p>
      <w:pPr>
        <w:pStyle w:val="22"/>
        <w:keepNext w:val="0"/>
        <w:keepLines w:val="0"/>
        <w:pageBreakBefore w:val="0"/>
        <w:widowControl w:val="0"/>
        <w:numPr>
          <w:ilvl w:val="0"/>
          <w:numId w:val="0"/>
        </w:numPr>
        <w:kinsoku/>
        <w:wordWrap/>
        <w:overflowPunct/>
        <w:topLinePunct w:val="0"/>
        <w:autoSpaceDE/>
        <w:autoSpaceDN/>
        <w:bidi w:val="0"/>
        <w:adjustRightInd/>
        <w:snapToGrid/>
        <w:ind w:leftChars="0" w:firstLine="422" w:firstLineChars="200"/>
        <w:textAlignment w:val="auto"/>
        <w:rPr>
          <w:rFonts w:hint="default"/>
          <w:b/>
          <w:bCs/>
          <w:sz w:val="21"/>
          <w:szCs w:val="21"/>
          <w:lang w:val="en-US" w:eastAsia="zh-CN"/>
        </w:rPr>
      </w:pPr>
      <w:r>
        <w:rPr>
          <w:rFonts w:hint="eastAsia"/>
          <w:b/>
          <w:bCs/>
          <w:sz w:val="21"/>
          <w:szCs w:val="21"/>
          <w:lang w:val="en-US" w:eastAsia="zh-CN"/>
        </w:rPr>
        <w:t>（一）技术参数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、适用于美创等离子体系统PLA-600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、刀杆规格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2.1</w:t>
      </w:r>
      <w:r>
        <w:rPr>
          <w:rFonts w:hint="eastAsia" w:ascii="宋体" w:hAnsi="宋体" w:eastAsia="宋体" w:cs="宋体"/>
          <w:sz w:val="21"/>
          <w:szCs w:val="21"/>
          <w:lang w:val="en-US" w:eastAsia="zh-CN"/>
        </w:rPr>
        <w:t>绝缘层长度:200士20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2.2</w:t>
      </w:r>
      <w:r>
        <w:rPr>
          <w:rFonts w:hint="eastAsia" w:ascii="宋体" w:hAnsi="宋体" w:eastAsia="宋体" w:cs="宋体"/>
          <w:sz w:val="21"/>
          <w:szCs w:val="21"/>
          <w:lang w:val="en-US" w:eastAsia="zh-CN"/>
        </w:rPr>
        <w:t>卡口移动距离:35士5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2.3</w:t>
      </w:r>
      <w:r>
        <w:rPr>
          <w:rFonts w:hint="eastAsia" w:ascii="宋体" w:hAnsi="宋体" w:eastAsia="宋体" w:cs="宋体"/>
          <w:sz w:val="21"/>
          <w:szCs w:val="21"/>
          <w:lang w:val="en-US" w:eastAsia="zh-CN"/>
        </w:rPr>
        <w:t>末端径长：36土5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、刀头规格：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开口距离:4土1末端金属丝直径:中0.5土0.2</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b/>
          <w:bCs/>
          <w:sz w:val="21"/>
          <w:szCs w:val="21"/>
          <w:lang w:val="en-US" w:eastAsia="zh-CN"/>
        </w:rPr>
      </w:pPr>
      <w:r>
        <w:rPr>
          <w:rFonts w:hint="eastAsia"/>
          <w:b/>
          <w:bCs/>
          <w:sz w:val="21"/>
          <w:szCs w:val="21"/>
          <w:lang w:val="en-US" w:eastAsia="zh-CN"/>
        </w:rPr>
        <w:t>（二）货物证明材料中技术证明文件要求：（包含但不限于以下内容）</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所投产品属于一类医疗器械的，须提供医疗器械生产备案凭证和医疗器械备案凭证；所投产品属于二类医疗器械的，须提供医疗器械生产许可证、经营备案凭证、医疗器械注册证；所投产品属于三类医疗器械的，须提供医疗器械生产许可证、经营许可证、医疗器械注册证。（投标产品不属于医疗器械的，投标人可不提供）；（复印件须加盖报价人公章）</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、供应商如为代理商的并所投产品如为进口产品的，需提供拟投产品制造商或中国境内办事处或中国总代理经销商针对本项目的授权书。</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、提供投标产品有效期内的医疗器械产品完整的注册证（含附件：产品技术要求）及产品注册检验报告或相关资料（完整版）</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rPr>
      </w:pPr>
      <w:bookmarkStart w:id="40" w:name="_Toc30861"/>
      <w:bookmarkStart w:id="41" w:name="_Toc349642342"/>
      <w:bookmarkStart w:id="42" w:name="_Toc476419058"/>
      <w:bookmarkStart w:id="43" w:name="_Toc476420855"/>
      <w:bookmarkStart w:id="44" w:name="_Toc8282"/>
      <w:bookmarkStart w:id="45" w:name="_Toc3739"/>
      <w:bookmarkStart w:id="46" w:name="_Toc337554821"/>
      <w:r>
        <w:rPr>
          <w:rFonts w:hint="eastAsia" w:ascii="宋体" w:hAnsi="宋体" w:cs="宋体"/>
          <w:sz w:val="21"/>
          <w:szCs w:val="21"/>
          <w:lang w:val="en-US" w:eastAsia="zh-CN"/>
        </w:rPr>
        <w:t>4</w:t>
      </w:r>
      <w:r>
        <w:rPr>
          <w:rFonts w:hint="eastAsia" w:ascii="宋体" w:hAnsi="宋体" w:eastAsia="宋体" w:cs="宋体"/>
          <w:sz w:val="21"/>
          <w:szCs w:val="21"/>
          <w:lang w:val="en-US" w:eastAsia="zh-CN"/>
        </w:rPr>
        <w:t>、需提供响应技术参数条款的技术白皮书和彩页等相关文件，并对响应技术参数部分做出明显标注</w:t>
      </w:r>
      <w:bookmarkEnd w:id="40"/>
      <w:bookmarkEnd w:id="41"/>
      <w:bookmarkEnd w:id="42"/>
      <w:bookmarkEnd w:id="43"/>
      <w:bookmarkEnd w:id="44"/>
      <w:bookmarkEnd w:id="45"/>
      <w:bookmarkEnd w:id="46"/>
      <w:r>
        <w:rPr>
          <w:rFonts w:hint="eastAsia" w:ascii="宋体" w:hAnsi="宋体" w:eastAsia="宋体" w:cs="宋体"/>
          <w:sz w:val="21"/>
          <w:szCs w:val="21"/>
          <w:lang w:val="en-US"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 （三）其他要求：</w:t>
      </w:r>
    </w:p>
    <w:p>
      <w:pPr>
        <w:pageBreakBefore w:val="0"/>
        <w:numPr>
          <w:ilvl w:val="0"/>
          <w:numId w:val="0"/>
        </w:numPr>
        <w:kinsoku/>
        <w:wordWrap/>
        <w:overflowPunct/>
        <w:topLinePunct w:val="0"/>
        <w:bidi w:val="0"/>
        <w:snapToGrid w:val="0"/>
        <w:spacing w:beforeAutospacing="0" w:afterAutospacing="0" w:line="500" w:lineRule="exact"/>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1、质量要求：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 证产品（简称 3C 认证产品）的，该产品应具有由认证机构颁发给制造商的该产品强制性认证证书。 </w:t>
      </w:r>
    </w:p>
    <w:p>
      <w:pPr>
        <w:pageBreakBefore w:val="0"/>
        <w:numPr>
          <w:ilvl w:val="0"/>
          <w:numId w:val="0"/>
        </w:numPr>
        <w:kinsoku/>
        <w:wordWrap/>
        <w:overflowPunct/>
        <w:topLinePunct w:val="0"/>
        <w:bidi w:val="0"/>
        <w:snapToGrid w:val="0"/>
        <w:spacing w:beforeAutospacing="0" w:afterAutospacing="0" w:line="500" w:lineRule="exact"/>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bookmarkEnd w:id="6"/>
    <w:bookmarkEnd w:id="7"/>
    <w:p>
      <w:pPr>
        <w:rPr>
          <w:rFonts w:hint="eastAsia"/>
          <w:b/>
          <w:bCs/>
          <w:color w:val="auto"/>
          <w:sz w:val="30"/>
          <w:szCs w:val="30"/>
          <w:highlight w:val="none"/>
        </w:rPr>
      </w:pPr>
      <w:r>
        <w:rPr>
          <w:rFonts w:hint="eastAsia"/>
          <w:b/>
          <w:bCs/>
          <w:color w:val="auto"/>
          <w:sz w:val="30"/>
          <w:szCs w:val="30"/>
          <w:highlight w:val="none"/>
        </w:rPr>
        <w:br w:type="page"/>
      </w:r>
    </w:p>
    <w:p>
      <w:pPr>
        <w:pageBreakBefore w:val="0"/>
        <w:kinsoku/>
        <w:wordWrap/>
        <w:overflowPunct/>
        <w:topLinePunct w:val="0"/>
        <w:bidi w:val="0"/>
        <w:snapToGrid w:val="0"/>
        <w:spacing w:beforeAutospacing="0" w:afterAutospacing="0" w:line="500" w:lineRule="exact"/>
        <w:jc w:val="center"/>
        <w:textAlignment w:val="auto"/>
        <w:rPr>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eastAsia="宋体" w:cs="宋体"/>
                <w:color w:val="auto"/>
                <w:kern w:val="0"/>
                <w:szCs w:val="21"/>
                <w:highlight w:val="none"/>
              </w:rPr>
              <w:t>自</w:t>
            </w:r>
            <w:r>
              <w:rPr>
                <w:rFonts w:hint="eastAsia" w:ascii="宋体" w:hAnsi="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日历日</w:t>
            </w:r>
            <w:r>
              <w:rPr>
                <w:rFonts w:hint="eastAsia" w:ascii="宋体" w:hAnsi="宋体" w:eastAsia="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交货期</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合同签订后30日内交货，最终以合同约定内容为准。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售后</w:t>
            </w:r>
            <w:r>
              <w:rPr>
                <w:rFonts w:hint="eastAsia" w:ascii="宋体" w:hAnsi="宋体" w:cs="宋体"/>
                <w:color w:val="auto"/>
                <w:kern w:val="0"/>
                <w:szCs w:val="21"/>
                <w:highlight w:val="none"/>
                <w:lang w:eastAsia="zh-CN"/>
              </w:rPr>
              <w:t>服务</w:t>
            </w:r>
          </w:p>
        </w:tc>
        <w:tc>
          <w:tcPr>
            <w:tcW w:w="70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中标人须提供后期服务保障和技术支持。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包装</w:t>
            </w:r>
          </w:p>
        </w:tc>
        <w:tc>
          <w:tcPr>
            <w:tcW w:w="70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商品包装和快递包装应符合《商品包装政府采购需求标准（试行）》和《快递包装政府采购需求标准（试行）》规定。</w:t>
            </w:r>
          </w:p>
        </w:tc>
      </w:tr>
    </w:tbl>
    <w:p>
      <w:pPr>
        <w:pageBreakBefore w:val="0"/>
        <w:kinsoku/>
        <w:wordWrap/>
        <w:overflowPunct/>
        <w:topLinePunct w:val="0"/>
        <w:bidi w:val="0"/>
        <w:snapToGrid w:val="0"/>
        <w:spacing w:beforeAutospacing="0" w:afterAutospacing="0" w:line="500" w:lineRule="exact"/>
        <w:jc w:val="center"/>
        <w:textAlignment w:val="auto"/>
        <w:rPr>
          <w:rFonts w:hint="eastAsia"/>
          <w:b/>
          <w:bCs/>
          <w:color w:val="auto"/>
          <w:sz w:val="30"/>
          <w:szCs w:val="30"/>
          <w:highlight w:val="none"/>
        </w:rPr>
      </w:pPr>
    </w:p>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7"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7"/>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487"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驻马店市中心医院等离子体刀头采购项目</w:t>
            </w:r>
            <w:r>
              <w:rPr>
                <w:rFonts w:hint="eastAsia" w:ascii="宋体" w:hAnsi="宋体" w:eastAsia="宋体" w:cs="宋体"/>
                <w:color w:val="auto"/>
                <w:sz w:val="24"/>
                <w:szCs w:val="24"/>
                <w:highlight w:val="none"/>
                <w:lang w:val="en-US" w:eastAsia="zh-CN"/>
              </w:rPr>
              <w:t>。</w:t>
            </w:r>
          </w:p>
          <w:p>
            <w:pPr>
              <w:widowControl/>
              <w:snapToGrid w:val="0"/>
              <w:spacing w:line="440" w:lineRule="exact"/>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采购人名称：</w:t>
            </w:r>
            <w:r>
              <w:rPr>
                <w:rFonts w:hint="eastAsia" w:ascii="宋体" w:hAnsi="宋体" w:eastAsia="宋体" w:cs="宋体"/>
                <w:sz w:val="24"/>
                <w:szCs w:val="24"/>
                <w:highlight w:val="none"/>
              </w:rPr>
              <w:t>驻马店市中心医院</w:t>
            </w:r>
            <w:r>
              <w:rPr>
                <w:rFonts w:hint="eastAsia" w:ascii="宋体" w:hAnsi="宋体" w:eastAsia="宋体" w:cs="宋体"/>
                <w:sz w:val="24"/>
                <w:szCs w:val="24"/>
                <w:highlight w:val="none"/>
                <w:lang w:eastAsia="zh-CN"/>
              </w:rPr>
              <w:t>。</w:t>
            </w:r>
          </w:p>
          <w:p>
            <w:pPr>
              <w:widowControl/>
              <w:snapToGrid w:val="0"/>
              <w:spacing w:line="440" w:lineRule="exact"/>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采购范围：详</w:t>
            </w:r>
            <w:r>
              <w:rPr>
                <w:rFonts w:hint="eastAsia" w:ascii="宋体" w:hAnsi="宋体" w:eastAsia="宋体" w:cs="宋体"/>
                <w:color w:val="auto"/>
                <w:sz w:val="24"/>
                <w:szCs w:val="24"/>
                <w:highlight w:val="none"/>
                <w:lang w:val="en-US" w:eastAsia="zh-CN"/>
              </w:rPr>
              <w:t>见第二章采购</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合格投标人：具备</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采购预算</w:t>
            </w:r>
            <w:r>
              <w:rPr>
                <w:rFonts w:hint="eastAsia" w:ascii="宋体" w:hAnsi="宋体" w:cs="宋体"/>
                <w:b/>
                <w:bCs/>
                <w:color w:val="auto"/>
                <w:kern w:val="0"/>
                <w:sz w:val="24"/>
                <w:szCs w:val="24"/>
                <w:highlight w:val="none"/>
                <w:lang w:eastAsia="zh-CN"/>
              </w:rPr>
              <w:t>单价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综合单价最高限价</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shd w:val="clear" w:color="auto" w:fill="FFFFFF"/>
                <w:lang w:val="en-US" w:eastAsia="zh-CN"/>
              </w:rPr>
              <w:t>2900.00元</w:t>
            </w:r>
            <w:r>
              <w:rPr>
                <w:rFonts w:hint="eastAsia" w:ascii="宋体" w:hAnsi="宋体" w:eastAsia="宋体" w:cs="宋体"/>
                <w:b/>
                <w:bCs/>
                <w:color w:val="auto"/>
                <w:kern w:val="0"/>
                <w:sz w:val="24"/>
                <w:szCs w:val="24"/>
                <w:highlight w:val="none"/>
                <w:lang w:eastAsia="zh-CN"/>
              </w:rPr>
              <w:t>。</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本项目投标以人民币报价。</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供应商的报价超过采购预算，采购人不能支付的，按废标处理。</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本项目</w:t>
            </w:r>
            <w:r>
              <w:rPr>
                <w:rFonts w:hint="eastAsia" w:ascii="宋体" w:hAnsi="宋体" w:eastAsia="宋体" w:cs="宋体"/>
                <w:color w:val="auto"/>
                <w:kern w:val="0"/>
                <w:sz w:val="24"/>
                <w:szCs w:val="24"/>
                <w:highlight w:val="none"/>
                <w:lang w:val="en-US" w:eastAsia="zh-CN"/>
              </w:rPr>
              <w:t>由成交供应商缴纳</w:t>
            </w:r>
            <w:r>
              <w:rPr>
                <w:rFonts w:hint="eastAsia" w:ascii="宋体" w:hAnsi="宋体" w:eastAsia="宋体" w:cs="宋体"/>
                <w:color w:val="auto"/>
                <w:kern w:val="0"/>
                <w:sz w:val="24"/>
                <w:szCs w:val="24"/>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投标文件组成：纸质投标文件正本1份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副本2份</w:t>
            </w:r>
            <w:r>
              <w:rPr>
                <w:rFonts w:hint="eastAsia" w:ascii="宋体" w:hAnsi="宋体" w:eastAsia="宋体" w:cs="宋体"/>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eastAsia="宋体" w:cs="宋体"/>
                <w:color w:val="auto"/>
                <w:kern w:val="0"/>
                <w:sz w:val="24"/>
                <w:szCs w:val="24"/>
                <w:highlight w:val="none"/>
                <w:lang w:val="en-US" w:eastAsia="zh-CN"/>
              </w:rPr>
              <w:t>及开标时间</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lang w:val="en-US" w:eastAsia="zh-CN"/>
              </w:rPr>
              <w:t>另行通知</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投标文件递交地点</w:t>
            </w:r>
            <w:r>
              <w:rPr>
                <w:rFonts w:hint="eastAsia" w:ascii="宋体" w:hAnsi="宋体" w:eastAsia="宋体" w:cs="宋体"/>
                <w:color w:val="auto"/>
                <w:kern w:val="0"/>
                <w:sz w:val="24"/>
                <w:szCs w:val="24"/>
                <w:highlight w:val="none"/>
                <w:lang w:val="en-US" w:eastAsia="zh-CN"/>
              </w:rPr>
              <w:t>及开标地点</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lang w:val="en-US" w:eastAsia="zh-CN"/>
              </w:rPr>
              <w:t>另行通知</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评审委员会成</w:t>
            </w:r>
            <w:r>
              <w:rPr>
                <w:rFonts w:hint="eastAsia" w:ascii="宋体" w:hAnsi="宋体" w:eastAsia="宋体" w:cs="宋体"/>
                <w:color w:val="auto"/>
                <w:kern w:val="0"/>
                <w:sz w:val="24"/>
                <w:szCs w:val="24"/>
                <w:highlight w:val="none"/>
              </w:rPr>
              <w:t>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及以上单数</w:t>
            </w:r>
            <w:r>
              <w:rPr>
                <w:rFonts w:hint="eastAsia" w:ascii="宋体" w:hAnsi="宋体" w:eastAsia="宋体" w:cs="宋体"/>
                <w:color w:val="auto"/>
                <w:kern w:val="0"/>
                <w:sz w:val="24"/>
                <w:szCs w:val="24"/>
                <w:highlight w:val="none"/>
              </w:rPr>
              <w:t>。</w:t>
            </w:r>
          </w:p>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专家确定方式：</w:t>
            </w:r>
            <w:r>
              <w:rPr>
                <w:rFonts w:hint="eastAsia" w:ascii="宋体" w:hAnsi="宋体" w:eastAsia="宋体" w:cs="宋体"/>
                <w:color w:val="auto"/>
                <w:kern w:val="0"/>
                <w:sz w:val="24"/>
                <w:szCs w:val="24"/>
                <w:highlight w:val="none"/>
              </w:rPr>
              <w:t>由采购人</w:t>
            </w:r>
            <w:r>
              <w:rPr>
                <w:rFonts w:hint="eastAsia" w:ascii="宋体" w:hAnsi="宋体" w:eastAsia="宋体" w:cs="宋体"/>
                <w:color w:val="auto"/>
                <w:kern w:val="0"/>
                <w:sz w:val="24"/>
                <w:szCs w:val="24"/>
                <w:highlight w:val="none"/>
                <w:lang w:val="en-US" w:eastAsia="zh-CN"/>
              </w:rPr>
              <w:t>抽取相关的技术人员组成</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评标办法：</w:t>
            </w: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sz w:val="24"/>
                <w:szCs w:val="24"/>
                <w:highlight w:val="none"/>
              </w:rPr>
              <w:t>综合评分法</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成交公告</w:t>
            </w:r>
            <w:r>
              <w:rPr>
                <w:rFonts w:hint="eastAsia" w:ascii="宋体" w:hAnsi="宋体" w:eastAsia="宋体" w:cs="宋体"/>
                <w:color w:val="auto"/>
                <w:kern w:val="0"/>
                <w:sz w:val="24"/>
                <w:szCs w:val="24"/>
                <w:highlight w:val="none"/>
              </w:rPr>
              <w:t>及</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：由采购人授权评标委员会确定一名中标人并推荐两名中标候选人。评审结束后</w:t>
            </w:r>
            <w:r>
              <w:rPr>
                <w:rFonts w:hint="eastAsia" w:ascii="宋体" w:hAnsi="宋体" w:eastAsia="宋体" w:cs="宋体"/>
                <w:color w:val="auto"/>
                <w:kern w:val="0"/>
                <w:sz w:val="24"/>
                <w:szCs w:val="24"/>
                <w:highlight w:val="none"/>
                <w:lang w:val="en-US" w:eastAsia="zh-CN"/>
              </w:rPr>
              <w:t>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驻马店市中心医院网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上发布</w:t>
            </w:r>
            <w:r>
              <w:rPr>
                <w:rFonts w:hint="eastAsia" w:ascii="宋体" w:hAnsi="宋体" w:cs="宋体"/>
                <w:color w:val="auto"/>
                <w:kern w:val="0"/>
                <w:sz w:val="24"/>
                <w:szCs w:val="24"/>
                <w:highlight w:val="none"/>
                <w:lang w:eastAsia="zh-CN"/>
              </w:rPr>
              <w:t>成交公告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公示期结束后</w:t>
            </w:r>
            <w:r>
              <w:rPr>
                <w:rFonts w:hint="eastAsia" w:ascii="宋体" w:hAnsi="宋体" w:eastAsia="宋体" w:cs="宋体"/>
                <w:color w:val="auto"/>
                <w:kern w:val="0"/>
                <w:sz w:val="24"/>
                <w:szCs w:val="24"/>
                <w:highlight w:val="none"/>
              </w:rPr>
              <w:t>向中标人发出</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签订合同：自</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发出之日起</w:t>
            </w:r>
            <w:r>
              <w:rPr>
                <w:rFonts w:hint="eastAsia" w:ascii="宋体" w:hAnsi="宋体" w:eastAsia="宋体" w:cs="宋体"/>
                <w:color w:val="auto"/>
                <w:kern w:val="0"/>
                <w:sz w:val="24"/>
                <w:szCs w:val="24"/>
                <w:highlight w:val="none"/>
                <w:lang w:val="en-US" w:eastAsia="zh-CN"/>
              </w:rPr>
              <w:t>三十</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val="en-US" w:eastAsia="zh-CN"/>
              </w:rPr>
              <w:t>日历</w:t>
            </w:r>
            <w:r>
              <w:rPr>
                <w:rFonts w:hint="eastAsia" w:ascii="宋体" w:hAnsi="宋体" w:eastAsia="宋体" w:cs="宋体"/>
                <w:color w:val="auto"/>
                <w:kern w:val="0"/>
                <w:sz w:val="24"/>
                <w:szCs w:val="24"/>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11</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付款方式：详见第二章</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投标文件有效期：投标</w:t>
            </w:r>
            <w:r>
              <w:rPr>
                <w:rFonts w:hint="eastAsia" w:ascii="宋体" w:hAnsi="宋体" w:eastAsia="宋体" w:cs="宋体"/>
                <w:color w:val="auto"/>
                <w:kern w:val="0"/>
                <w:sz w:val="24"/>
                <w:szCs w:val="24"/>
                <w:highlight w:val="none"/>
                <w:lang w:val="en-US" w:eastAsia="zh-CN"/>
              </w:rPr>
              <w:t>文件递交</w:t>
            </w:r>
            <w:r>
              <w:rPr>
                <w:rFonts w:hint="eastAsia" w:ascii="宋体" w:hAnsi="宋体" w:eastAsia="宋体" w:cs="宋体"/>
                <w:color w:val="auto"/>
                <w:kern w:val="0"/>
                <w:sz w:val="24"/>
                <w:szCs w:val="24"/>
                <w:highlight w:val="none"/>
              </w:rPr>
              <w:t>截止期结束后</w:t>
            </w:r>
            <w:r>
              <w:rPr>
                <w:rFonts w:hint="eastAsia" w:ascii="宋体" w:hAnsi="宋体" w:eastAsia="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auto"/>
                <w:sz w:val="24"/>
                <w:szCs w:val="24"/>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质疑和投诉：供应商认为</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文件使自己的合法权益受到损害的，</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公告期限届满之日(或收到</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个工作日之内向</w:t>
            </w:r>
            <w:r>
              <w:rPr>
                <w:rFonts w:hint="eastAsia" w:ascii="宋体" w:hAnsi="宋体" w:eastAsia="宋体" w:cs="宋体"/>
                <w:bCs/>
                <w:color w:val="auto"/>
                <w:kern w:val="0"/>
                <w:sz w:val="24"/>
                <w:szCs w:val="24"/>
                <w:highlight w:val="none"/>
              </w:rPr>
              <w:t>采购人提出质疑；供应商认为</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过程和中标结果使自己的合法权益受到损害的，应当在知道或者应知其权益受到损害之日起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个工作日内提出质疑。</w:t>
            </w:r>
            <w:r>
              <w:rPr>
                <w:rFonts w:hint="eastAsia" w:ascii="宋体" w:hAnsi="宋体" w:eastAsia="宋体" w:cs="宋体"/>
                <w:color w:val="auto"/>
                <w:kern w:val="0"/>
                <w:sz w:val="24"/>
                <w:szCs w:val="24"/>
                <w:highlight w:val="none"/>
              </w:rPr>
              <w:t>逾期不再受理,</w:t>
            </w:r>
            <w:r>
              <w:rPr>
                <w:rFonts w:hint="eastAsia" w:ascii="宋体" w:hAnsi="宋体" w:eastAsia="宋体" w:cs="宋体"/>
                <w:bCs/>
                <w:color w:val="auto"/>
                <w:kern w:val="0"/>
                <w:sz w:val="24"/>
                <w:szCs w:val="24"/>
                <w:highlight w:val="none"/>
              </w:rPr>
              <w:t>供应商在法定质疑期内应一次性提出针对同一采购环节的质疑</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kern w:val="0"/>
                <w:sz w:val="24"/>
                <w:szCs w:val="24"/>
                <w:highlight w:val="none"/>
              </w:rPr>
              <w:t>供应商对</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的质疑答复不满意,或</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解释：1、构成本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文件中有特殊规定外，仅适用于招标投标阶段的规定，按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1.适用范围</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文件仅适用于</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2.定义</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“投标人”系指</w:t>
      </w:r>
      <w:r>
        <w:rPr>
          <w:rFonts w:hint="eastAsia" w:ascii="宋体" w:hAnsi="宋体" w:eastAsia="宋体" w:cs="宋体"/>
          <w:color w:val="auto"/>
          <w:kern w:val="0"/>
          <w:sz w:val="24"/>
          <w:szCs w:val="24"/>
          <w:highlight w:val="none"/>
          <w:lang w:val="en-US" w:eastAsia="zh-CN"/>
        </w:rPr>
        <w:t>领取</w:t>
      </w:r>
      <w:r>
        <w:rPr>
          <w:rFonts w:hint="eastAsia" w:ascii="宋体" w:hAnsi="宋体" w:eastAsia="宋体" w:cs="宋体"/>
          <w:color w:val="auto"/>
          <w:kern w:val="0"/>
          <w:sz w:val="24"/>
          <w:szCs w:val="24"/>
          <w:highlight w:val="none"/>
        </w:rPr>
        <w:t>了本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“投标人代表”系指代表投标人参加本次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“货物”系指投标人按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“相关服务”系指</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 采购预算</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本次采购预算</w:t>
      </w:r>
      <w:r>
        <w:rPr>
          <w:rFonts w:hint="eastAsia" w:ascii="宋体" w:hAnsi="宋体" w:eastAsia="宋体" w:cs="宋体"/>
          <w:b/>
          <w:bCs/>
          <w:color w:val="auto"/>
          <w:kern w:val="0"/>
          <w:sz w:val="24"/>
          <w:szCs w:val="24"/>
          <w:highlight w:val="none"/>
          <w:lang w:eastAsia="zh-CN"/>
        </w:rPr>
        <w:t>单价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综合单价最高限价</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2900.00</w:t>
      </w:r>
      <w:r>
        <w:rPr>
          <w:rFonts w:hint="eastAsia" w:ascii="宋体" w:hAnsi="宋体" w:eastAsia="宋体" w:cs="宋体"/>
          <w:b/>
          <w:bCs/>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供应商所报综合单价不得超过</w:t>
      </w:r>
      <w:r>
        <w:rPr>
          <w:rFonts w:hint="eastAsia" w:ascii="宋体" w:hAnsi="宋体" w:eastAsia="宋体" w:cs="宋体"/>
          <w:b/>
          <w:bCs/>
          <w:color w:val="auto"/>
          <w:kern w:val="0"/>
          <w:sz w:val="24"/>
          <w:szCs w:val="24"/>
          <w:highlight w:val="none"/>
          <w:lang w:eastAsia="zh-CN"/>
        </w:rPr>
        <w:t>本项目综合单价最高限价</w:t>
      </w:r>
      <w:r>
        <w:rPr>
          <w:rFonts w:hint="eastAsia" w:ascii="宋体" w:hAnsi="宋体" w:eastAsia="宋体" w:cs="宋体"/>
          <w:b/>
          <w:bCs/>
          <w:color w:val="auto"/>
          <w:kern w:val="0"/>
          <w:sz w:val="24"/>
          <w:szCs w:val="24"/>
          <w:highlight w:val="none"/>
          <w:lang w:val="en-US" w:eastAsia="zh-CN"/>
        </w:rPr>
        <w:t>，否则将被作为无效响应。</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供应商应提供</w:t>
      </w:r>
      <w:r>
        <w:rPr>
          <w:rFonts w:hint="eastAsia" w:ascii="宋体" w:hAnsi="宋体" w:cs="宋体"/>
          <w:color w:val="auto"/>
          <w:sz w:val="24"/>
          <w:szCs w:val="24"/>
          <w:highlight w:val="none"/>
          <w:lang w:val="en-US" w:eastAsia="zh-CN"/>
        </w:rPr>
        <w:t>2022年度</w:t>
      </w:r>
      <w:r>
        <w:rPr>
          <w:rFonts w:hint="eastAsia" w:ascii="宋体" w:hAnsi="宋体" w:eastAsia="宋体" w:cs="宋体"/>
          <w:color w:val="auto"/>
          <w:sz w:val="24"/>
          <w:szCs w:val="24"/>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符合法律、行政法规规定的其他条件。</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10.质疑和投诉</w:t>
      </w:r>
    </w:p>
    <w:p>
      <w:pPr>
        <w:keepNext w:val="0"/>
        <w:keepLines w:val="0"/>
        <w:pageBreakBefore w:val="0"/>
        <w:widowControl/>
        <w:kinsoku/>
        <w:wordWrap/>
        <w:overflowPunct/>
        <w:topLinePunct w:val="0"/>
        <w:bidi w:val="0"/>
        <w:snapToGri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w:t>
      </w:r>
      <w:r>
        <w:rPr>
          <w:rFonts w:hint="eastAsia" w:ascii="宋体" w:hAnsi="宋体" w:eastAsia="宋体" w:cs="宋体"/>
          <w:bCs/>
          <w:color w:val="auto"/>
          <w:kern w:val="0"/>
          <w:sz w:val="24"/>
          <w:szCs w:val="24"/>
          <w:highlight w:val="none"/>
        </w:rPr>
        <w:t>供应商认为</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文件使自己的合法权益受到损害的，</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公告期限届满之日(或收到</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个工作日之内向</w:t>
      </w:r>
      <w:r>
        <w:rPr>
          <w:rFonts w:hint="eastAsia" w:ascii="宋体" w:hAnsi="宋体" w:eastAsia="宋体" w:cs="宋体"/>
          <w:bCs/>
          <w:color w:val="auto"/>
          <w:kern w:val="0"/>
          <w:sz w:val="24"/>
          <w:szCs w:val="24"/>
          <w:highlight w:val="none"/>
        </w:rPr>
        <w:t>采购人提出质疑；供应商认为</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过程和中标结果使自己的合法权益受到损害的，应当在知道或者应知其权益受到损害之日起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个工作日内提出质疑。</w:t>
      </w:r>
      <w:r>
        <w:rPr>
          <w:rFonts w:hint="eastAsia" w:ascii="宋体" w:hAnsi="宋体" w:eastAsia="宋体" w:cs="宋体"/>
          <w:color w:val="auto"/>
          <w:kern w:val="0"/>
          <w:sz w:val="24"/>
          <w:szCs w:val="24"/>
          <w:highlight w:val="none"/>
        </w:rPr>
        <w:t>逾期不再受理,</w:t>
      </w:r>
      <w:r>
        <w:rPr>
          <w:rFonts w:hint="eastAsia" w:ascii="宋体" w:hAnsi="宋体" w:eastAsia="宋体" w:cs="宋体"/>
          <w:bCs/>
          <w:color w:val="auto"/>
          <w:kern w:val="0"/>
          <w:sz w:val="24"/>
          <w:szCs w:val="24"/>
          <w:highlight w:val="none"/>
        </w:rPr>
        <w:t>供应商在法定质疑期内应一次性提出针对同一采购环节的质疑。</w:t>
      </w:r>
      <w:r>
        <w:rPr>
          <w:rFonts w:hint="eastAsia" w:ascii="宋体" w:hAnsi="宋体" w:eastAsia="宋体" w:cs="宋体"/>
          <w:color w:val="auto"/>
          <w:kern w:val="0"/>
          <w:sz w:val="24"/>
          <w:szCs w:val="24"/>
          <w:highlight w:val="none"/>
        </w:rPr>
        <w:t>供应商对</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的质疑答复不满意,或</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未在规定时间内作出答复的，可以在答复期满后15个工作日内向</w:t>
      </w:r>
      <w:r>
        <w:rPr>
          <w:rFonts w:hint="eastAsia" w:ascii="宋体" w:hAnsi="宋体" w:eastAsia="宋体" w:cs="宋体"/>
          <w:color w:val="auto"/>
          <w:kern w:val="0"/>
          <w:sz w:val="24"/>
          <w:szCs w:val="24"/>
          <w:highlight w:val="none"/>
          <w:lang w:val="en-US" w:eastAsia="zh-CN"/>
        </w:rPr>
        <w:t>医院纪检</w:t>
      </w:r>
      <w:r>
        <w:rPr>
          <w:rFonts w:hint="eastAsia" w:ascii="宋体" w:hAnsi="宋体" w:eastAsia="宋体" w:cs="宋体"/>
          <w:color w:val="auto"/>
          <w:kern w:val="0"/>
          <w:sz w:val="24"/>
          <w:szCs w:val="24"/>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w:t>
      </w:r>
      <w:r>
        <w:rPr>
          <w:rFonts w:hint="eastAsia" w:ascii="宋体" w:hAnsi="宋体" w:eastAsia="宋体" w:cs="宋体"/>
          <w:bCs/>
          <w:color w:val="auto"/>
          <w:kern w:val="0"/>
          <w:sz w:val="24"/>
          <w:szCs w:val="24"/>
          <w:highlight w:val="none"/>
        </w:rPr>
        <w:t>质疑、投诉应当采用书面形式，质疑书、投诉书均应明确阐述</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投标人没有按照</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文件要求提供全部资料，或者投标人没有对</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en-US" w:eastAsia="zh-CN"/>
        </w:rPr>
        <w:t>采购</w:t>
      </w:r>
      <w:r>
        <w:rPr>
          <w:rFonts w:hint="eastAsia" w:ascii="宋体" w:hAnsi="宋体" w:eastAsia="宋体" w:cs="宋体"/>
          <w:b/>
          <w:bCs/>
          <w:color w:val="auto"/>
          <w:kern w:val="0"/>
          <w:sz w:val="24"/>
          <w:szCs w:val="24"/>
          <w:highlight w:val="none"/>
        </w:rPr>
        <w:t>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12.</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文件的构成。本</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文件由以下部分组成：</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需求</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 投标人须知</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 评标办法</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12.5 </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合同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12.6 投标文件格式</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文件的澄清与修改</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13.1 </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对已发出的</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文件进行必要澄清、修改或补充的，应当在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文件要求提交投标文件截止时间</w:t>
      </w:r>
      <w:r>
        <w:rPr>
          <w:rFonts w:hint="eastAsia" w:ascii="宋体" w:hAnsi="宋体" w:cs="宋体"/>
          <w:color w:val="auto"/>
          <w:kern w:val="0"/>
          <w:sz w:val="24"/>
          <w:szCs w:val="24"/>
          <w:highlight w:val="none"/>
          <w:lang w:val="en-US" w:eastAsia="zh-CN"/>
        </w:rPr>
        <w:t>3</w:t>
      </w:r>
      <w:r>
        <w:rPr>
          <w:rFonts w:hint="eastAsia" w:ascii="宋体" w:hAnsi="宋体" w:cs="宋体"/>
          <w:bCs/>
          <w:color w:val="auto"/>
          <w:kern w:val="0"/>
          <w:sz w:val="24"/>
          <w:szCs w:val="24"/>
          <w:highlight w:val="none"/>
        </w:rPr>
        <w:t>日</w:t>
      </w:r>
      <w:r>
        <w:rPr>
          <w:rFonts w:hint="eastAsia" w:ascii="宋体" w:hAnsi="宋体" w:cs="宋体"/>
          <w:color w:val="auto"/>
          <w:kern w:val="0"/>
          <w:sz w:val="24"/>
          <w:szCs w:val="24"/>
          <w:highlight w:val="none"/>
        </w:rPr>
        <w:t>前，在</w:t>
      </w:r>
      <w:r>
        <w:rPr>
          <w:rFonts w:hint="eastAsia" w:ascii="宋体" w:hAnsi="宋体" w:cs="宋体"/>
          <w:color w:val="auto"/>
          <w:kern w:val="0"/>
          <w:sz w:val="24"/>
          <w:szCs w:val="24"/>
          <w:highlight w:val="none"/>
          <w:lang w:val="en-US" w:eastAsia="zh-CN"/>
        </w:rPr>
        <w:t>原采购公告发布</w:t>
      </w:r>
      <w:r>
        <w:rPr>
          <w:rFonts w:hint="eastAsia" w:ascii="宋体" w:hAnsi="宋体" w:cs="宋体"/>
          <w:color w:val="auto"/>
          <w:kern w:val="0"/>
          <w:sz w:val="24"/>
          <w:szCs w:val="24"/>
          <w:highlight w:val="none"/>
        </w:rPr>
        <w:t>相关媒体上发布更正公告或变更公告。</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文件公示期间对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文件澄清、修改或补充的内容为</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文件的澄清、修改或补充都应以法定形式发布。采购人未对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13.4 </w:t>
      </w:r>
      <w:r>
        <w:rPr>
          <w:rFonts w:hint="eastAsia" w:ascii="宋体" w:hAnsi="宋体" w:cs="宋体"/>
          <w:bCs/>
          <w:color w:val="auto"/>
          <w:kern w:val="0"/>
          <w:sz w:val="24"/>
          <w:szCs w:val="24"/>
          <w:highlight w:val="none"/>
        </w:rPr>
        <w:t>采购人</w:t>
      </w:r>
      <w:r>
        <w:rPr>
          <w:rFonts w:hint="eastAsia" w:ascii="宋体" w:hAnsi="宋体" w:cs="宋体"/>
          <w:color w:val="auto"/>
          <w:kern w:val="0"/>
          <w:sz w:val="24"/>
          <w:szCs w:val="24"/>
          <w:highlight w:val="none"/>
        </w:rPr>
        <w:t>可以视招标具体情况延长投标截止时间和开标时间，但至少应当在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文件要求提交投标文件的截止时间3</w:t>
      </w:r>
      <w:r>
        <w:rPr>
          <w:rFonts w:hint="eastAsia" w:ascii="宋体" w:hAnsi="宋体" w:cs="宋体"/>
          <w:bCs/>
          <w:color w:val="auto"/>
          <w:kern w:val="0"/>
          <w:sz w:val="24"/>
          <w:szCs w:val="24"/>
          <w:highlight w:val="none"/>
        </w:rPr>
        <w:t>日</w:t>
      </w:r>
      <w:r>
        <w:rPr>
          <w:rFonts w:hint="eastAsia" w:ascii="宋体" w:hAnsi="宋体" w:cs="宋体"/>
          <w:color w:val="auto"/>
          <w:kern w:val="0"/>
          <w:sz w:val="24"/>
          <w:szCs w:val="24"/>
          <w:highlight w:val="none"/>
        </w:rPr>
        <w:t>前，将变更时间</w:t>
      </w:r>
      <w:r>
        <w:rPr>
          <w:rFonts w:hint="eastAsia" w:ascii="宋体" w:hAnsi="宋体" w:cs="宋体"/>
          <w:color w:val="auto"/>
          <w:kern w:val="0"/>
          <w:sz w:val="24"/>
          <w:szCs w:val="24"/>
          <w:highlight w:val="none"/>
          <w:lang w:val="en-US" w:eastAsia="zh-CN"/>
        </w:rPr>
        <w:t>通知所有潜在投标人</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三、投标文件的编制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14.要求</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 投标人应仔细阅读</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文件的所有内容，按照</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文件提供的格式编写投标文件，不得缺少或留空任何</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文件要求填写的表格或提交的资料。</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文件提供格式的按格式填列，未提供格式的可自行拟定。投标文件应对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 投标人应完整签署投标文件格式附件中《投标书》和《抵制商业贿赂承诺》，不得增减或修改内容。否则视为对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文件未作出实质性响应。</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 关于投标计量单位，</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文件已有明确规定的，使用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文件规定的计量单位；</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文件没有规定的，应采用中华人民共和国法定计量单位。否则视为对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16.投标文件的组成</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16.2、</w:t>
      </w:r>
      <w:r>
        <w:rPr>
          <w:rFonts w:hint="eastAsia" w:ascii="宋体" w:hAnsi="宋体" w:eastAsia="宋体" w:cs="宋体"/>
          <w:color w:val="auto"/>
          <w:kern w:val="0"/>
          <w:sz w:val="24"/>
          <w:szCs w:val="24"/>
          <w:highlight w:val="none"/>
        </w:rPr>
        <w:t>报价明细表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color w:val="auto"/>
          <w:sz w:val="24"/>
          <w:highlight w:val="none"/>
        </w:rPr>
        <w:t>技术响应</w:t>
      </w:r>
      <w:r>
        <w:rPr>
          <w:rFonts w:hint="eastAsia"/>
          <w:color w:val="auto"/>
          <w:sz w:val="24"/>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color w:val="auto"/>
          <w:sz w:val="24"/>
          <w:highlight w:val="none"/>
        </w:rPr>
        <w:t>商务响应</w:t>
      </w:r>
      <w:r>
        <w:rPr>
          <w:rFonts w:hint="eastAsia"/>
          <w:color w:val="auto"/>
          <w:sz w:val="24"/>
          <w:highlight w:val="none"/>
          <w:lang w:val="en-US" w:eastAsia="zh-CN"/>
        </w:rPr>
        <w:t>部分</w:t>
      </w:r>
    </w:p>
    <w:p>
      <w:pPr>
        <w:keepNext w:val="0"/>
        <w:keepLines w:val="0"/>
        <w:pageBreakBefore w:val="0"/>
        <w:widowControl/>
        <w:kinsoku/>
        <w:wordWrap/>
        <w:overflowPunct/>
        <w:topLinePunct w:val="0"/>
        <w:bidi w:val="0"/>
        <w:snapToGrid w:val="0"/>
        <w:spacing w:line="360" w:lineRule="auto"/>
        <w:ind w:left="208" w:leftChars="99"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、法定代表人身份证明</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、法定代表人授权书</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、证明文件</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r>
        <w:rPr>
          <w:rFonts w:hint="eastAsia"/>
          <w:color w:val="auto"/>
          <w:sz w:val="24"/>
          <w:highlight w:val="none"/>
        </w:rPr>
        <w:t>供应商承诺书</w:t>
      </w:r>
    </w:p>
    <w:p>
      <w:pPr>
        <w:pStyle w:val="10"/>
        <w:keepNext w:val="0"/>
        <w:keepLines w:val="0"/>
        <w:pageBreakBefore w:val="0"/>
        <w:kinsoku/>
        <w:wordWrap/>
        <w:overflowPunct/>
        <w:topLinePunct w:val="0"/>
        <w:bidi w:val="0"/>
        <w:snapToGrid w:val="0"/>
        <w:spacing w:beforeAutospacing="0" w:afterAutospacing="0"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highlight w:val="none"/>
          <w:lang w:val="en-US" w:eastAsia="zh-CN"/>
        </w:rPr>
        <w:t>供应商信用承诺函</w:t>
      </w:r>
    </w:p>
    <w:p>
      <w:pPr>
        <w:pStyle w:val="10"/>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16.10、</w:t>
      </w:r>
      <w:r>
        <w:rPr>
          <w:rFonts w:hint="eastAsia" w:ascii="宋体" w:hAnsi="宋体" w:eastAsia="宋体" w:cs="宋体"/>
          <w:color w:val="auto"/>
          <w:sz w:val="24"/>
          <w:szCs w:val="24"/>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17.投标有效期</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 投标文件从</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公告所规定的投标截止期之后开始生效，在</w:t>
      </w:r>
      <w:r>
        <w:rPr>
          <w:rFonts w:hint="eastAsia" w:ascii="宋体" w:hAnsi="宋体" w:cs="宋体"/>
          <w:bCs/>
          <w:color w:val="auto"/>
          <w:kern w:val="0"/>
          <w:sz w:val="24"/>
          <w:szCs w:val="24"/>
          <w:highlight w:val="none"/>
        </w:rPr>
        <w:t>投标人须知前附表</w:t>
      </w:r>
      <w:r>
        <w:rPr>
          <w:rFonts w:hint="eastAsia" w:ascii="宋体" w:hAnsi="宋体" w:cs="宋体"/>
          <w:color w:val="auto"/>
          <w:kern w:val="0"/>
          <w:sz w:val="24"/>
          <w:szCs w:val="24"/>
          <w:highlight w:val="none"/>
        </w:rPr>
        <w:t>第1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17.2特殊情况下</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可于投标有效期满之前书面要求投标人同意延长有效期，投标人应在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18.投标报价</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18.3 </w:t>
      </w:r>
      <w:r>
        <w:rPr>
          <w:rFonts w:hint="eastAsia" w:ascii="宋体" w:hAnsi="宋体" w:cs="宋体"/>
          <w:color w:val="auto"/>
          <w:spacing w:val="10"/>
          <w:kern w:val="0"/>
          <w:sz w:val="24"/>
          <w:szCs w:val="24"/>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18.5 </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77" w:firstLineChars="198"/>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19.投标保证金（详见采购公告）</w:t>
      </w:r>
    </w:p>
    <w:p>
      <w:pPr>
        <w:keepNext w:val="0"/>
        <w:keepLines w:val="0"/>
        <w:pageBreakBefore w:val="0"/>
        <w:widowControl/>
        <w:kinsoku/>
        <w:wordWrap/>
        <w:overflowPunct/>
        <w:topLinePunct w:val="0"/>
        <w:bidi w:val="0"/>
        <w:snapToGrid w:val="0"/>
        <w:spacing w:line="360" w:lineRule="auto"/>
        <w:ind w:firstLine="477" w:firstLineChars="198"/>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rPr>
        <w:t>20.投标文件的签署</w:t>
      </w:r>
      <w:r>
        <w:rPr>
          <w:rFonts w:hint="eastAsia" w:ascii="宋体" w:hAnsi="宋体" w:cs="宋体"/>
          <w:b/>
          <w:color w:val="auto"/>
          <w:kern w:val="0"/>
          <w:sz w:val="24"/>
          <w:szCs w:val="24"/>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文件实质性要求的基础上，可以提出比</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.2 投标文件应当对</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文件有关</w:t>
      </w:r>
      <w:r>
        <w:rPr>
          <w:rFonts w:hint="eastAsia" w:ascii="宋体" w:hAnsi="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rPr>
        <w:t>期、投标有效期、质量要求、技术标准和要求、</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77" w:firstLineChars="198"/>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21. 投标文件的密封、标记</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21.2 投标文件的封套上应清楚地标记“正本”或“副本”字样，封套上应写明的其他内容见投标人须知前附表</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sz w:val="24"/>
          <w:szCs w:val="24"/>
          <w:highlight w:val="none"/>
          <w:lang w:eastAsia="zh-CN"/>
        </w:rPr>
      </w:pPr>
      <w:r>
        <w:rPr>
          <w:rFonts w:hint="eastAsia"/>
          <w:sz w:val="24"/>
          <w:szCs w:val="24"/>
          <w:highlight w:val="none"/>
          <w:lang w:eastAsia="zh-CN"/>
        </w:rPr>
        <w:t>2</w:t>
      </w:r>
      <w:r>
        <w:rPr>
          <w:rFonts w:hint="eastAsia"/>
          <w:sz w:val="24"/>
          <w:szCs w:val="24"/>
          <w:highlight w:val="none"/>
          <w:lang w:val="en-US" w:eastAsia="zh-CN"/>
        </w:rPr>
        <w:t>1</w:t>
      </w:r>
      <w:r>
        <w:rPr>
          <w:rFonts w:hint="eastAsia"/>
          <w:sz w:val="24"/>
          <w:szCs w:val="24"/>
          <w:highlight w:val="none"/>
          <w:lang w:eastAsia="zh-CN"/>
        </w:rPr>
        <w:t>.3 未按本章第2</w:t>
      </w:r>
      <w:r>
        <w:rPr>
          <w:rFonts w:hint="eastAsia"/>
          <w:sz w:val="24"/>
          <w:szCs w:val="24"/>
          <w:highlight w:val="none"/>
          <w:lang w:val="en-US" w:eastAsia="zh-CN"/>
        </w:rPr>
        <w:t>1</w:t>
      </w:r>
      <w:r>
        <w:rPr>
          <w:rFonts w:hint="eastAsia"/>
          <w:sz w:val="24"/>
          <w:szCs w:val="24"/>
          <w:highlight w:val="none"/>
          <w:lang w:eastAsia="zh-CN"/>
        </w:rPr>
        <w:t>.1项或第2</w:t>
      </w:r>
      <w:r>
        <w:rPr>
          <w:rFonts w:hint="eastAsia"/>
          <w:sz w:val="24"/>
          <w:szCs w:val="24"/>
          <w:highlight w:val="none"/>
          <w:lang w:val="en-US" w:eastAsia="zh-CN"/>
        </w:rPr>
        <w:t>1</w:t>
      </w:r>
      <w:r>
        <w:rPr>
          <w:rFonts w:hint="eastAsia"/>
          <w:sz w:val="24"/>
          <w:szCs w:val="24"/>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 投标人应在规定的投标截止时间前</w:t>
      </w:r>
      <w:r>
        <w:rPr>
          <w:rFonts w:hint="eastAsia" w:ascii="宋体" w:hAnsi="宋体" w:cs="宋体"/>
          <w:color w:val="auto"/>
          <w:kern w:val="0"/>
          <w:sz w:val="24"/>
          <w:szCs w:val="24"/>
          <w:highlight w:val="none"/>
          <w:lang w:eastAsia="zh-CN"/>
        </w:rPr>
        <w:t>递交</w:t>
      </w:r>
      <w:r>
        <w:rPr>
          <w:rFonts w:hint="eastAsia" w:ascii="宋体" w:hAnsi="宋体" w:cs="宋体"/>
          <w:color w:val="auto"/>
          <w:kern w:val="0"/>
          <w:sz w:val="24"/>
          <w:szCs w:val="24"/>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23.1 投标人在投标截止时间前，可以对所提交的投标文件进行补充、修改或者撤回，并书面通知</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 组建评标委员会</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 评标委员会由采购人代表和评审专家组成。成员由</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人以上单数组成。</w:t>
      </w:r>
      <w:r>
        <w:rPr>
          <w:rFonts w:hint="eastAsia" w:ascii="宋体" w:hAnsi="宋体" w:cs="宋体"/>
          <w:color w:val="auto"/>
          <w:sz w:val="24"/>
          <w:szCs w:val="24"/>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.2评标委员会成员要依法独立评审，并对评审意见承担个人责任。</w:t>
      </w:r>
      <w:r>
        <w:rPr>
          <w:rFonts w:hint="eastAsia" w:ascii="宋体" w:hAnsi="宋体" w:cs="宋体"/>
          <w:color w:val="auto"/>
          <w:sz w:val="24"/>
          <w:szCs w:val="24"/>
          <w:highlight w:val="none"/>
        </w:rPr>
        <w:t>评标委员会成员对需要共同认定的事项存在争议的，按照少数服从多数的原则</w:t>
      </w:r>
      <w:r>
        <w:rPr>
          <w:rFonts w:hint="eastAsia" w:ascii="宋体" w:hAnsi="宋体" w:cs="宋体"/>
          <w:color w:val="auto"/>
          <w:kern w:val="0"/>
          <w:sz w:val="24"/>
          <w:szCs w:val="24"/>
          <w:highlight w:val="none"/>
        </w:rPr>
        <w:t>做</w:t>
      </w:r>
      <w:r>
        <w:rPr>
          <w:rFonts w:hint="eastAsia" w:ascii="宋体" w:hAnsi="宋体" w:cs="宋体"/>
          <w:color w:val="auto"/>
          <w:sz w:val="24"/>
          <w:szCs w:val="24"/>
          <w:highlight w:val="none"/>
        </w:rPr>
        <w:t>出结论。持不同意见的评标委员会成员应当在评标报告上签署不同意见</w:t>
      </w:r>
      <w:r>
        <w:rPr>
          <w:rFonts w:hint="eastAsia" w:ascii="宋体" w:hAnsi="宋体" w:cs="宋体"/>
          <w:color w:val="auto"/>
          <w:kern w:val="0"/>
          <w:sz w:val="24"/>
          <w:szCs w:val="24"/>
          <w:highlight w:val="none"/>
        </w:rPr>
        <w:t>并说明</w:t>
      </w:r>
      <w:r>
        <w:rPr>
          <w:rFonts w:hint="eastAsia" w:ascii="宋体" w:hAnsi="宋体" w:cs="宋体"/>
          <w:color w:val="auto"/>
          <w:sz w:val="24"/>
          <w:szCs w:val="24"/>
          <w:highlight w:val="none"/>
        </w:rPr>
        <w:t>理由，否则视为同意。</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.1对所有投标人的评估，都采用相同的程序和标准。评标过程将严格按照</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文件的要求和条件进行。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 xml:space="preserve"> </w:t>
      </w:r>
      <w:r>
        <w:rPr>
          <w:rFonts w:hint="eastAsia"/>
          <w:color w:val="auto"/>
          <w:kern w:val="0"/>
          <w:sz w:val="24"/>
          <w:szCs w:val="24"/>
          <w:highlight w:val="none"/>
        </w:rPr>
        <w:t>投标文件报价出现前后不一致的，除</w:t>
      </w:r>
      <w:r>
        <w:rPr>
          <w:rFonts w:hint="eastAsia"/>
          <w:color w:val="auto"/>
          <w:kern w:val="0"/>
          <w:sz w:val="24"/>
          <w:szCs w:val="24"/>
          <w:highlight w:val="none"/>
          <w:lang w:val="en-US" w:eastAsia="zh-CN"/>
        </w:rPr>
        <w:t>采购</w:t>
      </w:r>
      <w:r>
        <w:rPr>
          <w:rFonts w:hint="eastAsia"/>
          <w:color w:val="auto"/>
          <w:kern w:val="0"/>
          <w:sz w:val="24"/>
          <w:szCs w:val="24"/>
          <w:highlight w:val="none"/>
        </w:rPr>
        <w:t>文件另有规定外，</w:t>
      </w:r>
      <w:r>
        <w:rPr>
          <w:rFonts w:hint="eastAsia" w:cs="宋体"/>
          <w:color w:val="auto"/>
          <w:kern w:val="0"/>
          <w:sz w:val="24"/>
          <w:szCs w:val="24"/>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.3.1</w:t>
      </w:r>
      <w:r>
        <w:rPr>
          <w:rFonts w:hint="eastAsia" w:ascii="宋体" w:hAnsi="宋体" w:cs="宋体"/>
          <w:color w:val="auto"/>
          <w:sz w:val="24"/>
          <w:szCs w:val="24"/>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.3.2</w:t>
      </w:r>
      <w:r>
        <w:rPr>
          <w:rFonts w:hint="eastAsia" w:ascii="宋体" w:hAnsi="宋体" w:cs="宋体"/>
          <w:color w:val="auto"/>
          <w:sz w:val="24"/>
          <w:szCs w:val="24"/>
          <w:highlight w:val="none"/>
          <w:shd w:val="clear" w:color="auto" w:fill="FFFFFF"/>
        </w:rPr>
        <w:t>大写金额</w:t>
      </w:r>
      <w:r>
        <w:rPr>
          <w:rFonts w:hint="eastAsia" w:ascii="宋体" w:hAnsi="宋体" w:cs="宋体"/>
          <w:color w:val="auto"/>
          <w:sz w:val="24"/>
          <w:szCs w:val="24"/>
          <w:highlight w:val="none"/>
        </w:rPr>
        <w:t>与</w:t>
      </w:r>
      <w:r>
        <w:rPr>
          <w:rFonts w:hint="eastAsia" w:ascii="宋体" w:hAnsi="宋体" w:cs="宋体"/>
          <w:color w:val="auto"/>
          <w:sz w:val="24"/>
          <w:szCs w:val="24"/>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.3.3</w:t>
      </w:r>
      <w:r>
        <w:rPr>
          <w:rFonts w:hint="eastAsia" w:ascii="宋体" w:hAnsi="宋体" w:cs="宋体"/>
          <w:color w:val="auto"/>
          <w:sz w:val="24"/>
          <w:szCs w:val="24"/>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.3.4</w:t>
      </w:r>
      <w:r>
        <w:rPr>
          <w:rFonts w:hint="eastAsia" w:ascii="宋体" w:hAnsi="宋体" w:cs="宋体"/>
          <w:color w:val="auto"/>
          <w:sz w:val="24"/>
          <w:szCs w:val="24"/>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.4.1</w:t>
      </w:r>
      <w:r>
        <w:rPr>
          <w:rFonts w:hint="eastAsia" w:ascii="宋体" w:hAnsi="宋体"/>
          <w:color w:val="auto"/>
          <w:sz w:val="24"/>
          <w:szCs w:val="24"/>
          <w:highlight w:val="none"/>
        </w:rPr>
        <w:t>资格性检查。依据法规政策和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文件的规定，在对投标文件详细评估之前，采购人将依据投标人提交的投标文件按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公告第二项和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文件所规定的资格标准或提供资格证明文件不全,其投标将被作为无效投标。</w:t>
      </w:r>
      <w:r>
        <w:rPr>
          <w:rFonts w:hint="eastAsia" w:ascii="宋体" w:hAnsi="宋体" w:cs="Lucida Sans Unicode"/>
          <w:color w:val="auto"/>
          <w:sz w:val="24"/>
          <w:szCs w:val="24"/>
          <w:highlight w:val="none"/>
        </w:rPr>
        <w:t>在审查过程中，采购人有权要求投标人按</w:t>
      </w:r>
      <w:r>
        <w:rPr>
          <w:rFonts w:hint="eastAsia" w:ascii="宋体" w:hAnsi="宋体" w:cs="Lucida Sans Unicode"/>
          <w:color w:val="auto"/>
          <w:sz w:val="24"/>
          <w:szCs w:val="24"/>
          <w:highlight w:val="none"/>
          <w:lang w:val="en-US" w:eastAsia="zh-CN"/>
        </w:rPr>
        <w:t>采购</w:t>
      </w:r>
      <w:r>
        <w:rPr>
          <w:rFonts w:hint="eastAsia" w:ascii="宋体" w:hAnsi="宋体" w:cs="Lucida Sans Unicode"/>
          <w:color w:val="auto"/>
          <w:sz w:val="24"/>
          <w:szCs w:val="24"/>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Lucida Sans Unicode"/>
          <w:color w:val="auto"/>
          <w:sz w:val="24"/>
          <w:szCs w:val="24"/>
          <w:highlight w:val="none"/>
        </w:rPr>
      </w:pPr>
      <w:r>
        <w:rPr>
          <w:rFonts w:hint="eastAsia" w:ascii="宋体" w:hAnsi="宋体" w:cs="Lucida Sans Unicode"/>
          <w:color w:val="auto"/>
          <w:sz w:val="24"/>
          <w:szCs w:val="24"/>
          <w:highlight w:val="none"/>
        </w:rPr>
        <w:t>2</w:t>
      </w:r>
      <w:r>
        <w:rPr>
          <w:rFonts w:hint="eastAsia" w:ascii="宋体" w:hAnsi="宋体" w:cs="Lucida Sans Unicode"/>
          <w:color w:val="auto"/>
          <w:sz w:val="24"/>
          <w:szCs w:val="24"/>
          <w:highlight w:val="none"/>
          <w:lang w:val="en-US" w:eastAsia="zh-CN"/>
        </w:rPr>
        <w:t>5</w:t>
      </w:r>
      <w:r>
        <w:rPr>
          <w:rFonts w:hint="eastAsia" w:ascii="宋体" w:hAnsi="宋体" w:cs="Lucida Sans Unicode"/>
          <w:color w:val="auto"/>
          <w:sz w:val="24"/>
          <w:szCs w:val="24"/>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.4.3 符合性检查。依据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文件的规定，评标委员会将从投标文件的有效性、完整性和对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文件的响应程度进行审查，以确定是否符合对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（3）资格证明文件不全的，或不符合</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（4）投标有效期、交货时间等不满足</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（5）未按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（6）投标文件的实质性内容未使用中文表述，或意思表述不明确，或前后矛盾，或使用计量单位不符合</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olor w:val="auto"/>
          <w:sz w:val="24"/>
          <w:szCs w:val="24"/>
          <w:highlight w:val="none"/>
        </w:rPr>
        <w:t>（8）投标文件内容未按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（9）不符合</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.4.4 对资格性检查和符合性检查不合格的投标人，将</w:t>
      </w:r>
      <w:r>
        <w:rPr>
          <w:rFonts w:hint="eastAsia" w:ascii="宋体" w:hAnsi="宋体" w:cs="宋体"/>
          <w:color w:val="auto"/>
          <w:kern w:val="0"/>
          <w:sz w:val="24"/>
          <w:szCs w:val="24"/>
          <w:highlight w:val="none"/>
          <w:lang w:val="en-US" w:eastAsia="zh-CN"/>
        </w:rPr>
        <w:t>通过评标系统</w:t>
      </w:r>
      <w:r>
        <w:rPr>
          <w:rFonts w:hint="eastAsia" w:ascii="宋体" w:hAnsi="宋体" w:cs="宋体"/>
          <w:color w:val="auto"/>
          <w:kern w:val="0"/>
          <w:sz w:val="24"/>
          <w:szCs w:val="24"/>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456" w:firstLineChars="190"/>
        <w:jc w:val="left"/>
        <w:textAlignment w:val="baseline"/>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rPr>
        <w:t>. 投标文件的澄清</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.1 评标委员会将按本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.2对漏（缺）报项的处理：</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b/>
          <w:b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 评标过程及保密原则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.1 凡与本次</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29</w:t>
      </w:r>
      <w:r>
        <w:rPr>
          <w:rFonts w:hint="eastAsia" w:ascii="宋体" w:hAnsi="宋体" w:cs="宋体"/>
          <w:b/>
          <w:color w:val="auto"/>
          <w:kern w:val="0"/>
          <w:sz w:val="24"/>
          <w:szCs w:val="24"/>
          <w:highlight w:val="none"/>
        </w:rPr>
        <w:t>.评标异议登记</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kern w:val="0"/>
          <w:sz w:val="24"/>
          <w:szCs w:val="24"/>
          <w:highlight w:val="none"/>
        </w:rPr>
        <w:t>采购人</w:t>
      </w:r>
      <w:r>
        <w:rPr>
          <w:rFonts w:hint="eastAsia" w:ascii="宋体" w:hAnsi="宋体" w:cs="宋体"/>
          <w:color w:val="auto"/>
          <w:kern w:val="0"/>
          <w:sz w:val="24"/>
          <w:szCs w:val="24"/>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0</w:t>
      </w:r>
      <w:r>
        <w:rPr>
          <w:rFonts w:hint="eastAsia" w:ascii="宋体" w:hAnsi="宋体" w:cs="宋体"/>
          <w:b/>
          <w:bCs/>
          <w:color w:val="auto"/>
          <w:kern w:val="0"/>
          <w:sz w:val="24"/>
          <w:szCs w:val="24"/>
          <w:highlight w:val="none"/>
        </w:rPr>
        <w:t>. 定标原则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.2 确定实质上响应</w:t>
      </w:r>
      <w:r>
        <w:rPr>
          <w:rFonts w:hint="eastAsia" w:ascii="宋体" w:hAnsi="宋体" w:cs="宋体"/>
          <w:bCs/>
          <w:color w:val="auto"/>
          <w:kern w:val="0"/>
          <w:sz w:val="24"/>
          <w:szCs w:val="24"/>
          <w:highlight w:val="none"/>
          <w:lang w:val="en-US" w:eastAsia="zh-CN"/>
        </w:rPr>
        <w:t>采购</w:t>
      </w:r>
      <w:r>
        <w:rPr>
          <w:rFonts w:hint="eastAsia" w:ascii="宋体" w:hAnsi="宋体" w:cs="宋体"/>
          <w:bCs/>
          <w:color w:val="auto"/>
          <w:kern w:val="0"/>
          <w:sz w:val="24"/>
          <w:szCs w:val="24"/>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bookmarkStart w:id="48" w:name="_Toc32200"/>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.2.1</w:t>
      </w:r>
      <w:bookmarkEnd w:id="48"/>
      <w:r>
        <w:rPr>
          <w:rFonts w:hint="eastAsia" w:ascii="宋体" w:hAnsi="宋体" w:cs="宋体"/>
          <w:bCs/>
          <w:color w:val="auto"/>
          <w:kern w:val="0"/>
          <w:sz w:val="24"/>
          <w:szCs w:val="24"/>
          <w:highlight w:val="none"/>
        </w:rPr>
        <w:t>本次评标采用</w:t>
      </w:r>
      <w:r>
        <w:rPr>
          <w:rFonts w:hint="eastAsia" w:ascii="宋体" w:hAnsi="宋体" w:cs="宋体"/>
          <w:color w:val="auto"/>
          <w:sz w:val="24"/>
          <w:szCs w:val="24"/>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采用综合评分法的，评标结果按评审后得分由高到低顺序排列。投标文件满足</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本项目由采购人授权评标委员会确定一名中标人并推荐两名中标候选人</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eastAsia="zh-CN"/>
        </w:rPr>
        <w:t>成交通知书</w:t>
      </w:r>
      <w:r>
        <w:rPr>
          <w:rFonts w:hint="eastAsia" w:ascii="宋体" w:hAnsi="宋体" w:cs="宋体"/>
          <w:b/>
          <w:bCs/>
          <w:color w:val="auto"/>
          <w:kern w:val="0"/>
          <w:sz w:val="24"/>
          <w:szCs w:val="24"/>
          <w:highlight w:val="none"/>
        </w:rPr>
        <w:t>及</w:t>
      </w:r>
      <w:r>
        <w:rPr>
          <w:rFonts w:hint="eastAsia" w:ascii="宋体" w:hAnsi="宋体" w:cs="宋体"/>
          <w:b/>
          <w:bCs/>
          <w:color w:val="auto"/>
          <w:kern w:val="0"/>
          <w:sz w:val="24"/>
          <w:szCs w:val="24"/>
          <w:highlight w:val="none"/>
          <w:lang w:eastAsia="zh-CN"/>
        </w:rPr>
        <w:t>成交公告</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.1评审结束后，</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人将中标候选人的情况在本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公告发布的同一媒介予以公示，公示</w:t>
      </w:r>
      <w:r>
        <w:rPr>
          <w:rFonts w:hint="eastAsia" w:ascii="宋体" w:hAnsi="宋体" w:cs="宋体"/>
          <w:color w:val="auto"/>
          <w:kern w:val="0"/>
          <w:sz w:val="24"/>
          <w:szCs w:val="24"/>
          <w:highlight w:val="none"/>
          <w:lang w:eastAsia="zh-CN"/>
        </w:rPr>
        <w:t>期限</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个工作日</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公示期结束后</w:t>
      </w:r>
      <w:r>
        <w:rPr>
          <w:rFonts w:hint="eastAsia" w:ascii="宋体" w:hAnsi="宋体" w:cs="宋体"/>
          <w:color w:val="auto"/>
          <w:kern w:val="0"/>
          <w:sz w:val="24"/>
          <w:szCs w:val="24"/>
          <w:highlight w:val="none"/>
        </w:rPr>
        <w:t>向中标人发出</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.2中标人在规定的时间内不领取</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对采购人和中标人具有同等法律效力。</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bCs/>
          <w:color w:val="auto"/>
          <w:kern w:val="0"/>
          <w:sz w:val="24"/>
          <w:szCs w:val="24"/>
          <w:highlight w:val="none"/>
        </w:rPr>
        <w:t>.4</w:t>
      </w:r>
      <w:r>
        <w:rPr>
          <w:rFonts w:hint="eastAsia" w:ascii="宋体" w:hAnsi="宋体" w:cs="宋体"/>
          <w:bCs/>
          <w:color w:val="auto"/>
          <w:kern w:val="0"/>
          <w:sz w:val="24"/>
          <w:szCs w:val="24"/>
          <w:highlight w:val="none"/>
          <w:lang w:eastAsia="zh-CN"/>
        </w:rPr>
        <w:t>成交通知书</w:t>
      </w:r>
      <w:r>
        <w:rPr>
          <w:rFonts w:hint="eastAsia" w:ascii="宋体" w:hAnsi="宋体" w:cs="宋体"/>
          <w:bCs/>
          <w:color w:val="auto"/>
          <w:kern w:val="0"/>
          <w:sz w:val="24"/>
          <w:szCs w:val="24"/>
          <w:highlight w:val="none"/>
        </w:rPr>
        <w:t>将作为签订合同的依据。合同签订后，</w:t>
      </w:r>
      <w:r>
        <w:rPr>
          <w:rFonts w:hint="eastAsia" w:ascii="宋体" w:hAnsi="宋体" w:cs="宋体"/>
          <w:bCs/>
          <w:color w:val="auto"/>
          <w:kern w:val="0"/>
          <w:sz w:val="24"/>
          <w:szCs w:val="24"/>
          <w:highlight w:val="none"/>
          <w:lang w:eastAsia="zh-CN"/>
        </w:rPr>
        <w:t>成交通知书</w:t>
      </w:r>
      <w:r>
        <w:rPr>
          <w:rFonts w:hint="eastAsia" w:ascii="宋体" w:hAnsi="宋体" w:cs="宋体"/>
          <w:bCs/>
          <w:color w:val="auto"/>
          <w:kern w:val="0"/>
          <w:sz w:val="24"/>
          <w:szCs w:val="24"/>
          <w:highlight w:val="none"/>
        </w:rPr>
        <w:t>成为合同的一部分。</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 采购人宣布废标的权利</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.1.2投标人的报价均超过了</w:t>
      </w:r>
      <w:r>
        <w:rPr>
          <w:rFonts w:hint="eastAsia" w:ascii="宋体" w:hAnsi="宋体" w:cs="宋体"/>
          <w:bCs/>
          <w:color w:val="auto"/>
          <w:kern w:val="0"/>
          <w:sz w:val="24"/>
          <w:szCs w:val="24"/>
          <w:highlight w:val="none"/>
          <w:lang w:val="en-US" w:eastAsia="zh-CN"/>
        </w:rPr>
        <w:t>采购预算金额</w:t>
      </w:r>
      <w:r>
        <w:rPr>
          <w:rFonts w:hint="eastAsia" w:ascii="宋体" w:hAnsi="宋体" w:cs="宋体"/>
          <w:bCs/>
          <w:color w:val="auto"/>
          <w:kern w:val="0"/>
          <w:sz w:val="24"/>
          <w:szCs w:val="24"/>
          <w:highlight w:val="none"/>
        </w:rPr>
        <w:t>，采购人不能支付的。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.1.3因重大变故，采购任务取消的。</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80" w:firstLineChars="200"/>
        <w:rPr>
          <w:rFonts w:ascii="宋体" w:hAnsi="宋体" w:cs="宋体"/>
          <w:b/>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pPr>
        <w:keepNext w:val="0"/>
        <w:keepLines w:val="0"/>
        <w:pageBreakBefore w:val="0"/>
        <w:widowControl/>
        <w:kinsoku/>
        <w:wordWrap/>
        <w:overflowPunct/>
        <w:topLinePunct w:val="0"/>
        <w:bidi w:val="0"/>
        <w:snapToGrid w:val="0"/>
        <w:spacing w:line="360" w:lineRule="auto"/>
        <w:ind w:firstLine="540" w:firstLineChars="224"/>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.合同签订</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u w:val="single"/>
        </w:rPr>
      </w:pPr>
      <w:bookmarkStart w:id="49" w:name="_Toc8594"/>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 采购人、中标人自</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发出之日起，在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文件第三章《投标人须知前附表》规定的时间内，根据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文件确定的事项和中标人投标文件签订合同。双方所签订的合同不得对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.3 中标人</w:t>
      </w:r>
      <w:r>
        <w:rPr>
          <w:rFonts w:hint="eastAsia" w:cs="宋体"/>
          <w:color w:val="auto"/>
          <w:kern w:val="0"/>
          <w:sz w:val="24"/>
          <w:szCs w:val="24"/>
          <w:highlight w:val="none"/>
        </w:rPr>
        <w:t>放弃中标、因不可抗力不能履行合同、不按照</w:t>
      </w:r>
      <w:r>
        <w:rPr>
          <w:rFonts w:hint="eastAsia" w:cs="宋体"/>
          <w:color w:val="auto"/>
          <w:kern w:val="0"/>
          <w:sz w:val="24"/>
          <w:szCs w:val="24"/>
          <w:highlight w:val="none"/>
          <w:lang w:val="en-US" w:eastAsia="zh-CN"/>
        </w:rPr>
        <w:t>采购</w:t>
      </w:r>
      <w:r>
        <w:rPr>
          <w:rFonts w:hint="eastAsia" w:cs="宋体"/>
          <w:color w:val="auto"/>
          <w:kern w:val="0"/>
          <w:sz w:val="24"/>
          <w:szCs w:val="24"/>
          <w:highlight w:val="none"/>
        </w:rPr>
        <w:t>文件要求提交履约保证金，或者被查实存在影响中标结果的违法行为等情形，不符合中标条件的，</w:t>
      </w:r>
      <w:r>
        <w:rPr>
          <w:rFonts w:hint="eastAsia" w:ascii="宋体" w:hAnsi="宋体" w:cs="宋体"/>
          <w:color w:val="auto"/>
          <w:kern w:val="0"/>
          <w:sz w:val="24"/>
          <w:szCs w:val="24"/>
          <w:highlight w:val="none"/>
        </w:rPr>
        <w:t>采购人可以</w:t>
      </w:r>
      <w:r>
        <w:rPr>
          <w:rFonts w:hint="eastAsia" w:cs="宋体"/>
          <w:color w:val="auto"/>
          <w:kern w:val="0"/>
          <w:sz w:val="24"/>
          <w:szCs w:val="24"/>
          <w:highlight w:val="none"/>
        </w:rPr>
        <w:t>按照评标委员会提出的中标候选</w:t>
      </w:r>
      <w:r>
        <w:rPr>
          <w:rFonts w:hint="eastAsia" w:ascii="宋体" w:hAnsi="宋体" w:cs="宋体"/>
          <w:color w:val="auto"/>
          <w:kern w:val="0"/>
          <w:sz w:val="24"/>
          <w:szCs w:val="24"/>
          <w:highlight w:val="none"/>
        </w:rPr>
        <w:t>人</w:t>
      </w:r>
      <w:r>
        <w:rPr>
          <w:rFonts w:hint="eastAsia" w:cs="宋体"/>
          <w:color w:val="auto"/>
          <w:kern w:val="0"/>
          <w:sz w:val="24"/>
          <w:szCs w:val="24"/>
          <w:highlight w:val="none"/>
        </w:rPr>
        <w:t>名单排序依次确定其他中标候选</w:t>
      </w:r>
      <w:r>
        <w:rPr>
          <w:rFonts w:hint="eastAsia" w:ascii="宋体" w:hAnsi="宋体" w:cs="宋体"/>
          <w:color w:val="auto"/>
          <w:kern w:val="0"/>
          <w:sz w:val="24"/>
          <w:szCs w:val="24"/>
          <w:highlight w:val="none"/>
        </w:rPr>
        <w:t>人</w:t>
      </w:r>
      <w:r>
        <w:rPr>
          <w:rFonts w:hint="eastAsia" w:cs="宋体"/>
          <w:color w:val="auto"/>
          <w:kern w:val="0"/>
          <w:sz w:val="24"/>
          <w:szCs w:val="24"/>
          <w:highlight w:val="none"/>
        </w:rPr>
        <w:t>为中标</w:t>
      </w:r>
      <w:r>
        <w:rPr>
          <w:rFonts w:hint="eastAsia" w:ascii="宋体" w:hAnsi="宋体" w:cs="宋体"/>
          <w:color w:val="auto"/>
          <w:kern w:val="0"/>
          <w:sz w:val="24"/>
          <w:szCs w:val="24"/>
          <w:highlight w:val="none"/>
        </w:rPr>
        <w:t>人</w:t>
      </w:r>
      <w:r>
        <w:rPr>
          <w:rFonts w:hint="eastAsia" w:cs="宋体"/>
          <w:color w:val="auto"/>
          <w:kern w:val="0"/>
          <w:sz w:val="24"/>
          <w:szCs w:val="24"/>
          <w:highlight w:val="none"/>
        </w:rPr>
        <w:t>，也可以重新招标。</w:t>
      </w:r>
    </w:p>
    <w:bookmarkEnd w:id="49"/>
    <w:p>
      <w:pPr>
        <w:rPr>
          <w:rFonts w:hint="eastAsia" w:ascii="黑体" w:hAnsi="宋体" w:eastAsia="黑体" w:cs="宋体"/>
          <w:b/>
          <w:bCs/>
          <w:color w:val="auto"/>
          <w:kern w:val="0"/>
          <w:sz w:val="32"/>
          <w:szCs w:val="32"/>
          <w:highlight w:val="none"/>
        </w:rPr>
      </w:pPr>
      <w:bookmarkStart w:id="50" w:name="_Toc9022"/>
      <w:bookmarkStart w:id="51" w:name="_Toc4700"/>
      <w:bookmarkStart w:id="52"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50"/>
      <w:bookmarkEnd w:id="51"/>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（一）评标原则</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按照“公平、公正”的原则对待所有投标人</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按照</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）评标办法</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2．评标委员会按照</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.投标文件满足</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）评标程序</w:t>
      </w:r>
    </w:p>
    <w:p>
      <w:pPr>
        <w:keepNext w:val="0"/>
        <w:keepLines w:val="0"/>
        <w:pageBreakBefore w:val="0"/>
        <w:numPr>
          <w:ilvl w:val="0"/>
          <w:numId w:val="3"/>
        </w:numPr>
        <w:kinsoku/>
        <w:overflowPunct/>
        <w:topLinePunct w:val="0"/>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价格标部分 (</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w:t>
            </w:r>
          </w:p>
        </w:tc>
        <w:tc>
          <w:tcPr>
            <w:tcW w:w="8243" w:type="dxa"/>
            <w:gridSpan w:val="2"/>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有效投标报价：投标报价</w:t>
            </w:r>
            <w:r>
              <w:rPr>
                <w:rFonts w:hint="eastAsia" w:ascii="宋体" w:hAnsi="宋体" w:eastAsia="宋体" w:cs="宋体"/>
                <w:b w:val="0"/>
                <w:bCs w:val="0"/>
                <w:color w:val="auto"/>
                <w:sz w:val="24"/>
                <w:szCs w:val="24"/>
                <w:highlight w:val="none"/>
                <w:lang w:val="en-US" w:eastAsia="zh-CN"/>
              </w:rPr>
              <w:t>不高于</w:t>
            </w:r>
            <w:r>
              <w:rPr>
                <w:rFonts w:hint="eastAsia" w:ascii="宋体" w:hAnsi="宋体" w:eastAsia="宋体" w:cs="宋体"/>
                <w:b w:val="0"/>
                <w:bCs w:val="0"/>
                <w:color w:val="auto"/>
                <w:sz w:val="24"/>
                <w:szCs w:val="24"/>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评标基准值的确定：满足</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投标报价得分=（评标基准价/有效投标报价）×</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239" w:type="dxa"/>
            <w:vMerge w:val="restart"/>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技术部分</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lang w:eastAsia="zh-CN"/>
              </w:rPr>
              <w:t>分）</w:t>
            </w:r>
          </w:p>
        </w:tc>
        <w:tc>
          <w:tcPr>
            <w:tcW w:w="2140"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1.产品技术参数（</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投标人对“第二章  采购需求”技术参数、性能及产品功能等的响应，所投内容全部满足磋商文件要求得</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分，一项不满足扣</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如得分为0，则投标无效。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1）供应商需提供参数偏离表，并标注偏离情况。</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lang w:val="en-US" w:eastAsia="zh-CN"/>
              </w:rPr>
            </w:pPr>
          </w:p>
        </w:tc>
        <w:tc>
          <w:tcPr>
            <w:tcW w:w="2140"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2.产品综合评议</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lang w:val="en-US" w:eastAsia="zh-CN"/>
              </w:rPr>
            </w:pPr>
          </w:p>
        </w:tc>
        <w:tc>
          <w:tcPr>
            <w:tcW w:w="2140"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.实施方案（10分）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供应商对项目实施方案的整体规划，包括</w:t>
            </w:r>
            <w:r>
              <w:rPr>
                <w:rFonts w:hint="eastAsia" w:ascii="宋体" w:hAnsi="宋体" w:cs="宋体"/>
                <w:b w:val="0"/>
                <w:bCs w:val="0"/>
                <w:color w:val="auto"/>
                <w:sz w:val="24"/>
                <w:szCs w:val="24"/>
                <w:highlight w:val="none"/>
                <w:lang w:eastAsia="zh-CN"/>
              </w:rPr>
              <w:t>供货</w:t>
            </w:r>
            <w:r>
              <w:rPr>
                <w:rFonts w:hint="eastAsia" w:ascii="宋体" w:hAnsi="宋体" w:eastAsia="宋体" w:cs="宋体"/>
                <w:b w:val="0"/>
                <w:bCs w:val="0"/>
                <w:color w:val="auto"/>
                <w:sz w:val="24"/>
                <w:szCs w:val="24"/>
                <w:highlight w:val="none"/>
              </w:rPr>
              <w:t>方案、</w:t>
            </w:r>
            <w:r>
              <w:rPr>
                <w:rFonts w:hint="eastAsia" w:ascii="宋体" w:hAnsi="宋体" w:cs="宋体"/>
                <w:b w:val="0"/>
                <w:bCs w:val="0"/>
                <w:color w:val="auto"/>
                <w:sz w:val="24"/>
                <w:szCs w:val="24"/>
                <w:highlight w:val="none"/>
                <w:lang w:val="en-US" w:eastAsia="zh-CN"/>
              </w:rPr>
              <w:t>货物密封方式、人员安排计划、</w:t>
            </w:r>
            <w:r>
              <w:rPr>
                <w:rFonts w:hint="eastAsia" w:ascii="宋体" w:hAnsi="宋体" w:cs="宋体"/>
                <w:b w:val="0"/>
                <w:bCs w:val="0"/>
                <w:color w:val="auto"/>
                <w:sz w:val="24"/>
                <w:szCs w:val="24"/>
                <w:highlight w:val="none"/>
                <w:lang w:eastAsia="zh-CN"/>
              </w:rPr>
              <w:t>验收</w:t>
            </w:r>
            <w:r>
              <w:rPr>
                <w:rFonts w:hint="eastAsia" w:ascii="宋体" w:hAnsi="宋体" w:eastAsia="宋体" w:cs="宋体"/>
                <w:b w:val="0"/>
                <w:bCs w:val="0"/>
                <w:color w:val="auto"/>
                <w:sz w:val="24"/>
                <w:szCs w:val="24"/>
                <w:highlight w:val="none"/>
              </w:rPr>
              <w:t>方案、交货期保证措施。</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以上措施详细、合理、可行的7-10分；基本详细、基本合理、基本可行的4-6分；基本详细度、合理性差、可行性差的1-3分；缺项得0分。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Merge w:val="restart"/>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商务</w:t>
            </w:r>
            <w:r>
              <w:rPr>
                <w:rFonts w:hint="eastAsia" w:ascii="宋体" w:hAnsi="宋体" w:eastAsia="宋体" w:cs="宋体"/>
                <w:b w:val="0"/>
                <w:bCs w:val="0"/>
                <w:color w:val="auto"/>
                <w:sz w:val="24"/>
                <w:szCs w:val="24"/>
                <w:highlight w:val="none"/>
              </w:rPr>
              <w:t>部分（</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分）</w:t>
            </w:r>
          </w:p>
        </w:tc>
        <w:tc>
          <w:tcPr>
            <w:tcW w:w="214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eastAsia="zh-CN"/>
              </w:rPr>
              <w:t>优惠承诺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6分</w:t>
            </w:r>
            <w:r>
              <w:rPr>
                <w:rFonts w:hint="eastAsia" w:ascii="宋体" w:hAnsi="宋体" w:eastAsia="宋体" w:cs="宋体"/>
                <w:b w:val="0"/>
                <w:bCs w:val="0"/>
                <w:color w:val="auto"/>
                <w:kern w:val="0"/>
                <w:sz w:val="24"/>
                <w:szCs w:val="24"/>
                <w:highlight w:val="none"/>
                <w:lang w:eastAsia="zh-CN"/>
              </w:rPr>
              <w:t>）</w:t>
            </w:r>
          </w:p>
        </w:tc>
        <w:tc>
          <w:tcPr>
            <w:tcW w:w="6103" w:type="dxa"/>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根据投标人在满足</w:t>
            </w:r>
            <w:r>
              <w:rPr>
                <w:rFonts w:hint="eastAsia" w:ascii="宋体" w:hAnsi="宋体" w:cs="宋体"/>
                <w:b w:val="0"/>
                <w:bCs w:val="0"/>
                <w:color w:val="auto"/>
                <w:kern w:val="0"/>
                <w:sz w:val="24"/>
                <w:szCs w:val="24"/>
                <w:highlight w:val="none"/>
                <w:lang w:val="en-US" w:eastAsia="zh-CN"/>
              </w:rPr>
              <w:t>采购</w:t>
            </w:r>
            <w:r>
              <w:rPr>
                <w:rFonts w:hint="eastAsia" w:ascii="宋体" w:hAnsi="宋体" w:eastAsia="宋体" w:cs="宋体"/>
                <w:b w:val="0"/>
                <w:bCs w:val="0"/>
                <w:color w:val="auto"/>
                <w:kern w:val="0"/>
                <w:sz w:val="24"/>
                <w:szCs w:val="24"/>
                <w:highlight w:val="none"/>
                <w:lang w:val="en-US" w:eastAsia="zh-CN"/>
              </w:rPr>
              <w:t>文件基本要求的基础上提供的实质性优惠承诺。</w:t>
            </w: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优惠承诺多，全面合理、针对性强、实用性强，利于采购人使用，得</w:t>
            </w:r>
            <w:r>
              <w:rPr>
                <w:rFonts w:hint="eastAsia" w:ascii="宋体" w:hAnsi="宋体" w:cs="宋体"/>
                <w:b w:val="0"/>
                <w:bCs w:val="0"/>
                <w:color w:val="auto"/>
                <w:kern w:val="0"/>
                <w:sz w:val="24"/>
                <w:szCs w:val="24"/>
                <w:highlight w:val="none"/>
                <w:lang w:val="en-US" w:eastAsia="zh-CN"/>
              </w:rPr>
              <w:t>5-6</w:t>
            </w:r>
            <w:r>
              <w:rPr>
                <w:rFonts w:hint="eastAsia" w:ascii="宋体" w:hAnsi="宋体" w:eastAsia="宋体" w:cs="宋体"/>
                <w:b w:val="0"/>
                <w:bCs w:val="0"/>
                <w:color w:val="auto"/>
                <w:kern w:val="0"/>
                <w:sz w:val="24"/>
                <w:szCs w:val="24"/>
                <w:highlight w:val="none"/>
                <w:lang w:val="en-US" w:eastAsia="zh-CN"/>
              </w:rPr>
              <w:t>分；优惠承诺基本合理、针对性一般、实用性一般，得3</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分；优惠承诺不合理、针对性差、实用性差，得</w:t>
            </w:r>
            <w:r>
              <w:rPr>
                <w:rFonts w:hint="eastAsia" w:ascii="宋体" w:hAnsi="宋体" w:cs="宋体"/>
                <w:b w:val="0"/>
                <w:bCs w:val="0"/>
                <w:color w:val="auto"/>
                <w:kern w:val="0"/>
                <w:sz w:val="24"/>
                <w:szCs w:val="24"/>
                <w:highlight w:val="none"/>
                <w:lang w:val="en-US" w:eastAsia="zh-CN"/>
              </w:rPr>
              <w:t>1-2</w:t>
            </w:r>
            <w:r>
              <w:rPr>
                <w:rFonts w:hint="eastAsia" w:ascii="宋体" w:hAnsi="宋体" w:eastAsia="宋体" w:cs="宋体"/>
                <w:b w:val="0"/>
                <w:bCs w:val="0"/>
                <w:color w:val="auto"/>
                <w:kern w:val="0"/>
                <w:sz w:val="24"/>
                <w:szCs w:val="24"/>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4"/>
                <w:szCs w:val="24"/>
                <w:highlight w:val="none"/>
              </w:rPr>
            </w:pPr>
          </w:p>
        </w:tc>
        <w:tc>
          <w:tcPr>
            <w:tcW w:w="2140" w:type="dxa"/>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2.类似业绩（4分）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4"/>
                <w:szCs w:val="24"/>
                <w:highlight w:val="none"/>
              </w:rPr>
            </w:pPr>
          </w:p>
        </w:tc>
        <w:tc>
          <w:tcPr>
            <w:tcW w:w="2140" w:type="dxa"/>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3.售后服务体系（15分）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供应商提供合理、完整、可行的售后服务方案，明确售后响应流程、问题反馈、答疑时效、服务方式、服务地点、企业提供本地化服务的措施、售后人员数量、经验、紧急故障解决方式等。</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售后服务承诺内容具体、完善、合理性程度强得11-15分，具体、完善、合理性程度一般得6-10分，具体、完善、合理性程度差得1-5分，缺项得0分。</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52"/>
    <w:p>
      <w:pPr>
        <w:rPr>
          <w:color w:val="auto"/>
          <w:highlight w:val="none"/>
        </w:rPr>
      </w:pPr>
      <w:bookmarkStart w:id="53" w:name="_Toc1947"/>
      <w:bookmarkStart w:id="54" w:name="_Toc1482"/>
      <w:bookmarkStart w:id="55" w:name="_Toc326786897"/>
      <w:bookmarkStart w:id="56" w:name="_Toc256519703"/>
    </w:p>
    <w:p>
      <w:pPr>
        <w:jc w:val="center"/>
        <w:rPr>
          <w:rFonts w:hint="eastAsia" w:ascii="宋体" w:hAnsi="宋体" w:eastAsia="宋体" w:cs="宋体"/>
          <w:b/>
          <w:bCs/>
          <w:color w:val="auto"/>
          <w:kern w:val="44"/>
          <w:sz w:val="28"/>
          <w:szCs w:val="28"/>
          <w:highlight w:val="none"/>
          <w:lang w:val="en-US" w:eastAsia="zh-CN" w:bidi="ar-SA"/>
        </w:rPr>
      </w:pPr>
      <w:bookmarkStart w:id="57" w:name="_Toc28988"/>
      <w:r>
        <w:rPr>
          <w:rFonts w:hint="eastAsia" w:ascii="宋体" w:hAnsi="宋体" w:eastAsia="宋体" w:cs="宋体"/>
          <w:b/>
          <w:bCs/>
          <w:color w:val="auto"/>
          <w:kern w:val="44"/>
          <w:sz w:val="28"/>
          <w:szCs w:val="28"/>
          <w:highlight w:val="none"/>
          <w:lang w:val="en-US" w:eastAsia="zh-CN" w:bidi="ar-SA"/>
        </w:rPr>
        <w:t>第五章  采购合同</w:t>
      </w:r>
      <w:bookmarkEnd w:id="57"/>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以实际合同为准</w:t>
      </w:r>
      <w:r>
        <w:rPr>
          <w:rFonts w:hint="eastAsia" w:ascii="宋体" w:hAnsi="宋体"/>
          <w:sz w:val="21"/>
          <w:szCs w:val="21"/>
          <w:highlight w:val="none"/>
          <w:lang w:eastAsia="zh-CN"/>
        </w:rPr>
        <w:t>）</w:t>
      </w:r>
    </w:p>
    <w:p>
      <w:pPr>
        <w:rPr>
          <w:color w:val="auto"/>
          <w:sz w:val="32"/>
          <w:szCs w:val="32"/>
          <w:highlight w:val="none"/>
        </w:rPr>
      </w:pPr>
    </w:p>
    <w:p>
      <w:pPr>
        <w:rPr>
          <w:color w:val="auto"/>
          <w:highlight w:val="none"/>
        </w:rPr>
      </w:pPr>
      <w:r>
        <w:rPr>
          <w:color w:val="auto"/>
          <w:highlight w:val="none"/>
        </w:rPr>
        <w:br w:type="page"/>
      </w:r>
    </w:p>
    <w:p>
      <w:pPr>
        <w:pStyle w:val="4"/>
        <w:rPr>
          <w:highlight w:val="none"/>
        </w:rPr>
      </w:pPr>
    </w:p>
    <w:p>
      <w:pPr>
        <w:jc w:val="center"/>
        <w:rPr>
          <w:rFonts w:hint="eastAsia" w:ascii="宋体" w:hAnsi="宋体" w:eastAsia="宋体" w:cs="宋体"/>
          <w:b/>
          <w:bCs/>
          <w:color w:val="auto"/>
          <w:kern w:val="44"/>
          <w:sz w:val="32"/>
          <w:szCs w:val="32"/>
          <w:highlight w:val="none"/>
          <w:lang w:val="en-US" w:eastAsia="zh-CN" w:bidi="ar-SA"/>
        </w:rPr>
      </w:pPr>
      <w:bookmarkStart w:id="58" w:name="_Toc2638"/>
      <w:r>
        <w:rPr>
          <w:rFonts w:hint="eastAsia" w:ascii="宋体" w:hAnsi="宋体" w:eastAsia="宋体" w:cs="宋体"/>
          <w:b/>
          <w:bCs/>
          <w:color w:val="auto"/>
          <w:kern w:val="44"/>
          <w:sz w:val="32"/>
          <w:szCs w:val="32"/>
          <w:highlight w:val="none"/>
          <w:lang w:val="en-US" w:eastAsia="zh-CN" w:bidi="ar-SA"/>
        </w:rPr>
        <w:t>第六章  投标文件格式</w:t>
      </w:r>
      <w:bookmarkEnd w:id="53"/>
      <w:bookmarkEnd w:id="54"/>
      <w:bookmarkEnd w:id="58"/>
    </w:p>
    <w:p>
      <w:pPr>
        <w:spacing w:line="440" w:lineRule="exact"/>
        <w:rPr>
          <w:color w:val="auto"/>
          <w:sz w:val="24"/>
          <w:highlight w:val="none"/>
        </w:rPr>
      </w:pPr>
    </w:p>
    <w:p>
      <w:pPr>
        <w:jc w:val="center"/>
        <w:rPr>
          <w:b/>
          <w:bCs/>
          <w:color w:val="auto"/>
          <w:sz w:val="32"/>
          <w:szCs w:val="32"/>
          <w:highlight w:val="none"/>
        </w:rPr>
      </w:pPr>
      <w:bookmarkStart w:id="59" w:name="_Toc13604"/>
      <w:r>
        <w:rPr>
          <w:rFonts w:hint="eastAsia"/>
          <w:b/>
          <w:bCs/>
          <w:color w:val="auto"/>
          <w:sz w:val="32"/>
          <w:szCs w:val="32"/>
          <w:highlight w:val="none"/>
        </w:rPr>
        <w:t>目    录</w:t>
      </w:r>
      <w:bookmarkEnd w:id="59"/>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60" w:name="_Toc11308"/>
      <w:r>
        <w:rPr>
          <w:rFonts w:hint="eastAsia"/>
          <w:color w:val="auto"/>
          <w:sz w:val="24"/>
          <w:highlight w:val="none"/>
        </w:rPr>
        <w:t>附件1投标文件封面（格式）</w:t>
      </w:r>
      <w:bookmarkEnd w:id="60"/>
    </w:p>
    <w:p>
      <w:pPr>
        <w:snapToGrid w:val="0"/>
        <w:spacing w:line="360" w:lineRule="auto"/>
        <w:ind w:firstLine="480" w:firstLineChars="200"/>
        <w:rPr>
          <w:color w:val="auto"/>
          <w:sz w:val="24"/>
          <w:highlight w:val="none"/>
        </w:rPr>
      </w:pPr>
      <w:bookmarkStart w:id="61" w:name="_Toc25345"/>
      <w:r>
        <w:rPr>
          <w:rFonts w:hint="eastAsia"/>
          <w:color w:val="auto"/>
          <w:sz w:val="24"/>
          <w:highlight w:val="none"/>
        </w:rPr>
        <w:t>附件2 投标书（格式）</w:t>
      </w:r>
      <w:bookmarkEnd w:id="61"/>
    </w:p>
    <w:p>
      <w:pPr>
        <w:snapToGrid w:val="0"/>
        <w:spacing w:line="360" w:lineRule="auto"/>
        <w:ind w:firstLine="480" w:firstLineChars="200"/>
        <w:rPr>
          <w:color w:val="auto"/>
          <w:sz w:val="24"/>
          <w:highlight w:val="none"/>
        </w:rPr>
      </w:pPr>
      <w:bookmarkStart w:id="62" w:name="_Toc10217"/>
      <w:r>
        <w:rPr>
          <w:rFonts w:hint="eastAsia"/>
          <w:color w:val="auto"/>
          <w:sz w:val="24"/>
          <w:highlight w:val="none"/>
        </w:rPr>
        <w:t>附件3 开标一览表（格式）</w:t>
      </w:r>
      <w:bookmarkEnd w:id="62"/>
    </w:p>
    <w:p>
      <w:pPr>
        <w:snapToGrid w:val="0"/>
        <w:spacing w:line="360" w:lineRule="auto"/>
        <w:ind w:firstLine="480" w:firstLineChars="200"/>
        <w:rPr>
          <w:color w:val="auto"/>
          <w:sz w:val="24"/>
          <w:highlight w:val="none"/>
        </w:rPr>
      </w:pPr>
      <w:bookmarkStart w:id="63" w:name="_Toc9579"/>
      <w:r>
        <w:rPr>
          <w:rFonts w:hint="eastAsia"/>
          <w:color w:val="auto"/>
          <w:sz w:val="24"/>
          <w:highlight w:val="none"/>
        </w:rPr>
        <w:t>附件4 报价明细表（格式）</w:t>
      </w:r>
      <w:bookmarkEnd w:id="63"/>
    </w:p>
    <w:p>
      <w:pPr>
        <w:snapToGrid w:val="0"/>
        <w:spacing w:line="360" w:lineRule="auto"/>
        <w:ind w:firstLine="480" w:firstLineChars="200"/>
        <w:rPr>
          <w:rFonts w:hint="default" w:eastAsia="宋体"/>
          <w:color w:val="auto"/>
          <w:sz w:val="24"/>
          <w:highlight w:val="none"/>
          <w:lang w:val="en-US" w:eastAsia="zh-CN"/>
        </w:rPr>
      </w:pPr>
      <w:bookmarkStart w:id="64" w:name="_Toc28392"/>
      <w:r>
        <w:rPr>
          <w:rFonts w:hint="eastAsia"/>
          <w:color w:val="auto"/>
          <w:sz w:val="24"/>
          <w:highlight w:val="none"/>
        </w:rPr>
        <w:t>附件5</w:t>
      </w:r>
      <w:bookmarkEnd w:id="64"/>
      <w:r>
        <w:rPr>
          <w:rFonts w:hint="eastAsia"/>
          <w:color w:val="auto"/>
          <w:sz w:val="24"/>
          <w:highlight w:val="none"/>
        </w:rPr>
        <w:t>技术响应表</w:t>
      </w:r>
      <w:r>
        <w:rPr>
          <w:rFonts w:hint="eastAsia"/>
          <w:color w:val="auto"/>
          <w:sz w:val="24"/>
          <w:highlight w:val="none"/>
          <w:lang w:eastAsia="zh-CN"/>
        </w:rPr>
        <w:t>（</w:t>
      </w:r>
      <w:r>
        <w:rPr>
          <w:rFonts w:hint="eastAsia"/>
          <w:color w:val="auto"/>
          <w:sz w:val="24"/>
          <w:highlight w:val="none"/>
          <w:lang w:val="en-US" w:eastAsia="zh-CN"/>
        </w:rPr>
        <w:t>格式）</w:t>
      </w:r>
    </w:p>
    <w:p>
      <w:pPr>
        <w:snapToGrid w:val="0"/>
        <w:spacing w:line="360" w:lineRule="auto"/>
        <w:ind w:firstLine="480" w:firstLineChars="200"/>
        <w:rPr>
          <w:color w:val="auto"/>
          <w:sz w:val="24"/>
          <w:highlight w:val="none"/>
        </w:rPr>
      </w:pPr>
      <w:bookmarkStart w:id="65" w:name="_Toc6234"/>
      <w:r>
        <w:rPr>
          <w:rFonts w:hint="eastAsia"/>
          <w:color w:val="auto"/>
          <w:sz w:val="24"/>
          <w:highlight w:val="none"/>
        </w:rPr>
        <w:t xml:space="preserve">附件6 </w:t>
      </w:r>
      <w:bookmarkEnd w:id="65"/>
      <w:r>
        <w:rPr>
          <w:rFonts w:hint="eastAsia"/>
          <w:color w:val="auto"/>
          <w:sz w:val="24"/>
          <w:highlight w:val="none"/>
        </w:rPr>
        <w:t>商务响应</w:t>
      </w:r>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66"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6"/>
    </w:p>
    <w:p>
      <w:pPr>
        <w:snapToGrid w:val="0"/>
        <w:spacing w:line="360" w:lineRule="auto"/>
        <w:ind w:firstLine="480" w:firstLineChars="200"/>
        <w:rPr>
          <w:color w:val="auto"/>
          <w:sz w:val="24"/>
          <w:highlight w:val="none"/>
        </w:rPr>
      </w:pPr>
      <w:bookmarkStart w:id="67"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7"/>
    </w:p>
    <w:p>
      <w:pPr>
        <w:snapToGrid w:val="0"/>
        <w:spacing w:line="360" w:lineRule="auto"/>
        <w:ind w:firstLine="480" w:firstLineChars="200"/>
        <w:rPr>
          <w:color w:val="auto"/>
          <w:sz w:val="24"/>
          <w:highlight w:val="none"/>
        </w:rPr>
      </w:pPr>
      <w:bookmarkStart w:id="68" w:name="_Toc31857"/>
      <w:r>
        <w:rPr>
          <w:rFonts w:hint="eastAsia"/>
          <w:color w:val="auto"/>
          <w:sz w:val="24"/>
          <w:highlight w:val="none"/>
        </w:rPr>
        <w:t>附件9 证明文件</w:t>
      </w:r>
      <w:bookmarkEnd w:id="68"/>
    </w:p>
    <w:p>
      <w:pPr>
        <w:snapToGrid w:val="0"/>
        <w:spacing w:line="360" w:lineRule="auto"/>
        <w:ind w:firstLine="480" w:firstLineChars="200"/>
        <w:rPr>
          <w:rFonts w:hint="eastAsia"/>
          <w:color w:val="auto"/>
          <w:sz w:val="24"/>
          <w:highlight w:val="none"/>
        </w:rPr>
      </w:pPr>
      <w:bookmarkStart w:id="69" w:name="_Toc23116"/>
      <w:r>
        <w:rPr>
          <w:rFonts w:hint="eastAsia"/>
          <w:color w:val="auto"/>
          <w:sz w:val="24"/>
          <w:highlight w:val="none"/>
        </w:rPr>
        <w:t>附件10 供应商承诺书（格式）</w:t>
      </w:r>
      <w:bookmarkEnd w:id="69"/>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ascii="Times New Roman" w:hAnsi="Times New Roman" w:eastAsia="宋体" w:cs="Times New Roman"/>
          <w:color w:val="auto"/>
          <w:sz w:val="24"/>
          <w:highlight w:val="none"/>
          <w:lang w:val="en-US" w:eastAsia="zh-CN"/>
        </w:rPr>
        <w:t xml:space="preserve"> 供应商信用承诺函（格式）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70" w:name="_Toc31798"/>
      <w:bookmarkStart w:id="71" w:name="_Toc24743"/>
      <w:r>
        <w:rPr>
          <w:rFonts w:hint="eastAsia"/>
          <w:color w:val="auto"/>
          <w:highlight w:val="none"/>
        </w:rPr>
        <w:t>附件1               投标文件封面（格式）</w:t>
      </w:r>
      <w:bookmarkEnd w:id="70"/>
      <w:bookmarkEnd w:id="71"/>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color w:val="auto"/>
          <w:highlight w:val="none"/>
        </w:rPr>
      </w:pPr>
      <w:r>
        <w:rPr>
          <w:rFonts w:hint="eastAsia" w:ascii="宋体" w:hAnsi="宋体" w:cs="宋体"/>
          <w:b/>
          <w:color w:val="auto"/>
          <w:kern w:val="0"/>
          <w:sz w:val="24"/>
          <w:highlight w:val="none"/>
        </w:rPr>
        <w:br w:type="page"/>
      </w:r>
    </w:p>
    <w:p>
      <w:pPr>
        <w:pStyle w:val="5"/>
        <w:rPr>
          <w:color w:val="auto"/>
          <w:highlight w:val="none"/>
        </w:rPr>
      </w:pPr>
      <w:bookmarkStart w:id="72" w:name="_Toc14560"/>
      <w:bookmarkStart w:id="73" w:name="_Toc8818"/>
      <w:r>
        <w:rPr>
          <w:rFonts w:hint="eastAsia"/>
          <w:color w:val="auto"/>
          <w:highlight w:val="none"/>
        </w:rPr>
        <w:t>附件2               投  标  书（格式）</w:t>
      </w:r>
      <w:bookmarkEnd w:id="72"/>
      <w:bookmarkEnd w:id="73"/>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w:t>
      </w:r>
      <w:r>
        <w:rPr>
          <w:rFonts w:hint="eastAsia" w:ascii="宋体" w:hAnsi="宋体" w:cs="宋体"/>
          <w:color w:val="auto"/>
          <w:kern w:val="0"/>
          <w:szCs w:val="21"/>
          <w:highlight w:val="none"/>
          <w:lang w:eastAsia="zh-CN"/>
        </w:rPr>
        <w:t>部分</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之日起</w:t>
      </w:r>
      <w:r>
        <w:rPr>
          <w:rFonts w:hint="eastAsia" w:ascii="宋体" w:hAnsi="宋体" w:cs="宋体"/>
          <w:color w:val="auto"/>
          <w:kern w:val="0"/>
          <w:szCs w:val="21"/>
          <w:highlight w:val="none"/>
          <w:u w:val="single"/>
          <w:lang w:val="en-US" w:eastAsia="zh-CN"/>
        </w:rPr>
        <w:t>30</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7838"/>
      <w:r>
        <w:rPr>
          <w:rFonts w:hint="eastAsia" w:ascii="宋体" w:hAnsi="宋体" w:eastAsia="宋体" w:cs="宋体"/>
          <w:color w:val="auto"/>
          <w:highlight w:val="none"/>
        </w:rPr>
        <w:t>附件3               开标一览表</w:t>
      </w:r>
      <w:bookmarkEnd w:id="74"/>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lang w:eastAsia="zh-CN"/>
              </w:rPr>
              <w:t>（综合单价）</w:t>
            </w:r>
          </w:p>
        </w:tc>
        <w:tc>
          <w:tcPr>
            <w:tcW w:w="7708" w:type="dxa"/>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服务期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75" w:name="_Toc20877"/>
      <w:bookmarkStart w:id="76" w:name="_Toc11620"/>
      <w:r>
        <w:rPr>
          <w:rFonts w:hint="eastAsia" w:ascii="宋体" w:hAnsi="宋体"/>
          <w:color w:val="auto"/>
          <w:szCs w:val="21"/>
          <w:highlight w:val="none"/>
        </w:rPr>
        <w:t>投标人（全称并加盖公章）：</w:t>
      </w:r>
      <w:bookmarkEnd w:id="75"/>
      <w:bookmarkEnd w:id="76"/>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7" w:name="_Toc12222"/>
      <w:bookmarkStart w:id="78" w:name="_Toc625"/>
      <w:r>
        <w:rPr>
          <w:rFonts w:hint="eastAsia" w:ascii="宋体" w:hAnsi="宋体"/>
          <w:color w:val="auto"/>
          <w:szCs w:val="21"/>
          <w:highlight w:val="none"/>
        </w:rPr>
        <w:t>法定代表人或其委托代理人（签字）：</w:t>
      </w:r>
      <w:bookmarkEnd w:id="77"/>
      <w:bookmarkEnd w:id="78"/>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9" w:name="_Toc1330"/>
      <w:bookmarkStart w:id="80" w:name="_Toc9950"/>
      <w:r>
        <w:rPr>
          <w:rFonts w:hint="eastAsia" w:ascii="宋体" w:hAnsi="宋体"/>
          <w:color w:val="auto"/>
          <w:szCs w:val="21"/>
          <w:highlight w:val="none"/>
        </w:rPr>
        <w:t>年  月  日</w:t>
      </w:r>
      <w:bookmarkEnd w:id="79"/>
      <w:bookmarkEnd w:id="80"/>
    </w:p>
    <w:p>
      <w:pPr>
        <w:rPr>
          <w:color w:val="auto"/>
          <w:highlight w:val="none"/>
        </w:rPr>
      </w:pPr>
      <w:r>
        <w:rPr>
          <w:color w:val="auto"/>
          <w:highlight w:val="none"/>
        </w:rPr>
        <w:br w:type="page"/>
      </w:r>
    </w:p>
    <w:bookmarkEnd w:id="55"/>
    <w:bookmarkEnd w:id="56"/>
    <w:p>
      <w:pPr>
        <w:pStyle w:val="5"/>
        <w:spacing w:before="20" w:after="20"/>
        <w:rPr>
          <w:rFonts w:hint="eastAsia" w:ascii="宋体" w:hAnsi="宋体" w:eastAsia="宋体" w:cs="宋体"/>
          <w:color w:val="auto"/>
          <w:highlight w:val="none"/>
        </w:rPr>
      </w:pPr>
      <w:bookmarkStart w:id="81" w:name="_Toc24984"/>
      <w:bookmarkStart w:id="82" w:name="_Toc22004"/>
      <w:r>
        <w:rPr>
          <w:rFonts w:hint="eastAsia" w:ascii="宋体" w:hAnsi="宋体" w:eastAsia="宋体" w:cs="宋体"/>
          <w:color w:val="auto"/>
          <w:highlight w:val="none"/>
        </w:rPr>
        <w:t>附件4               报价明细表</w:t>
      </w:r>
      <w:bookmarkEnd w:id="81"/>
      <w:bookmarkEnd w:id="82"/>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等离子体刀头</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val="en-US" w:eastAsia="zh-CN"/>
              </w:rPr>
              <w:t>把</w:t>
            </w: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w:t>
            </w:r>
            <w:r>
              <w:rPr>
                <w:rFonts w:hint="eastAsia" w:ascii="宋体" w:hAnsi="宋体" w:cs="宋体"/>
                <w:color w:val="auto"/>
                <w:spacing w:val="20"/>
                <w:kern w:val="0"/>
                <w:sz w:val="24"/>
                <w:highlight w:val="none"/>
                <w:lang w:eastAsia="zh-CN"/>
              </w:rPr>
              <w:t>报</w:t>
            </w:r>
            <w:r>
              <w:rPr>
                <w:rFonts w:hint="eastAsia" w:ascii="宋体" w:hAnsi="宋体" w:cs="宋体"/>
                <w:color w:val="auto"/>
                <w:spacing w:val="20"/>
                <w:kern w:val="0"/>
                <w:sz w:val="24"/>
                <w:highlight w:val="none"/>
              </w:rPr>
              <w:t>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83" w:name="_Toc226"/>
      <w:bookmarkStart w:id="84" w:name="_Toc15804"/>
      <w:r>
        <w:rPr>
          <w:rFonts w:hint="eastAsia" w:ascii="宋体" w:hAnsi="宋体" w:eastAsia="宋体" w:cs="宋体"/>
          <w:color w:val="auto"/>
          <w:highlight w:val="none"/>
        </w:rPr>
        <w:t>附件5               技术响应表（格式）</w:t>
      </w:r>
      <w:bookmarkEnd w:id="83"/>
      <w:bookmarkEnd w:id="84"/>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85" w:name="_Toc29960"/>
      <w:bookmarkStart w:id="86" w:name="_Toc20420"/>
      <w:r>
        <w:rPr>
          <w:rFonts w:hint="eastAsia" w:ascii="Arial" w:hAnsi="Arial" w:eastAsia="新宋体"/>
          <w:b/>
          <w:color w:val="auto"/>
          <w:sz w:val="28"/>
          <w:highlight w:val="none"/>
        </w:rPr>
        <w:t xml:space="preserve">附件6              </w:t>
      </w:r>
      <w:bookmarkEnd w:id="85"/>
      <w:bookmarkEnd w:id="86"/>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4"/>
        <w:rPr>
          <w:highlight w:val="none"/>
        </w:rPr>
      </w:pPr>
    </w:p>
    <w:p>
      <w:pPr>
        <w:widowControl/>
        <w:wordWrap w:val="0"/>
        <w:spacing w:line="460" w:lineRule="exact"/>
        <w:jc w:val="left"/>
        <w:outlineLvl w:val="0"/>
        <w:rPr>
          <w:rFonts w:ascii="Arial" w:hAnsi="Arial" w:eastAsia="新宋体"/>
          <w:b/>
          <w:color w:val="auto"/>
          <w:sz w:val="28"/>
          <w:highlight w:val="none"/>
        </w:rPr>
      </w:pPr>
      <w:bookmarkStart w:id="87" w:name="_Toc28621"/>
      <w:bookmarkStart w:id="88" w:name="_Toc31526"/>
      <w:r>
        <w:rPr>
          <w:rFonts w:hint="eastAsia" w:ascii="Arial" w:hAnsi="Arial" w:eastAsia="新宋体"/>
          <w:b/>
          <w:color w:val="auto"/>
          <w:sz w:val="28"/>
          <w:highlight w:val="none"/>
        </w:rPr>
        <w:t>附件7               法定代表人身份证明（格式）</w:t>
      </w:r>
      <w:bookmarkEnd w:id="87"/>
      <w:bookmarkEnd w:id="88"/>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9" w:name="_Toc13976"/>
      <w:bookmarkStart w:id="90" w:name="_Toc30519"/>
      <w:r>
        <w:rPr>
          <w:rFonts w:hint="eastAsia" w:ascii="Arial" w:hAnsi="Arial" w:eastAsia="新宋体"/>
          <w:b/>
          <w:color w:val="auto"/>
          <w:sz w:val="28"/>
          <w:highlight w:val="none"/>
        </w:rPr>
        <w:t>附件8               法定代表人授权书（格式）</w:t>
      </w:r>
      <w:bookmarkEnd w:id="89"/>
      <w:bookmarkEnd w:id="90"/>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91" w:name="_Toc18105"/>
      <w:bookmarkStart w:id="92" w:name="_Toc24693"/>
      <w:r>
        <w:rPr>
          <w:rFonts w:hint="eastAsia" w:ascii="Arial" w:hAnsi="Arial" w:eastAsia="新宋体"/>
          <w:b/>
          <w:color w:val="auto"/>
          <w:sz w:val="28"/>
          <w:highlight w:val="none"/>
        </w:rPr>
        <w:t>附件9               证明文件</w:t>
      </w:r>
      <w:bookmarkEnd w:id="91"/>
      <w:bookmarkEnd w:id="92"/>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93"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94" w:name="_Toc13726"/>
      <w:bookmarkStart w:id="95" w:name="_Toc12888"/>
      <w:r>
        <w:rPr>
          <w:rFonts w:hint="eastAsia" w:ascii="宋体" w:hAnsi="宋体" w:cs="Lucida Sans Unicode"/>
          <w:b/>
          <w:color w:val="auto"/>
          <w:kern w:val="0"/>
          <w:sz w:val="28"/>
          <w:szCs w:val="28"/>
          <w:highlight w:val="none"/>
        </w:rPr>
        <w:t xml:space="preserve">附件10        </w:t>
      </w:r>
      <w:bookmarkEnd w:id="93"/>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94"/>
      <w:bookmarkEnd w:id="95"/>
    </w:p>
    <w:p>
      <w:pPr>
        <w:bidi w:val="0"/>
        <w:rPr>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公司名称</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highlight w:val="none"/>
        </w:rPr>
      </w:pPr>
      <w:r>
        <w:rPr>
          <w:rFonts w:hint="eastAsia" w:ascii="宋体" w:hAnsi="宋体" w:eastAsia="宋体" w:cs="宋体"/>
          <w:sz w:val="24"/>
          <w:szCs w:val="24"/>
          <w:highlight w:val="none"/>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highlight w:val="none"/>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highlight w:val="none"/>
        </w:rPr>
      </w:pPr>
      <w:r>
        <w:rPr>
          <w:rFonts w:hint="eastAsia" w:ascii="宋体" w:hAnsi="宋体" w:eastAsia="宋体" w:cs="宋体"/>
          <w:color w:val="auto"/>
          <w:sz w:val="24"/>
          <w:szCs w:val="24"/>
          <w:highlight w:val="none"/>
          <w:lang w:val="en-US" w:eastAsia="zh-CN"/>
        </w:rPr>
        <w:t>（四）有依法缴纳税收和社会保障资金的良好</w:t>
      </w:r>
      <w:r>
        <w:rPr>
          <w:rFonts w:hint="eastAsia" w:ascii="仿宋" w:hAnsi="仿宋" w:eastAsia="仿宋" w:cs="仿宋"/>
          <w:sz w:val="32"/>
          <w:szCs w:val="32"/>
          <w:highlight w:val="none"/>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1"/>
        <w:rPr>
          <w:highlight w:val="none"/>
        </w:rPr>
      </w:pPr>
    </w:p>
    <w:p>
      <w:pPr>
        <w:widowControl/>
        <w:snapToGrid w:val="0"/>
        <w:spacing w:line="360" w:lineRule="auto"/>
        <w:jc w:val="center"/>
        <w:outlineLvl w:val="0"/>
        <w:rPr>
          <w:rFonts w:ascii="宋体" w:hAnsi="宋体" w:cs="Lucida Sans Unicode"/>
          <w:b/>
          <w:color w:val="auto"/>
          <w:kern w:val="0"/>
          <w:sz w:val="24"/>
          <w:highlight w:val="none"/>
        </w:rPr>
      </w:pPr>
      <w:bookmarkStart w:id="96" w:name="_Toc23394"/>
      <w:bookmarkStart w:id="97" w:name="_Toc25094"/>
      <w:r>
        <w:rPr>
          <w:rFonts w:hint="eastAsia" w:ascii="宋体" w:hAnsi="宋体" w:cs="Lucida Sans Unicode"/>
          <w:b/>
          <w:color w:val="auto"/>
          <w:kern w:val="0"/>
          <w:sz w:val="24"/>
          <w:highlight w:val="none"/>
        </w:rPr>
        <w:t>投标人认为有必要的其他资料</w:t>
      </w:r>
      <w:bookmarkEnd w:id="96"/>
      <w:bookmarkEnd w:id="97"/>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lang w:val="en-US" w:eastAsia="zh-CN"/>
      </w:rPr>
      <w:t>驻马店市中心医院等离子体刀头采购项目采购文件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驻马店市中心医院等离子体刀头采购项目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000000"/>
    <w:rsid w:val="00503BD3"/>
    <w:rsid w:val="015229BB"/>
    <w:rsid w:val="01DF5C17"/>
    <w:rsid w:val="02D25290"/>
    <w:rsid w:val="04ED0EE6"/>
    <w:rsid w:val="08DB1B10"/>
    <w:rsid w:val="0D3A1F53"/>
    <w:rsid w:val="0F083E44"/>
    <w:rsid w:val="100D65BF"/>
    <w:rsid w:val="105E4BB0"/>
    <w:rsid w:val="13F53FEC"/>
    <w:rsid w:val="146A4213"/>
    <w:rsid w:val="1A856091"/>
    <w:rsid w:val="1C597898"/>
    <w:rsid w:val="1CDF0421"/>
    <w:rsid w:val="23B62749"/>
    <w:rsid w:val="23F57CC4"/>
    <w:rsid w:val="293F3EBF"/>
    <w:rsid w:val="2CE81EF4"/>
    <w:rsid w:val="2F155F25"/>
    <w:rsid w:val="307713DF"/>
    <w:rsid w:val="31986C26"/>
    <w:rsid w:val="338508B2"/>
    <w:rsid w:val="350D171A"/>
    <w:rsid w:val="35150A2C"/>
    <w:rsid w:val="35A25E07"/>
    <w:rsid w:val="36B907B2"/>
    <w:rsid w:val="36C401A7"/>
    <w:rsid w:val="37147A2D"/>
    <w:rsid w:val="37474C59"/>
    <w:rsid w:val="37B207B5"/>
    <w:rsid w:val="38D93693"/>
    <w:rsid w:val="39AE76A2"/>
    <w:rsid w:val="3BDF1D94"/>
    <w:rsid w:val="3D226758"/>
    <w:rsid w:val="3DAA28E7"/>
    <w:rsid w:val="40047331"/>
    <w:rsid w:val="411F75E2"/>
    <w:rsid w:val="46B46609"/>
    <w:rsid w:val="47EC7D13"/>
    <w:rsid w:val="48D10692"/>
    <w:rsid w:val="49AB6839"/>
    <w:rsid w:val="4C185248"/>
    <w:rsid w:val="4EA03605"/>
    <w:rsid w:val="51F92A4C"/>
    <w:rsid w:val="5A295181"/>
    <w:rsid w:val="5DD67A13"/>
    <w:rsid w:val="5E742597"/>
    <w:rsid w:val="5F0D70EB"/>
    <w:rsid w:val="5F784D70"/>
    <w:rsid w:val="62097280"/>
    <w:rsid w:val="62A212A2"/>
    <w:rsid w:val="64164898"/>
    <w:rsid w:val="65447343"/>
    <w:rsid w:val="66296A72"/>
    <w:rsid w:val="67193BBF"/>
    <w:rsid w:val="67C5345F"/>
    <w:rsid w:val="67F04198"/>
    <w:rsid w:val="6C8B2DA7"/>
    <w:rsid w:val="6F6C5F58"/>
    <w:rsid w:val="707912DA"/>
    <w:rsid w:val="71237804"/>
    <w:rsid w:val="735621CE"/>
    <w:rsid w:val="74726C59"/>
    <w:rsid w:val="76045978"/>
    <w:rsid w:val="76076E1C"/>
    <w:rsid w:val="77520D58"/>
    <w:rsid w:val="7A106FE1"/>
    <w:rsid w:val="7B4A3BA0"/>
    <w:rsid w:val="7C764ED8"/>
    <w:rsid w:val="7D234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styleId="4">
    <w:name w:val="Body Text First Indent"/>
    <w:basedOn w:val="3"/>
    <w:next w:val="1"/>
    <w:autoRedefine/>
    <w:qFormat/>
    <w:uiPriority w:val="0"/>
    <w:pPr>
      <w:spacing w:line="360" w:lineRule="auto"/>
      <w:ind w:firstLine="420" w:firstLineChars="100"/>
    </w:pPr>
    <w:rPr>
      <w:szCs w:val="21"/>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next w:val="12"/>
    <w:autoRedefine/>
    <w:qFormat/>
    <w:uiPriority w:val="0"/>
    <w:pPr>
      <w:widowControl/>
      <w:spacing w:beforeAutospacing="1" w:afterAutospacing="1"/>
      <w:jc w:val="left"/>
    </w:pPr>
    <w:rPr>
      <w:rFonts w:ascii="宋体" w:hAnsi="宋体" w:cs="宋体"/>
      <w:kern w:val="0"/>
      <w:sz w:val="24"/>
    </w:rPr>
  </w:style>
  <w:style w:type="paragraph" w:styleId="12">
    <w:name w:val="envelope return"/>
    <w:basedOn w:val="1"/>
    <w:autoRedefine/>
    <w:unhideWhenUsed/>
    <w:qFormat/>
    <w:uiPriority w:val="99"/>
    <w:pPr>
      <w:snapToGrid w:val="0"/>
    </w:pPr>
    <w:rPr>
      <w:rFonts w:ascii="Arial" w:hAnsi="Arial"/>
    </w:rPr>
  </w:style>
  <w:style w:type="paragraph" w:styleId="13">
    <w:name w:val="Document Map"/>
    <w:basedOn w:val="1"/>
    <w:link w:val="76"/>
    <w:autoRedefine/>
    <w:qFormat/>
    <w:uiPriority w:val="0"/>
    <w:rPr>
      <w:rFonts w:ascii="宋体" w:hAnsi="Calibri"/>
      <w:sz w:val="18"/>
      <w:szCs w:val="18"/>
    </w:rPr>
  </w:style>
  <w:style w:type="paragraph" w:styleId="14">
    <w:name w:val="toa heading"/>
    <w:basedOn w:val="1"/>
    <w:next w:val="1"/>
    <w:autoRedefine/>
    <w:qFormat/>
    <w:uiPriority w:val="0"/>
    <w:pPr>
      <w:spacing w:before="120"/>
    </w:pPr>
    <w:rPr>
      <w:rFonts w:ascii="Arial" w:hAnsi="Arial" w:cs="Arial"/>
      <w:sz w:val="24"/>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4"/>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9">
    <w:name w:val="Default"/>
    <w:next w:val="5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0"/>
    <w:autoRedefine/>
    <w:qFormat/>
    <w:uiPriority w:val="0"/>
    <w:pPr>
      <w:jc w:val="center"/>
    </w:pPr>
    <w:rPr>
      <w:rFonts w:ascii="Arial" w:hAnsi="Arial"/>
      <w:b/>
      <w:sz w:val="28"/>
    </w:rPr>
  </w:style>
  <w:style w:type="paragraph" w:customStyle="1" w:styleId="5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4"/>
    <w:link w:val="3"/>
    <w:autoRedefine/>
    <w:qFormat/>
    <w:uiPriority w:val="0"/>
  </w:style>
  <w:style w:type="character" w:customStyle="1" w:styleId="75">
    <w:name w:val="apple-converted-space"/>
    <w:basedOn w:val="34"/>
    <w:autoRedefine/>
    <w:qFormat/>
    <w:uiPriority w:val="0"/>
  </w:style>
  <w:style w:type="character" w:customStyle="1" w:styleId="76">
    <w:name w:val="文档结构图 Char"/>
    <w:link w:val="13"/>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basedOn w:val="34"/>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customStyle="1" w:styleId="88">
    <w:name w:val="List Paragraph"/>
    <w:basedOn w:val="1"/>
    <w:autoRedefine/>
    <w:qFormat/>
    <w:uiPriority w:val="34"/>
    <w:pPr>
      <w:ind w:firstLine="420" w:firstLineChars="200"/>
    </w:pPr>
  </w:style>
  <w:style w:type="character" w:customStyle="1" w:styleId="89">
    <w:name w:val="hover18"/>
    <w:basedOn w:val="34"/>
    <w:autoRedefine/>
    <w:qFormat/>
    <w:uiPriority w:val="0"/>
  </w:style>
  <w:style w:type="character" w:customStyle="1" w:styleId="90">
    <w:name w:val="font41"/>
    <w:basedOn w:val="34"/>
    <w:autoRedefine/>
    <w:qFormat/>
    <w:uiPriority w:val="0"/>
    <w:rPr>
      <w:rFonts w:hint="eastAsia" w:ascii="宋体" w:hAnsi="宋体" w:eastAsia="宋体" w:cs="宋体"/>
      <w:color w:val="000000"/>
      <w:sz w:val="21"/>
      <w:szCs w:val="21"/>
      <w:u w:val="none"/>
    </w:rPr>
  </w:style>
  <w:style w:type="character" w:customStyle="1" w:styleId="91">
    <w:name w:val="font51"/>
    <w:basedOn w:val="34"/>
    <w:autoRedefine/>
    <w:qFormat/>
    <w:uiPriority w:val="0"/>
    <w:rPr>
      <w:rFonts w:hint="eastAsia" w:ascii="宋体" w:hAnsi="宋体" w:eastAsia="宋体" w:cs="宋体"/>
      <w:b/>
      <w:color w:val="000000"/>
      <w:sz w:val="21"/>
      <w:szCs w:val="21"/>
      <w:u w:val="none"/>
    </w:rPr>
  </w:style>
  <w:style w:type="character" w:customStyle="1" w:styleId="92">
    <w:name w:val="font31"/>
    <w:basedOn w:val="34"/>
    <w:autoRedefine/>
    <w:qFormat/>
    <w:uiPriority w:val="0"/>
    <w:rPr>
      <w:rFonts w:hint="eastAsia" w:ascii="宋体" w:hAnsi="宋体" w:eastAsia="宋体" w:cs="宋体"/>
      <w:color w:val="000000"/>
      <w:sz w:val="20"/>
      <w:szCs w:val="20"/>
      <w:u w:val="none"/>
    </w:rPr>
  </w:style>
  <w:style w:type="character" w:customStyle="1" w:styleId="93">
    <w:name w:val="font11"/>
    <w:basedOn w:val="34"/>
    <w:autoRedefine/>
    <w:qFormat/>
    <w:uiPriority w:val="0"/>
    <w:rPr>
      <w:rFonts w:hint="eastAsia" w:ascii="等线" w:hAnsi="等线" w:eastAsia="等线" w:cs="等线"/>
      <w:b/>
      <w:bCs/>
      <w:color w:val="000000"/>
      <w:sz w:val="22"/>
      <w:szCs w:val="22"/>
      <w:u w:val="none"/>
    </w:rPr>
  </w:style>
  <w:style w:type="character" w:customStyle="1" w:styleId="94">
    <w:name w:val="hover"/>
    <w:basedOn w:val="34"/>
    <w:autoRedefine/>
    <w:qFormat/>
    <w:uiPriority w:val="0"/>
    <w:rPr>
      <w:color w:val="5FB878"/>
    </w:rPr>
  </w:style>
  <w:style w:type="character" w:customStyle="1" w:styleId="95">
    <w:name w:val="hover1"/>
    <w:basedOn w:val="34"/>
    <w:autoRedefine/>
    <w:qFormat/>
    <w:uiPriority w:val="0"/>
    <w:rPr>
      <w:color w:val="FFFFFF"/>
    </w:rPr>
  </w:style>
  <w:style w:type="character" w:customStyle="1" w:styleId="96">
    <w:name w:val="hover2"/>
    <w:basedOn w:val="34"/>
    <w:autoRedefine/>
    <w:qFormat/>
    <w:uiPriority w:val="0"/>
    <w:rPr>
      <w:color w:val="5FB878"/>
    </w:rPr>
  </w:style>
  <w:style w:type="character" w:customStyle="1" w:styleId="97">
    <w:name w:val="layui-this4"/>
    <w:basedOn w:val="34"/>
    <w:autoRedefine/>
    <w:qFormat/>
    <w:uiPriority w:val="0"/>
    <w:rPr>
      <w:bdr w:val="single" w:color="EEEEEE" w:sz="6" w:space="0"/>
      <w:shd w:val="clear" w:fill="FFFFFF"/>
    </w:rPr>
  </w:style>
  <w:style w:type="character" w:customStyle="1" w:styleId="98">
    <w:name w:val="layui-laypage-curr"/>
    <w:basedOn w:val="34"/>
    <w:autoRedefine/>
    <w:qFormat/>
    <w:uiPriority w:val="0"/>
  </w:style>
  <w:style w:type="character" w:customStyle="1" w:styleId="99">
    <w:name w:val="first-child"/>
    <w:basedOn w:val="34"/>
    <w:autoRedefine/>
    <w:qFormat/>
    <w:uiPriority w:val="0"/>
  </w:style>
  <w:style w:type="character" w:customStyle="1" w:styleId="100">
    <w:name w:val="hover19"/>
    <w:basedOn w:val="34"/>
    <w:autoRedefine/>
    <w:qFormat/>
    <w:uiPriority w:val="0"/>
    <w:rPr>
      <w:color w:val="5FB878"/>
    </w:rPr>
  </w:style>
  <w:style w:type="character" w:customStyle="1" w:styleId="101">
    <w:name w:val="hover20"/>
    <w:basedOn w:val="34"/>
    <w:autoRedefine/>
    <w:qFormat/>
    <w:uiPriority w:val="0"/>
    <w:rPr>
      <w:color w:val="5FB878"/>
    </w:rPr>
  </w:style>
  <w:style w:type="character" w:customStyle="1" w:styleId="102">
    <w:name w:val="hover21"/>
    <w:basedOn w:val="34"/>
    <w:autoRedefine/>
    <w:qFormat/>
    <w:uiPriority w:val="0"/>
    <w:rPr>
      <w:color w:val="FFFFFF"/>
    </w:rPr>
  </w:style>
  <w:style w:type="paragraph" w:customStyle="1" w:styleId="103">
    <w:name w:val="无间隔11"/>
    <w:autoRedefine/>
    <w:qFormat/>
    <w:uiPriority w:val="1"/>
    <w:rPr>
      <w:rFonts w:ascii="Times New Roman" w:hAnsi="Times New Roman" w:eastAsia="Microsoft YaHei UI" w:cs="Arial"/>
      <w:sz w:val="22"/>
      <w:szCs w:val="22"/>
      <w:lang w:val="en-US" w:eastAsia="zh-CN" w:bidi="ar-SA"/>
    </w:rPr>
  </w:style>
  <w:style w:type="table" w:customStyle="1" w:styleId="10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14904</Words>
  <Characters>15610</Characters>
  <Lines>50</Lines>
  <Paragraphs>68</Paragraphs>
  <TotalTime>0</TotalTime>
  <ScaleCrop>false</ScaleCrop>
  <LinksUpToDate>false</LinksUpToDate>
  <CharactersWithSpaces>16570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2012-11-07T10:07:00Z</dcterms:created>
  <dc:creator>微软用户</dc:creator>
  <cp:lastModifiedBy>梧桐叶落</cp:lastModifiedBy>
  <cp:lastPrinted>2023-02-08T08:43:00Z</cp:lastPrinted>
  <dcterms:modified xsi:type="dcterms:W3CDTF">2023-12-22T08:17:40Z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D753B99F23C34F7196CC3841D7C44AA1_13</vt:lpwstr>
  </property>
  <property fmtid="{D5CDD505-2E9C-101B-9397-08002B2CF9AE}" pid="4" name="commondata">
    <vt:lpwstr>eyJoZGlkIjoiYzIwMjRmYTY4OTJhZjc1NTA1MGQwNDc0NzZhNTkwMmUifQ==</vt:lpwstr>
  </property>
</Properties>
</file>