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953395"/>
      <w:bookmarkEnd w:id="0"/>
      <w:bookmarkStart w:id="1" w:name="_Toc22804073"/>
      <w:bookmarkEnd w:id="1"/>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cs="宋体"/>
          <w:b/>
          <w:bCs/>
          <w:sz w:val="44"/>
          <w:szCs w:val="44"/>
          <w:lang w:val="en-US" w:eastAsia="zh-CN"/>
        </w:rPr>
      </w:pPr>
      <w:r>
        <w:rPr>
          <w:rFonts w:hint="eastAsia" w:cs="宋体"/>
          <w:b/>
          <w:bCs/>
          <w:sz w:val="44"/>
          <w:szCs w:val="44"/>
          <w:lang w:val="en-US" w:eastAsia="zh-CN"/>
        </w:rPr>
        <w:t>驻马店市中心医院经皮肾镜、输尿管镜等硬镜维保项目</w:t>
      </w: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0"/>
        <w:rPr>
          <w:rFonts w:hint="eastAsia"/>
        </w:rPr>
      </w:pPr>
    </w:p>
    <w:p>
      <w:pPr>
        <w:pStyle w:val="58"/>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w:t>
      </w:r>
      <w:r>
        <w:rPr>
          <w:rFonts w:hint="eastAsia" w:ascii="宋体" w:hAnsi="宋体" w:cs="宋体"/>
          <w:b/>
          <w:bCs/>
          <w:spacing w:val="40"/>
          <w:sz w:val="34"/>
          <w:szCs w:val="34"/>
          <w:lang w:val="en-US" w:eastAsia="zh-CN"/>
        </w:rPr>
        <w:t>3</w:t>
      </w:r>
      <w:r>
        <w:rPr>
          <w:rFonts w:hint="eastAsia" w:ascii="宋体" w:hAnsi="宋体" w:eastAsia="宋体" w:cs="宋体"/>
          <w:b/>
          <w:bCs/>
          <w:color w:val="000000" w:themeColor="text1"/>
          <w:spacing w:val="40"/>
          <w:sz w:val="34"/>
          <w:szCs w:val="34"/>
          <w14:textFill>
            <w14:solidFill>
              <w14:schemeClr w14:val="tx1"/>
            </w14:solidFill>
          </w14:textFill>
        </w:rPr>
        <w:t>年</w:t>
      </w:r>
      <w:r>
        <w:rPr>
          <w:rFonts w:hint="eastAsia" w:ascii="宋体" w:hAnsi="宋体" w:cs="宋体"/>
          <w:b/>
          <w:bCs/>
          <w:color w:val="000000" w:themeColor="text1"/>
          <w:spacing w:val="40"/>
          <w:sz w:val="34"/>
          <w:szCs w:val="34"/>
          <w:lang w:val="en-US" w:eastAsia="zh-CN"/>
          <w14:textFill>
            <w14:solidFill>
              <w14:schemeClr w14:val="tx1"/>
            </w14:solidFill>
          </w14:textFill>
        </w:rPr>
        <w:t>12</w:t>
      </w:r>
      <w:r>
        <w:rPr>
          <w:rFonts w:hint="eastAsia" w:ascii="宋体" w:hAnsi="宋体" w:eastAsia="宋体" w:cs="宋体"/>
          <w:b/>
          <w:bCs/>
          <w:color w:val="000000" w:themeColor="text1"/>
          <w:spacing w:val="40"/>
          <w:sz w:val="34"/>
          <w:szCs w:val="34"/>
          <w14:textFill>
            <w14:solidFill>
              <w14:schemeClr w14:val="tx1"/>
            </w14:solidFill>
          </w14:textFill>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2"/>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 xml:space="preserve">第三章  </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2"/>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宋体" w:hAnsi="宋体" w:eastAsia="宋体" w:cs="宋体"/>
          <w:b/>
          <w:bCs w:val="0"/>
          <w:color w:val="auto"/>
          <w:kern w:val="0"/>
          <w:sz w:val="28"/>
          <w:szCs w:val="28"/>
        </w:rPr>
      </w:pPr>
      <w:r>
        <w:rPr>
          <w:rFonts w:hint="eastAsia" w:ascii="宋体" w:hAnsi="宋体" w:cs="宋体"/>
          <w:b/>
          <w:bCs w:val="0"/>
          <w:color w:val="auto"/>
          <w:kern w:val="0"/>
          <w:sz w:val="28"/>
          <w:szCs w:val="28"/>
          <w:u w:val="none"/>
          <w:lang w:val="en-US" w:eastAsia="zh-CN"/>
        </w:rPr>
        <w:t>驻马店市中心医院经皮肾镜、输尿管镜等硬镜维保项目</w:t>
      </w: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cs="宋体"/>
          <w:color w:val="auto"/>
          <w:u w:val="single"/>
          <w:lang w:val="en-US" w:eastAsia="zh-CN"/>
        </w:rPr>
        <w:t xml:space="preserve"> 经皮肾镜、输尿管镜等硬镜维保 </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驻马店市中心医院经皮肾镜、输尿管镜等硬镜维保项目</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23万元</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服务期限</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1</w:t>
      </w:r>
      <w:r>
        <w:rPr>
          <w:rFonts w:hint="eastAsia" w:ascii="宋体" w:hAnsi="宋体" w:eastAsia="宋体" w:cs="宋体"/>
          <w:color w:val="auto"/>
          <w:szCs w:val="21"/>
          <w:highlight w:val="none"/>
          <w:shd w:val="clear" w:color="auto" w:fill="FFFFFF"/>
          <w:lang w:val="en-US" w:eastAsia="zh-CN"/>
        </w:rPr>
        <w:t>年；</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、质量要求：符合国家现行标准要求</w:t>
      </w:r>
      <w:r>
        <w:rPr>
          <w:rFonts w:hint="eastAsia" w:ascii="宋体" w:hAnsi="宋体" w:eastAsia="宋体" w:cs="宋体"/>
          <w:color w:val="auto"/>
          <w:szCs w:val="21"/>
          <w:highlight w:val="none"/>
          <w:shd w:val="clear" w:color="auto" w:fill="FFFFFF"/>
          <w:lang w:eastAsia="zh-CN"/>
        </w:rPr>
        <w:t>。</w:t>
      </w:r>
    </w:p>
    <w:p>
      <w:pPr>
        <w:keepNext w:val="0"/>
        <w:keepLines w:val="0"/>
        <w:widowControl/>
        <w:snapToGrid w:val="0"/>
        <w:spacing w:before="0" w:after="0" w:line="360" w:lineRule="auto"/>
        <w:jc w:val="left"/>
        <w:outlineLvl w:val="1"/>
        <w:rPr>
          <w:rFonts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pPr>
      <w:bookmarkStart w:id="4" w:name="_Toc18607"/>
      <w:bookmarkStart w:id="5" w:name="_Toc27704"/>
      <w:bookmarkStart w:id="6" w:name="_Toc23626"/>
      <w:bookmarkStart w:id="7" w:name="_Toc16639"/>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二、</w:t>
      </w:r>
      <w:bookmarkEnd w:id="3"/>
      <w:bookmarkEnd w:id="4"/>
      <w:bookmarkEnd w:id="5"/>
      <w:bookmarkEnd w:id="6"/>
      <w:bookmarkEnd w:id="7"/>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供应商资格要求：</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bookmarkStart w:id="8" w:name="_Toc30643"/>
      <w:bookmarkStart w:id="9" w:name="_Toc9562"/>
      <w:bookmarkStart w:id="10" w:name="_Toc23395"/>
      <w:bookmarkStart w:id="11" w:name="_Toc7823"/>
      <w:bookmarkStart w:id="12" w:name="_Toc30971"/>
      <w:r>
        <w:rPr>
          <w:rFonts w:hint="eastAsia" w:ascii="宋体" w:hAnsi="宋体" w:eastAsia="宋体" w:cs="宋体"/>
          <w:color w:val="000000" w:themeColor="text1"/>
          <w:kern w:val="2"/>
          <w:sz w:val="21"/>
          <w:szCs w:val="24"/>
          <w:lang w:val="en-US" w:eastAsia="zh-CN" w:bidi="ar-SA"/>
          <w14:textFill>
            <w14:solidFill>
              <w14:schemeClr w14:val="tx1"/>
            </w14:solidFill>
          </w14:textFill>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2、供应商应提供2022年度经审计的财务报告或者其基本开户银行出具的资信证明；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3、具有履行合同所必需的设备和专业技术能力（提供书面声明函）；</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4、参加本采购活动前三年内，在经营活动中没有重大违法记录（提供书面声明函）；</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5、符合法律、行政法规规定的其他条件；</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6、特定资格要求：供应商须具有医疗器械经营许可证，是在中华人民共和国境内注册的设备原制造厂商或原制造厂商授权的单位或具备相关设备维修能力的单位（提供证明文件）。</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7、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8、不接受联合体投标。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r>
        <w:rPr>
          <w:rFonts w:hint="eastAsia" w:ascii="宋体" w:hAnsi="宋体" w:cs="宋体"/>
          <w:b/>
          <w:bCs/>
          <w:color w:val="auto"/>
          <w:kern w:val="2"/>
          <w:sz w:val="21"/>
          <w:szCs w:val="24"/>
          <w:lang w:val="en-US" w:eastAsia="zh-CN" w:bidi="ar-SA"/>
        </w:rPr>
        <w:t>三</w:t>
      </w:r>
      <w:r>
        <w:rPr>
          <w:rFonts w:hint="eastAsia" w:ascii="宋体" w:hAnsi="宋体" w:eastAsia="宋体" w:cs="宋体"/>
          <w:b/>
          <w:bCs/>
          <w:color w:val="auto"/>
          <w:kern w:val="2"/>
          <w:sz w:val="21"/>
          <w:szCs w:val="24"/>
          <w:lang w:val="en-US" w:eastAsia="zh-CN" w:bidi="ar-SA"/>
        </w:rPr>
        <w:t>、获取采购文件</w:t>
      </w:r>
      <w:bookmarkEnd w:id="8"/>
      <w:bookmarkEnd w:id="9"/>
      <w:bookmarkEnd w:id="10"/>
      <w:bookmarkEnd w:id="11"/>
      <w:bookmarkEnd w:id="12"/>
    </w:p>
    <w:p>
      <w:pPr>
        <w:widowControl/>
        <w:adjustRightInd w:val="0"/>
        <w:snapToGrid w:val="0"/>
        <w:spacing w:line="360" w:lineRule="auto"/>
        <w:ind w:firstLine="420" w:firstLineChars="200"/>
        <w:jc w:val="left"/>
        <w:rPr>
          <w:rFonts w:hint="default" w:ascii="宋体" w:hAnsi="宋体" w:eastAsia="宋体" w:cs="宋体"/>
          <w:color w:val="000000" w:themeColor="text1"/>
          <w:szCs w:val="21"/>
          <w:shd w:val="clear" w:color="auto" w:fill="FFFFFF"/>
          <w:lang w:val="en-US"/>
          <w14:textFill>
            <w14:solidFill>
              <w14:schemeClr w14:val="tx1"/>
            </w14:solidFill>
          </w14:textFill>
        </w:rPr>
      </w:pPr>
      <w:r>
        <w:rPr>
          <w:rFonts w:hint="eastAsia" w:ascii="宋体" w:hAnsi="宋体" w:eastAsia="宋体" w:cs="宋体"/>
          <w:color w:val="auto"/>
          <w:szCs w:val="21"/>
          <w:shd w:val="clear" w:color="auto" w:fill="FFFFFF"/>
        </w:rPr>
        <w:t>1</w:t>
      </w:r>
      <w:r>
        <w:rPr>
          <w:rFonts w:hint="eastAsia" w:ascii="宋体" w:hAnsi="宋体" w:cs="宋体"/>
          <w:color w:val="000000" w:themeColor="text1"/>
          <w:szCs w:val="21"/>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shd w:val="clear" w:color="auto" w:fill="FFFFFF"/>
          <w14:textFill>
            <w14:solidFill>
              <w14:schemeClr w14:val="tx1"/>
            </w14:solidFill>
          </w14:textFill>
        </w:rPr>
        <w:t>时间：</w:t>
      </w:r>
      <w:r>
        <w:rPr>
          <w:rFonts w:hint="eastAsia" w:ascii="宋体" w:hAnsi="宋体" w:eastAsia="宋体" w:cs="宋体"/>
          <w:color w:val="auto"/>
          <w:szCs w:val="21"/>
          <w:highlight w:val="none"/>
          <w:shd w:val="clear" w:color="auto" w:fill="FFFFFF"/>
        </w:rPr>
        <w:t>20</w:t>
      </w:r>
      <w:r>
        <w:rPr>
          <w:rFonts w:hint="eastAsia" w:ascii="宋体" w:hAnsi="宋体" w:cs="宋体"/>
          <w:color w:val="auto"/>
          <w:szCs w:val="21"/>
          <w:highlight w:val="none"/>
          <w:shd w:val="clear" w:color="auto" w:fill="FFFFFF"/>
          <w:lang w:val="en-US" w:eastAsia="zh-CN"/>
        </w:rPr>
        <w:t>23</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12</w:t>
      </w:r>
      <w:r>
        <w:rPr>
          <w:rFonts w:hint="eastAsia" w:ascii="宋体" w:hAnsi="宋体" w:eastAsia="宋体" w:cs="宋体"/>
          <w:color w:val="auto"/>
          <w:szCs w:val="21"/>
          <w:highlight w:val="none"/>
          <w:shd w:val="clear" w:color="auto" w:fill="FFFFFF"/>
        </w:rPr>
        <w:t>月</w:t>
      </w:r>
      <w:r>
        <w:rPr>
          <w:rFonts w:hint="eastAsia" w:ascii="宋体" w:hAnsi="宋体" w:eastAsia="宋体" w:cs="宋体"/>
          <w:color w:val="auto"/>
          <w:szCs w:val="21"/>
          <w:highlight w:val="none"/>
          <w:shd w:val="clear" w:color="auto" w:fill="FFFFFF"/>
          <w:lang w:val="en-US" w:eastAsia="zh-CN"/>
        </w:rPr>
        <w:t>25</w:t>
      </w:r>
      <w:r>
        <w:rPr>
          <w:rFonts w:hint="eastAsia" w:ascii="宋体" w:hAnsi="宋体" w:eastAsia="宋体" w:cs="宋体"/>
          <w:color w:val="auto"/>
          <w:szCs w:val="21"/>
          <w:highlight w:val="none"/>
          <w:shd w:val="clear" w:color="auto" w:fill="FFFFFF"/>
        </w:rPr>
        <w:t>日-202</w:t>
      </w:r>
      <w:r>
        <w:rPr>
          <w:rFonts w:hint="eastAsia" w:ascii="宋体" w:hAnsi="宋体" w:cs="宋体"/>
          <w:color w:val="auto"/>
          <w:szCs w:val="21"/>
          <w:highlight w:val="none"/>
          <w:shd w:val="clear" w:color="auto" w:fill="FFFFFF"/>
          <w:lang w:val="en-US" w:eastAsia="zh-CN"/>
        </w:rPr>
        <w:t>3</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12</w:t>
      </w:r>
      <w:r>
        <w:rPr>
          <w:rFonts w:hint="eastAsia" w:ascii="宋体" w:hAnsi="宋体" w:eastAsia="宋体" w:cs="宋体"/>
          <w:color w:val="auto"/>
          <w:szCs w:val="21"/>
          <w:highlight w:val="none"/>
          <w:shd w:val="clear" w:color="auto" w:fill="FFFFFF"/>
        </w:rPr>
        <w:t>月</w:t>
      </w:r>
      <w:r>
        <w:rPr>
          <w:rFonts w:hint="eastAsia" w:ascii="宋体" w:hAnsi="宋体" w:eastAsia="宋体" w:cs="宋体"/>
          <w:color w:val="auto"/>
          <w:szCs w:val="21"/>
          <w:highlight w:val="none"/>
          <w:shd w:val="clear" w:color="auto" w:fill="FFFFFF"/>
          <w:lang w:val="en-US" w:eastAsia="zh-CN"/>
        </w:rPr>
        <w:t>27</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000000" w:themeColor="text1"/>
          <w:szCs w:val="21"/>
          <w:shd w:val="clear" w:color="auto" w:fill="FFFFFF"/>
          <w14:textFill>
            <w14:solidFill>
              <w14:schemeClr w14:val="tx1"/>
            </w14:solidFill>
          </w14:textFill>
        </w:rPr>
        <w:t>，上午8：30-11:30，下午14:30-17:30（北京时间，法定节假日除外）</w:t>
      </w:r>
      <w:r>
        <w:rPr>
          <w:rFonts w:hint="eastAsia" w:ascii="宋体" w:hAnsi="宋体" w:eastAsia="宋体" w:cs="宋体"/>
          <w:color w:val="000000" w:themeColor="text1"/>
          <w:szCs w:val="21"/>
          <w:shd w:val="clear" w:color="auto" w:fill="FFFFFF"/>
          <w:lang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报名费用</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1</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00元</w:t>
      </w:r>
      <w:r>
        <w:rPr>
          <w:rFonts w:hint="eastAsia" w:ascii="宋体" w:hAnsi="宋体" w:cs="宋体"/>
          <w:color w:val="000000" w:themeColor="text1"/>
          <w:szCs w:val="21"/>
          <w:shd w:val="clear" w:color="auto" w:fill="FFFFFF"/>
          <w:lang w:val="en-US" w:eastAsia="zh-CN"/>
          <w14:textFill>
            <w14:solidFill>
              <w14:schemeClr w14:val="tx1"/>
            </w14:solidFill>
          </w14:textFill>
        </w:rPr>
        <w:t>。</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2.凡报名成功的供应商无故不来参与投标的，列入我院黑名</w:t>
      </w:r>
      <w:r>
        <w:rPr>
          <w:rFonts w:hint="eastAsia" w:ascii="宋体" w:hAnsi="宋体" w:eastAsia="宋体" w:cs="宋体"/>
          <w:color w:val="auto"/>
          <w:kern w:val="0"/>
          <w:sz w:val="21"/>
          <w:szCs w:val="21"/>
          <w:shd w:val="clear" w:color="auto" w:fill="FFFFFF"/>
          <w:lang w:val="en-US" w:eastAsia="zh-CN" w:bidi="ar-SA"/>
        </w:rPr>
        <w:t xml:space="preserve">单，一年内不得参与我院任何采购活动。中标供应商缴纳相应服务费。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934027204@qq.com并标明XX公司XX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项目报名资料；审核通过后按要求交纳报名费。</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3" w:name="_Toc15135"/>
      <w:bookmarkStart w:id="14" w:name="_Toc10738"/>
      <w:bookmarkStart w:id="15" w:name="_Toc27480"/>
      <w:bookmarkStart w:id="16" w:name="_Toc15111"/>
      <w:bookmarkStart w:id="17" w:name="_Toc25869"/>
      <w:r>
        <w:rPr>
          <w:rFonts w:hint="eastAsia" w:ascii="宋体" w:hAnsi="宋体" w:cs="宋体"/>
          <w:b/>
          <w:bCs/>
          <w:color w:val="auto"/>
          <w:kern w:val="2"/>
          <w:sz w:val="21"/>
          <w:szCs w:val="21"/>
          <w:shd w:val="clear" w:color="auto" w:fill="FFFFFF"/>
          <w:lang w:val="en-US" w:eastAsia="zh-CN" w:bidi="ar-SA"/>
        </w:rPr>
        <w:t>四</w:t>
      </w:r>
      <w:r>
        <w:rPr>
          <w:rFonts w:hint="eastAsia" w:ascii="宋体" w:hAnsi="宋体" w:eastAsia="宋体" w:cs="宋体"/>
          <w:b/>
          <w:bCs/>
          <w:color w:val="auto"/>
          <w:kern w:val="2"/>
          <w:sz w:val="21"/>
          <w:szCs w:val="21"/>
          <w:shd w:val="clear" w:color="auto" w:fill="FFFFFF"/>
          <w:lang w:val="en-US" w:eastAsia="zh-CN" w:bidi="ar-SA"/>
        </w:rPr>
        <w:t>、投标截止时间及地点</w:t>
      </w:r>
      <w:bookmarkEnd w:id="13"/>
      <w:bookmarkEnd w:id="14"/>
      <w:bookmarkEnd w:id="15"/>
      <w:bookmarkEnd w:id="16"/>
      <w:bookmarkEnd w:id="17"/>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cs="宋体"/>
          <w:b/>
          <w:bCs/>
          <w:color w:val="auto"/>
          <w:kern w:val="2"/>
          <w:sz w:val="21"/>
          <w:szCs w:val="21"/>
          <w:shd w:val="clear" w:color="auto" w:fill="FFFFFF"/>
          <w:lang w:val="en-US" w:eastAsia="zh-CN" w:bidi="ar-SA"/>
        </w:rPr>
        <w:t>五</w:t>
      </w:r>
      <w:r>
        <w:rPr>
          <w:rFonts w:hint="eastAsia" w:ascii="宋体" w:hAnsi="宋体" w:eastAsia="宋体" w:cs="宋体"/>
          <w:b/>
          <w:bCs/>
          <w:color w:val="auto"/>
          <w:kern w:val="2"/>
          <w:sz w:val="21"/>
          <w:szCs w:val="21"/>
          <w:shd w:val="clear" w:color="auto" w:fill="FFFFFF"/>
          <w:lang w:val="en-US" w:eastAsia="zh-CN" w:bidi="ar-SA"/>
        </w:rPr>
        <w:t>、开标时间及地点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cs="宋体"/>
          <w:color w:val="auto"/>
          <w:kern w:val="0"/>
          <w:sz w:val="21"/>
          <w:szCs w:val="21"/>
          <w:highlight w:val="none"/>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29784"/>
      <w:bookmarkStart w:id="19" w:name="_Toc30918"/>
      <w:bookmarkStart w:id="20" w:name="_Toc20287"/>
      <w:bookmarkStart w:id="21" w:name="_Toc6523"/>
      <w:r>
        <w:rPr>
          <w:rFonts w:hint="eastAsia" w:ascii="宋体" w:hAnsi="宋体" w:cs="宋体"/>
          <w:b/>
          <w:bCs/>
          <w:color w:val="auto"/>
          <w:kern w:val="2"/>
          <w:sz w:val="21"/>
          <w:szCs w:val="21"/>
          <w:shd w:val="clear" w:color="auto" w:fill="FFFFFF"/>
          <w:lang w:val="en-US" w:eastAsia="zh-CN" w:bidi="ar-SA"/>
        </w:rPr>
        <w:t>六</w:t>
      </w:r>
      <w:r>
        <w:rPr>
          <w:rFonts w:hint="eastAsia" w:ascii="宋体" w:hAnsi="宋体" w:eastAsia="宋体" w:cs="宋体"/>
          <w:b/>
          <w:bCs/>
          <w:color w:val="auto"/>
          <w:kern w:val="2"/>
          <w:sz w:val="21"/>
          <w:szCs w:val="21"/>
          <w:shd w:val="clear" w:color="auto" w:fill="FFFFFF"/>
          <w:lang w:val="en-US" w:eastAsia="zh-CN" w:bidi="ar-SA"/>
        </w:rPr>
        <w:t>、发布公告的媒介及</w:t>
      </w:r>
      <w:r>
        <w:rPr>
          <w:rFonts w:hint="eastAsia" w:ascii="宋体" w:hAnsi="宋体" w:eastAsia="宋体" w:cs="宋体"/>
          <w:b/>
          <w:bCs/>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18"/>
      <w:bookmarkEnd w:id="19"/>
      <w:bookmarkEnd w:id="20"/>
      <w:bookmarkEnd w:id="21"/>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4" w:name="_Toc24274"/>
      <w:bookmarkStart w:id="25" w:name="_Toc3604"/>
      <w:bookmarkStart w:id="26" w:name="_Toc27370"/>
      <w:bookmarkStart w:id="27" w:name="_Toc31928"/>
      <w:bookmarkStart w:id="28" w:name="_Toc16291"/>
      <w:r>
        <w:rPr>
          <w:rFonts w:hint="eastAsia" w:ascii="宋体" w:hAnsi="宋体" w:cs="宋体"/>
          <w:b/>
          <w:bCs/>
          <w:color w:val="auto"/>
          <w:kern w:val="2"/>
          <w:sz w:val="21"/>
          <w:szCs w:val="21"/>
          <w:shd w:val="clear" w:color="auto" w:fill="FFFFFF"/>
          <w:lang w:val="en-US" w:eastAsia="zh-CN" w:bidi="ar-SA"/>
        </w:rPr>
        <w:t>七</w:t>
      </w:r>
      <w:r>
        <w:rPr>
          <w:rFonts w:hint="eastAsia" w:ascii="宋体" w:hAnsi="宋体" w:eastAsia="宋体" w:cs="宋体"/>
          <w:b/>
          <w:bCs/>
          <w:color w:val="auto"/>
          <w:kern w:val="2"/>
          <w:sz w:val="21"/>
          <w:szCs w:val="21"/>
          <w:shd w:val="clear" w:color="auto" w:fill="FFFFFF"/>
          <w:lang w:val="en-US" w:eastAsia="zh-CN" w:bidi="ar-SA"/>
        </w:rPr>
        <w:t>、</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bookmarkStart w:id="86" w:name="_GoBack"/>
      <w:bookmarkEnd w:id="86"/>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报名联系人：陈先生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联系电话：18838148020</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监督电话：0396-2726678</w:t>
      </w:r>
    </w:p>
    <w:p>
      <w:pPr>
        <w:pStyle w:val="30"/>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shd w:val="clear" w:color="auto" w:fill="FFFFFF"/>
          <w:lang w:val="en-US" w:eastAsia="zh-CN" w:bidi="ar-SA"/>
        </w:rPr>
        <w:t>驻马</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店市中心医院采购科</w:t>
      </w:r>
    </w:p>
    <w:p>
      <w:pPr>
        <w:pStyle w:val="28"/>
        <w:widowControl/>
        <w:snapToGrid w:val="0"/>
        <w:spacing w:before="0" w:beforeAutospacing="0" w:after="0" w:afterAutospacing="0" w:line="360" w:lineRule="auto"/>
        <w:ind w:firstLine="420" w:firstLineChars="200"/>
        <w:jc w:val="center"/>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 xml:space="preserve">                                                     </w:t>
      </w:r>
      <w:r>
        <w:rPr>
          <w:rFonts w:hint="eastAsia" w:ascii="宋体" w:hAnsi="宋体" w:cs="宋体"/>
          <w:color w:val="auto"/>
          <w:kern w:val="0"/>
          <w:sz w:val="21"/>
          <w:szCs w:val="21"/>
          <w:shd w:val="clear" w:color="auto" w:fill="FFFFFF"/>
          <w:lang w:val="en-US" w:eastAsia="zh-CN" w:bidi="ar-SA"/>
        </w:rPr>
        <w:t xml:space="preserve">    </w:t>
      </w:r>
      <w:r>
        <w:rPr>
          <w:rFonts w:hint="eastAsia" w:ascii="宋体" w:hAnsi="宋体" w:eastAsia="宋体" w:cs="宋体"/>
          <w:color w:val="auto"/>
          <w:kern w:val="0"/>
          <w:sz w:val="21"/>
          <w:szCs w:val="21"/>
          <w:highlight w:val="none"/>
          <w:shd w:val="clear" w:color="auto" w:fill="FFFFFF"/>
          <w:lang w:val="en-US" w:eastAsia="zh-CN" w:bidi="ar-SA"/>
        </w:rPr>
        <w:t>202</w:t>
      </w:r>
      <w:r>
        <w:rPr>
          <w:rFonts w:hint="eastAsia" w:ascii="宋体" w:hAnsi="宋体" w:cs="宋体"/>
          <w:color w:val="auto"/>
          <w:kern w:val="0"/>
          <w:sz w:val="21"/>
          <w:szCs w:val="21"/>
          <w:highlight w:val="none"/>
          <w:shd w:val="clear" w:color="auto" w:fill="FFFFFF"/>
          <w:lang w:val="en-US" w:eastAsia="zh-CN" w:bidi="ar-SA"/>
        </w:rPr>
        <w:t>3</w:t>
      </w:r>
      <w:r>
        <w:rPr>
          <w:rFonts w:hint="eastAsia" w:ascii="宋体" w:hAnsi="宋体" w:eastAsia="宋体" w:cs="宋体"/>
          <w:color w:val="auto"/>
          <w:kern w:val="0"/>
          <w:sz w:val="21"/>
          <w:szCs w:val="21"/>
          <w:highlight w:val="none"/>
          <w:shd w:val="clear" w:color="auto" w:fill="FFFFFF"/>
          <w:lang w:val="en-US" w:eastAsia="zh-CN" w:bidi="ar-SA"/>
        </w:rPr>
        <w:t>年</w:t>
      </w:r>
      <w:r>
        <w:rPr>
          <w:rFonts w:hint="eastAsia" w:ascii="宋体" w:hAnsi="宋体" w:cs="宋体"/>
          <w:color w:val="auto"/>
          <w:kern w:val="0"/>
          <w:sz w:val="21"/>
          <w:szCs w:val="21"/>
          <w:highlight w:val="none"/>
          <w:shd w:val="clear" w:color="auto" w:fill="FFFFFF"/>
          <w:lang w:val="en-US" w:eastAsia="zh-CN" w:bidi="ar-SA"/>
        </w:rPr>
        <w:t>12</w:t>
      </w:r>
      <w:r>
        <w:rPr>
          <w:rFonts w:hint="eastAsia" w:ascii="宋体" w:hAnsi="宋体" w:eastAsia="宋体" w:cs="宋体"/>
          <w:color w:val="auto"/>
          <w:kern w:val="0"/>
          <w:sz w:val="21"/>
          <w:szCs w:val="21"/>
          <w:highlight w:val="none"/>
          <w:shd w:val="clear" w:color="auto" w:fill="FFFFFF"/>
          <w:lang w:val="en-US" w:eastAsia="zh-CN" w:bidi="ar-SA"/>
        </w:rPr>
        <w:t>月</w:t>
      </w:r>
      <w:r>
        <w:rPr>
          <w:rFonts w:hint="eastAsia" w:ascii="宋体" w:hAnsi="宋体" w:cs="宋体"/>
          <w:color w:val="auto"/>
          <w:kern w:val="0"/>
          <w:sz w:val="21"/>
          <w:szCs w:val="21"/>
          <w:highlight w:val="none"/>
          <w:shd w:val="clear" w:color="auto" w:fill="FFFFFF"/>
          <w:lang w:val="en-US" w:eastAsia="zh-CN" w:bidi="ar-SA"/>
        </w:rPr>
        <w:t>22</w:t>
      </w:r>
      <w:r>
        <w:rPr>
          <w:rFonts w:hint="eastAsia" w:ascii="宋体" w:hAnsi="宋体" w:eastAsia="宋体" w:cs="宋体"/>
          <w:color w:val="auto"/>
          <w:kern w:val="0"/>
          <w:sz w:val="21"/>
          <w:szCs w:val="21"/>
          <w:highlight w:val="none"/>
          <w:shd w:val="clear" w:color="auto" w:fill="FFFFFF"/>
          <w:lang w:val="en-US" w:eastAsia="zh-CN" w:bidi="ar-SA"/>
        </w:rPr>
        <w:t>日</w:t>
      </w:r>
    </w:p>
    <w:p>
      <w:pPr>
        <w:pStyle w:val="28"/>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rPr>
          <w:rFonts w:hint="eastAsia" w:ascii="宋体" w:hAnsi="宋体"/>
          <w:b/>
          <w:color w:val="auto"/>
          <w:sz w:val="32"/>
          <w:szCs w:val="32"/>
          <w:highlight w:val="none"/>
        </w:rPr>
      </w:pPr>
      <w:bookmarkStart w:id="29" w:name="_Toc25063"/>
      <w:bookmarkStart w:id="30" w:name="_Toc29890"/>
      <w:bookmarkStart w:id="31" w:name="_Toc23793"/>
      <w:r>
        <w:rPr>
          <w:rFonts w:hint="eastAsia" w:ascii="宋体" w:hAnsi="宋体"/>
          <w:b/>
          <w:color w:val="auto"/>
          <w:sz w:val="32"/>
          <w:szCs w:val="32"/>
          <w:highlight w:val="none"/>
        </w:rPr>
        <w:br w:type="page"/>
      </w:r>
    </w:p>
    <w:p>
      <w:pPr>
        <w:widowControl/>
        <w:spacing w:line="360" w:lineRule="auto"/>
        <w:ind w:firstLine="643" w:firstLineChars="200"/>
        <w:jc w:val="center"/>
        <w:outlineLvl w:val="0"/>
        <w:rPr>
          <w:rFonts w:ascii="宋体" w:hAnsi="宋体"/>
          <w:b/>
          <w:color w:val="auto"/>
          <w:sz w:val="32"/>
          <w:szCs w:val="32"/>
          <w:highlight w:val="none"/>
        </w:rPr>
      </w:pPr>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29"/>
      <w:bookmarkStart w:id="32" w:name="_Toc9989"/>
      <w:bookmarkStart w:id="33" w:name="_Toc31536"/>
      <w:bookmarkStart w:id="34" w:name="_Toc23610"/>
    </w:p>
    <w:bookmarkEnd w:id="30"/>
    <w:bookmarkEnd w:id="31"/>
    <w:bookmarkEnd w:id="32"/>
    <w:bookmarkEnd w:id="33"/>
    <w:bookmarkEnd w:id="34"/>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i w:val="0"/>
          <w:iCs/>
          <w:sz w:val="21"/>
          <w:szCs w:val="21"/>
          <w:highlight w:val="none"/>
          <w:u w:val="none"/>
          <w:lang w:val="en-US" w:eastAsia="zh-CN"/>
        </w:rPr>
      </w:pPr>
      <w:bookmarkStart w:id="35" w:name="_Toc14504"/>
      <w:r>
        <w:rPr>
          <w:rFonts w:hint="eastAsia" w:ascii="宋体" w:hAnsi="宋体" w:eastAsia="宋体" w:cs="宋体"/>
          <w:b/>
          <w:bCs/>
          <w:i w:val="0"/>
          <w:iCs/>
          <w:sz w:val="21"/>
          <w:szCs w:val="21"/>
          <w:highlight w:val="none"/>
          <w:u w:val="none"/>
          <w:lang w:val="en-US" w:eastAsia="zh-CN"/>
        </w:rPr>
        <w:t>一、项目名称、数量：</w:t>
      </w:r>
      <w:r>
        <w:rPr>
          <w:rFonts w:hint="eastAsia" w:ascii="宋体" w:hAnsi="宋体" w:eastAsia="宋体" w:cs="宋体"/>
          <w:i w:val="0"/>
          <w:iCs/>
          <w:sz w:val="21"/>
          <w:szCs w:val="21"/>
          <w:highlight w:val="none"/>
          <w:u w:val="none"/>
          <w:lang w:val="en-US" w:eastAsia="zh-CN"/>
        </w:rPr>
        <w:t>驻马店市中心医院</w:t>
      </w:r>
      <w:r>
        <w:rPr>
          <w:rFonts w:hint="eastAsia" w:ascii="宋体" w:hAnsi="宋体" w:cs="宋体"/>
          <w:i w:val="0"/>
          <w:iCs/>
          <w:sz w:val="21"/>
          <w:szCs w:val="21"/>
          <w:highlight w:val="none"/>
          <w:u w:val="none"/>
          <w:lang w:val="en-US" w:eastAsia="zh-CN"/>
        </w:rPr>
        <w:t>经皮肾镜、输尿管镜等硬镜维保项目</w:t>
      </w:r>
    </w:p>
    <w:p>
      <w:pPr>
        <w:keepNext w:val="0"/>
        <w:keepLines w:val="0"/>
        <w:pageBreakBefore w:val="0"/>
        <w:widowControl w:val="0"/>
        <w:kinsoku/>
        <w:wordWrap/>
        <w:overflowPunct/>
        <w:topLinePunct w:val="0"/>
        <w:autoSpaceDE/>
        <w:autoSpaceDN/>
        <w:bidi w:val="0"/>
        <w:adjustRightInd/>
        <w:snapToGrid w:val="0"/>
        <w:spacing w:line="360" w:lineRule="auto"/>
        <w:ind w:firstLine="840" w:firstLineChars="400"/>
        <w:jc w:val="both"/>
        <w:textAlignment w:val="auto"/>
        <w:rPr>
          <w:rFonts w:hint="eastAsia" w:ascii="宋体" w:hAnsi="宋体" w:eastAsia="宋体" w:cs="宋体"/>
          <w:b w:val="0"/>
          <w:bCs w:val="0"/>
          <w:kern w:val="2"/>
          <w:sz w:val="21"/>
          <w:szCs w:val="21"/>
          <w:highlight w:val="none"/>
          <w:u w:val="none"/>
          <w:lang w:val="en-US" w:eastAsia="zh-CN" w:bidi="ar-SA"/>
        </w:rPr>
      </w:pPr>
      <w:r>
        <w:rPr>
          <w:rFonts w:hint="eastAsia" w:ascii="宋体" w:hAnsi="宋体" w:eastAsia="宋体" w:cs="宋体"/>
          <w:i w:val="0"/>
          <w:iCs/>
          <w:sz w:val="21"/>
          <w:szCs w:val="21"/>
          <w:highlight w:val="none"/>
          <w:u w:val="none"/>
          <w:lang w:val="en-US" w:eastAsia="zh-CN"/>
        </w:rPr>
        <w:t>项目概况：经皮肾镜、输尿管镜等硬镜</w:t>
      </w:r>
      <w:r>
        <w:rPr>
          <w:rFonts w:hint="eastAsia" w:ascii="宋体" w:hAnsi="宋体" w:cs="宋体"/>
          <w:i w:val="0"/>
          <w:iCs/>
          <w:sz w:val="21"/>
          <w:szCs w:val="21"/>
          <w:highlight w:val="none"/>
          <w:u w:val="none"/>
          <w:lang w:val="en-US" w:eastAsia="zh-CN"/>
        </w:rPr>
        <w:t>维保</w:t>
      </w:r>
      <w:r>
        <w:rPr>
          <w:rFonts w:hint="eastAsia" w:ascii="宋体" w:hAnsi="宋体" w:eastAsia="宋体" w:cs="宋体"/>
          <w:i w:val="0"/>
          <w:iCs/>
          <w:sz w:val="21"/>
          <w:szCs w:val="21"/>
          <w:highlight w:val="none"/>
          <w:u w:val="none"/>
          <w:lang w:val="en-US" w:eastAsia="zh-CN"/>
        </w:rPr>
        <w:t>一年。</w:t>
      </w:r>
    </w:p>
    <w:p>
      <w:pPr>
        <w:pStyle w:val="14"/>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480" w:lineRule="auto"/>
        <w:ind w:firstLine="422" w:firstLineChars="200"/>
        <w:jc w:val="both"/>
        <w:textAlignment w:val="auto"/>
        <w:rPr>
          <w:rFonts w:hint="eastAsia" w:cs="宋体"/>
          <w:b/>
          <w:bCs/>
          <w:kern w:val="2"/>
          <w:sz w:val="21"/>
          <w:szCs w:val="24"/>
          <w:lang w:val="en-US" w:eastAsia="zh-CN" w:bidi="ar-SA"/>
        </w:rPr>
      </w:pPr>
      <w:r>
        <w:rPr>
          <w:rFonts w:hint="eastAsia" w:cs="宋体"/>
          <w:b/>
          <w:bCs/>
          <w:kern w:val="2"/>
          <w:sz w:val="21"/>
          <w:szCs w:val="24"/>
          <w:lang w:val="en-US" w:eastAsia="zh-CN" w:bidi="ar-SA"/>
        </w:rPr>
        <w:t>二、采购标的清单：</w:t>
      </w:r>
    </w:p>
    <w:tbl>
      <w:tblPr>
        <w:tblStyle w:val="33"/>
        <w:tblW w:w="8781"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50"/>
        <w:gridCol w:w="2207"/>
        <w:gridCol w:w="5"/>
        <w:gridCol w:w="966"/>
        <w:gridCol w:w="886"/>
        <w:gridCol w:w="6"/>
        <w:gridCol w:w="1060"/>
        <w:gridCol w:w="9"/>
        <w:gridCol w:w="1069"/>
        <w:gridCol w:w="5"/>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Align w:val="center"/>
          </w:tcPr>
          <w:p>
            <w:pPr>
              <w:pStyle w:val="15"/>
              <w:numPr>
                <w:ilvl w:val="0"/>
                <w:numId w:val="0"/>
              </w:numPr>
              <w:rPr>
                <w:rFonts w:hint="eastAsia"/>
                <w:lang w:val="en-US" w:eastAsia="zh-CN"/>
              </w:rPr>
            </w:pPr>
            <w:r>
              <w:rPr>
                <w:rFonts w:hint="eastAsia"/>
                <w:lang w:val="en-US" w:eastAsia="zh-CN"/>
              </w:rPr>
              <w:t>包号</w:t>
            </w:r>
          </w:p>
        </w:tc>
        <w:tc>
          <w:tcPr>
            <w:tcW w:w="950" w:type="dxa"/>
            <w:vAlign w:val="center"/>
          </w:tcPr>
          <w:p>
            <w:pPr>
              <w:pStyle w:val="15"/>
              <w:numPr>
                <w:ilvl w:val="0"/>
                <w:numId w:val="0"/>
              </w:numPr>
              <w:rPr>
                <w:rFonts w:hint="eastAsia"/>
                <w:lang w:val="en-US" w:eastAsia="zh-CN"/>
              </w:rPr>
            </w:pPr>
            <w:r>
              <w:rPr>
                <w:rFonts w:hint="eastAsia"/>
                <w:lang w:val="en-US" w:eastAsia="zh-CN"/>
              </w:rPr>
              <w:t>序号</w:t>
            </w:r>
          </w:p>
        </w:tc>
        <w:tc>
          <w:tcPr>
            <w:tcW w:w="2207" w:type="dxa"/>
            <w:vAlign w:val="center"/>
          </w:tcPr>
          <w:p>
            <w:pPr>
              <w:pStyle w:val="15"/>
              <w:numPr>
                <w:ilvl w:val="0"/>
                <w:numId w:val="0"/>
              </w:numPr>
              <w:rPr>
                <w:rFonts w:hint="eastAsia"/>
                <w:lang w:val="en-US" w:eastAsia="zh-CN"/>
              </w:rPr>
            </w:pPr>
            <w:r>
              <w:rPr>
                <w:rFonts w:hint="eastAsia"/>
                <w:lang w:val="en-US" w:eastAsia="zh-CN"/>
              </w:rPr>
              <w:t>标的名称</w:t>
            </w:r>
          </w:p>
        </w:tc>
        <w:tc>
          <w:tcPr>
            <w:tcW w:w="971" w:type="dxa"/>
            <w:gridSpan w:val="2"/>
            <w:vAlign w:val="center"/>
          </w:tcPr>
          <w:p>
            <w:pPr>
              <w:pStyle w:val="15"/>
              <w:numPr>
                <w:ilvl w:val="0"/>
                <w:numId w:val="0"/>
              </w:numPr>
              <w:rPr>
                <w:rFonts w:hint="eastAsia"/>
                <w:lang w:val="en-US" w:eastAsia="zh-CN"/>
              </w:rPr>
            </w:pPr>
            <w:r>
              <w:rPr>
                <w:rFonts w:hint="eastAsia"/>
                <w:lang w:val="en-US" w:eastAsia="zh-CN"/>
              </w:rPr>
              <w:t>单位</w:t>
            </w:r>
          </w:p>
        </w:tc>
        <w:tc>
          <w:tcPr>
            <w:tcW w:w="886" w:type="dxa"/>
            <w:vAlign w:val="center"/>
          </w:tcPr>
          <w:p>
            <w:pPr>
              <w:pStyle w:val="15"/>
              <w:numPr>
                <w:ilvl w:val="0"/>
                <w:numId w:val="0"/>
              </w:numPr>
              <w:rPr>
                <w:rFonts w:hint="eastAsia"/>
                <w:lang w:val="en-US" w:eastAsia="zh-CN"/>
              </w:rPr>
            </w:pPr>
            <w:r>
              <w:rPr>
                <w:rFonts w:hint="eastAsia"/>
                <w:lang w:val="en-US" w:eastAsia="zh-CN"/>
              </w:rPr>
              <w:t>数量</w:t>
            </w:r>
          </w:p>
        </w:tc>
        <w:tc>
          <w:tcPr>
            <w:tcW w:w="1075" w:type="dxa"/>
            <w:gridSpan w:val="3"/>
            <w:vAlign w:val="center"/>
          </w:tcPr>
          <w:p>
            <w:pPr>
              <w:pStyle w:val="15"/>
              <w:numPr>
                <w:ilvl w:val="0"/>
                <w:numId w:val="0"/>
              </w:numPr>
              <w:rPr>
                <w:rFonts w:hint="eastAsia"/>
                <w:lang w:val="en-US" w:eastAsia="zh-CN"/>
              </w:rPr>
            </w:pPr>
            <w:r>
              <w:rPr>
                <w:rFonts w:hint="eastAsia"/>
                <w:lang w:val="en-US" w:eastAsia="zh-CN"/>
              </w:rPr>
              <w:t>资金</w:t>
            </w:r>
          </w:p>
          <w:p>
            <w:pPr>
              <w:pStyle w:val="15"/>
              <w:numPr>
                <w:ilvl w:val="0"/>
                <w:numId w:val="0"/>
              </w:numPr>
              <w:rPr>
                <w:rFonts w:hint="eastAsia"/>
                <w:lang w:val="en-US" w:eastAsia="zh-CN"/>
              </w:rPr>
            </w:pPr>
            <w:r>
              <w:rPr>
                <w:rFonts w:hint="eastAsia"/>
                <w:lang w:val="en-US" w:eastAsia="zh-CN"/>
              </w:rPr>
              <w:t>预算</w:t>
            </w:r>
          </w:p>
        </w:tc>
        <w:tc>
          <w:tcPr>
            <w:tcW w:w="1069" w:type="dxa"/>
            <w:vAlign w:val="center"/>
          </w:tcPr>
          <w:p>
            <w:pPr>
              <w:pStyle w:val="15"/>
              <w:numPr>
                <w:ilvl w:val="0"/>
                <w:numId w:val="0"/>
              </w:numPr>
              <w:rPr>
                <w:rFonts w:hint="eastAsia"/>
                <w:lang w:val="en-US" w:eastAsia="zh-CN"/>
              </w:rPr>
            </w:pPr>
            <w:r>
              <w:rPr>
                <w:rFonts w:hint="eastAsia"/>
                <w:lang w:val="en-US" w:eastAsia="zh-CN"/>
              </w:rPr>
              <w:t>资金</w:t>
            </w:r>
          </w:p>
          <w:p>
            <w:pPr>
              <w:pStyle w:val="15"/>
              <w:numPr>
                <w:ilvl w:val="0"/>
                <w:numId w:val="0"/>
              </w:numPr>
              <w:rPr>
                <w:rFonts w:hint="eastAsia"/>
                <w:lang w:val="en-US" w:eastAsia="zh-CN"/>
              </w:rPr>
            </w:pPr>
            <w:r>
              <w:rPr>
                <w:rFonts w:hint="eastAsia"/>
                <w:lang w:val="en-US" w:eastAsia="zh-CN"/>
              </w:rPr>
              <w:t>性质</w:t>
            </w:r>
          </w:p>
        </w:tc>
        <w:tc>
          <w:tcPr>
            <w:tcW w:w="1197" w:type="dxa"/>
            <w:gridSpan w:val="2"/>
            <w:vAlign w:val="center"/>
          </w:tcPr>
          <w:p>
            <w:pPr>
              <w:pStyle w:val="15"/>
              <w:numPr>
                <w:ilvl w:val="0"/>
                <w:numId w:val="0"/>
              </w:numPr>
              <w:rPr>
                <w:rFonts w:hint="eastAsia"/>
                <w:lang w:val="en-US" w:eastAsia="zh-CN"/>
              </w:rPr>
            </w:pPr>
            <w:r>
              <w:rPr>
                <w:rFonts w:hint="eastAsia"/>
                <w:lang w:val="en-US" w:eastAsia="zh-CN"/>
              </w:rPr>
              <w:t>国产/</w:t>
            </w:r>
          </w:p>
          <w:p>
            <w:pPr>
              <w:pStyle w:val="15"/>
              <w:numPr>
                <w:ilvl w:val="0"/>
                <w:numId w:val="0"/>
              </w:numPr>
              <w:rPr>
                <w:rFonts w:hint="eastAsia"/>
                <w:lang w:val="en-US" w:eastAsia="zh-CN"/>
              </w:rPr>
            </w:pPr>
            <w:r>
              <w:rPr>
                <w:rFonts w:hint="eastAsia"/>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Align w:val="center"/>
          </w:tcPr>
          <w:p>
            <w:pPr>
              <w:pStyle w:val="15"/>
              <w:numPr>
                <w:ilvl w:val="0"/>
                <w:numId w:val="0"/>
              </w:numPr>
              <w:rPr>
                <w:rFonts w:hint="eastAsia"/>
                <w:lang w:val="en-US" w:eastAsia="zh-CN"/>
              </w:rPr>
            </w:pPr>
            <w:r>
              <w:rPr>
                <w:rFonts w:hint="eastAsia"/>
                <w:lang w:val="en-US" w:eastAsia="zh-CN"/>
              </w:rPr>
              <w:t>1</w:t>
            </w:r>
          </w:p>
        </w:tc>
        <w:tc>
          <w:tcPr>
            <w:tcW w:w="950" w:type="dxa"/>
            <w:vAlign w:val="center"/>
          </w:tcPr>
          <w:p>
            <w:pPr>
              <w:pStyle w:val="15"/>
              <w:numPr>
                <w:ilvl w:val="0"/>
                <w:numId w:val="0"/>
              </w:numPr>
              <w:rPr>
                <w:rFonts w:hint="eastAsia" w:eastAsia="宋体"/>
                <w:lang w:val="en-US" w:eastAsia="zh-CN"/>
              </w:rPr>
            </w:pPr>
            <w:r>
              <w:rPr>
                <w:rFonts w:hint="eastAsia" w:eastAsia="宋体"/>
                <w:lang w:val="en-US" w:eastAsia="zh-CN"/>
              </w:rPr>
              <w:t>1</w:t>
            </w:r>
          </w:p>
        </w:tc>
        <w:tc>
          <w:tcPr>
            <w:tcW w:w="2207" w:type="dxa"/>
            <w:vAlign w:val="center"/>
          </w:tcPr>
          <w:p>
            <w:pPr>
              <w:pStyle w:val="15"/>
              <w:numPr>
                <w:ilvl w:val="0"/>
                <w:numId w:val="0"/>
              </w:numPr>
              <w:rPr>
                <w:rFonts w:hint="eastAsia" w:eastAsia="宋体"/>
                <w:lang w:val="en-US" w:eastAsia="zh-CN"/>
              </w:rPr>
            </w:pPr>
            <w:r>
              <w:rPr>
                <w:rFonts w:hint="eastAsia" w:eastAsia="宋体"/>
                <w:lang w:val="en-US" w:eastAsia="zh-CN"/>
              </w:rPr>
              <w:t>经皮肾镜、输尿管镜等硬镜</w:t>
            </w:r>
            <w:r>
              <w:rPr>
                <w:rFonts w:hint="eastAsia" w:ascii="宋体" w:hAnsi="宋体" w:cs="宋体"/>
                <w:i w:val="0"/>
                <w:iCs/>
                <w:sz w:val="21"/>
                <w:szCs w:val="21"/>
                <w:highlight w:val="none"/>
                <w:u w:val="none"/>
                <w:lang w:val="en-US" w:eastAsia="zh-CN"/>
              </w:rPr>
              <w:t>维保</w:t>
            </w:r>
          </w:p>
        </w:tc>
        <w:tc>
          <w:tcPr>
            <w:tcW w:w="971" w:type="dxa"/>
            <w:gridSpan w:val="2"/>
            <w:vAlign w:val="center"/>
          </w:tcPr>
          <w:p>
            <w:pPr>
              <w:pStyle w:val="15"/>
              <w:numPr>
                <w:ilvl w:val="0"/>
                <w:numId w:val="0"/>
              </w:numPr>
              <w:rPr>
                <w:rFonts w:hint="eastAsia" w:eastAsia="宋体"/>
                <w:lang w:val="en-US" w:eastAsia="zh-CN"/>
              </w:rPr>
            </w:pPr>
            <w:r>
              <w:rPr>
                <w:rFonts w:hint="eastAsia"/>
                <w:lang w:val="en-US" w:eastAsia="zh-CN"/>
              </w:rPr>
              <w:t>条</w:t>
            </w:r>
            <w:r>
              <w:rPr>
                <w:rFonts w:hint="eastAsia" w:eastAsia="宋体"/>
                <w:lang w:val="en-US" w:eastAsia="zh-CN"/>
              </w:rPr>
              <w:t>/年</w:t>
            </w:r>
          </w:p>
        </w:tc>
        <w:tc>
          <w:tcPr>
            <w:tcW w:w="886" w:type="dxa"/>
            <w:vAlign w:val="center"/>
          </w:tcPr>
          <w:p>
            <w:pPr>
              <w:pStyle w:val="15"/>
              <w:numPr>
                <w:ilvl w:val="0"/>
                <w:numId w:val="0"/>
              </w:numPr>
              <w:rPr>
                <w:rFonts w:hint="default" w:eastAsia="宋体"/>
                <w:lang w:val="en-US" w:eastAsia="zh-CN"/>
              </w:rPr>
            </w:pPr>
            <w:r>
              <w:rPr>
                <w:rFonts w:hint="eastAsia"/>
                <w:lang w:val="en-US" w:eastAsia="zh-CN"/>
              </w:rPr>
              <w:t>17</w:t>
            </w:r>
          </w:p>
        </w:tc>
        <w:tc>
          <w:tcPr>
            <w:tcW w:w="1075" w:type="dxa"/>
            <w:gridSpan w:val="3"/>
            <w:vAlign w:val="center"/>
          </w:tcPr>
          <w:p>
            <w:pPr>
              <w:pStyle w:val="15"/>
              <w:numPr>
                <w:ilvl w:val="0"/>
                <w:numId w:val="0"/>
              </w:numPr>
              <w:rPr>
                <w:rFonts w:hint="eastAsia" w:eastAsia="宋体"/>
                <w:lang w:val="en-US" w:eastAsia="zh-CN"/>
              </w:rPr>
            </w:pPr>
            <w:r>
              <w:rPr>
                <w:rFonts w:hint="eastAsia"/>
                <w:lang w:val="en-US" w:eastAsia="zh-CN"/>
              </w:rPr>
              <w:t>23万元</w:t>
            </w:r>
          </w:p>
        </w:tc>
        <w:tc>
          <w:tcPr>
            <w:tcW w:w="1069" w:type="dxa"/>
            <w:vAlign w:val="center"/>
          </w:tcPr>
          <w:p>
            <w:pPr>
              <w:pStyle w:val="15"/>
              <w:numPr>
                <w:ilvl w:val="0"/>
                <w:numId w:val="0"/>
              </w:numPr>
              <w:rPr>
                <w:rFonts w:hint="eastAsia" w:eastAsia="宋体"/>
                <w:lang w:val="en-US" w:eastAsia="zh-CN"/>
              </w:rPr>
            </w:pPr>
            <w:r>
              <w:rPr>
                <w:rFonts w:hint="eastAsia" w:eastAsia="宋体"/>
                <w:lang w:val="en-US" w:eastAsia="zh-CN"/>
              </w:rPr>
              <w:t>自筹</w:t>
            </w:r>
          </w:p>
        </w:tc>
        <w:tc>
          <w:tcPr>
            <w:tcW w:w="1197" w:type="dxa"/>
            <w:gridSpan w:val="2"/>
            <w:vAlign w:val="center"/>
          </w:tcPr>
          <w:p>
            <w:pPr>
              <w:pStyle w:val="15"/>
              <w:numPr>
                <w:ilvl w:val="0"/>
                <w:numId w:val="0"/>
              </w:num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6" w:type="dxa"/>
            <w:gridSpan w:val="2"/>
            <w:vAlign w:val="center"/>
          </w:tcPr>
          <w:p>
            <w:pPr>
              <w:pStyle w:val="15"/>
              <w:numPr>
                <w:ilvl w:val="0"/>
                <w:numId w:val="0"/>
              </w:numPr>
              <w:rPr>
                <w:rFonts w:hint="eastAsia"/>
                <w:lang w:val="en-US" w:eastAsia="zh-CN"/>
              </w:rPr>
            </w:pPr>
            <w:r>
              <w:rPr>
                <w:rFonts w:hint="eastAsia"/>
                <w:lang w:val="en-US" w:eastAsia="zh-CN"/>
              </w:rPr>
              <w:t>合计</w:t>
            </w:r>
          </w:p>
        </w:tc>
        <w:tc>
          <w:tcPr>
            <w:tcW w:w="2212" w:type="dxa"/>
            <w:gridSpan w:val="2"/>
            <w:vAlign w:val="center"/>
          </w:tcPr>
          <w:p>
            <w:pPr>
              <w:pStyle w:val="15"/>
              <w:numPr>
                <w:ilvl w:val="0"/>
                <w:numId w:val="0"/>
              </w:numPr>
              <w:rPr>
                <w:rFonts w:hint="eastAsia"/>
                <w:lang w:val="en-US" w:eastAsia="zh-CN"/>
              </w:rPr>
            </w:pPr>
          </w:p>
        </w:tc>
        <w:tc>
          <w:tcPr>
            <w:tcW w:w="966" w:type="dxa"/>
            <w:vAlign w:val="center"/>
          </w:tcPr>
          <w:p>
            <w:pPr>
              <w:pStyle w:val="15"/>
              <w:numPr>
                <w:ilvl w:val="0"/>
                <w:numId w:val="0"/>
              </w:numPr>
              <w:ind w:left="0" w:leftChars="0" w:firstLine="0" w:firstLineChars="0"/>
              <w:rPr>
                <w:rFonts w:hint="eastAsia" w:ascii="Arial" w:hAnsi="Arial" w:eastAsia="宋体" w:cs="Times New Roman"/>
                <w:kern w:val="2"/>
                <w:sz w:val="21"/>
                <w:szCs w:val="24"/>
                <w:lang w:val="en-US" w:eastAsia="zh-CN" w:bidi="ar-SA"/>
              </w:rPr>
            </w:pPr>
            <w:r>
              <w:rPr>
                <w:rFonts w:hint="eastAsia"/>
                <w:lang w:val="en-US" w:eastAsia="zh-CN"/>
              </w:rPr>
              <w:t>条</w:t>
            </w:r>
            <w:r>
              <w:rPr>
                <w:rFonts w:hint="eastAsia" w:eastAsia="宋体"/>
                <w:lang w:val="en-US" w:eastAsia="zh-CN"/>
              </w:rPr>
              <w:t>/</w:t>
            </w:r>
            <w:r>
              <w:rPr>
                <w:rFonts w:hint="eastAsia"/>
                <w:lang w:val="en-US" w:eastAsia="zh-CN"/>
              </w:rPr>
              <w:t>年</w:t>
            </w:r>
          </w:p>
        </w:tc>
        <w:tc>
          <w:tcPr>
            <w:tcW w:w="892" w:type="dxa"/>
            <w:gridSpan w:val="2"/>
            <w:vAlign w:val="center"/>
          </w:tcPr>
          <w:p>
            <w:pPr>
              <w:pStyle w:val="15"/>
              <w:numPr>
                <w:ilvl w:val="0"/>
                <w:numId w:val="0"/>
              </w:numPr>
              <w:ind w:left="0" w:leftChars="0" w:firstLine="0" w:firstLineChars="0"/>
              <w:rPr>
                <w:rFonts w:hint="default" w:ascii="Arial" w:hAnsi="Arial" w:eastAsia="宋体" w:cs="Times New Roman"/>
                <w:kern w:val="2"/>
                <w:sz w:val="21"/>
                <w:szCs w:val="24"/>
                <w:lang w:val="en-US" w:eastAsia="zh-CN" w:bidi="ar-SA"/>
              </w:rPr>
            </w:pPr>
            <w:r>
              <w:rPr>
                <w:rFonts w:hint="eastAsia"/>
                <w:lang w:val="en-US" w:eastAsia="zh-CN"/>
              </w:rPr>
              <w:t>17</w:t>
            </w:r>
          </w:p>
        </w:tc>
        <w:tc>
          <w:tcPr>
            <w:tcW w:w="1060" w:type="dxa"/>
            <w:vAlign w:val="center"/>
          </w:tcPr>
          <w:p>
            <w:pPr>
              <w:pStyle w:val="15"/>
              <w:numPr>
                <w:ilvl w:val="0"/>
                <w:numId w:val="0"/>
              </w:numPr>
              <w:ind w:left="0" w:leftChars="0" w:firstLine="0" w:firstLineChars="0"/>
              <w:rPr>
                <w:rFonts w:hint="eastAsia" w:ascii="Arial" w:hAnsi="Arial" w:eastAsia="宋体" w:cs="Times New Roman"/>
                <w:kern w:val="2"/>
                <w:sz w:val="21"/>
                <w:szCs w:val="24"/>
                <w:lang w:val="en-US" w:eastAsia="zh-CN" w:bidi="ar-SA"/>
              </w:rPr>
            </w:pPr>
            <w:r>
              <w:rPr>
                <w:rFonts w:hint="eastAsia"/>
                <w:lang w:val="en-US" w:eastAsia="zh-CN"/>
              </w:rPr>
              <w:t>23万元</w:t>
            </w:r>
          </w:p>
        </w:tc>
        <w:tc>
          <w:tcPr>
            <w:tcW w:w="1083" w:type="dxa"/>
            <w:gridSpan w:val="3"/>
            <w:vAlign w:val="center"/>
          </w:tcPr>
          <w:p>
            <w:pPr>
              <w:pStyle w:val="15"/>
              <w:numPr>
                <w:ilvl w:val="0"/>
                <w:numId w:val="0"/>
              </w:numPr>
              <w:rPr>
                <w:rFonts w:hint="eastAsia"/>
                <w:lang w:val="en-US" w:eastAsia="zh-CN"/>
              </w:rPr>
            </w:pPr>
          </w:p>
        </w:tc>
        <w:tc>
          <w:tcPr>
            <w:tcW w:w="1192" w:type="dxa"/>
            <w:vAlign w:val="center"/>
          </w:tcPr>
          <w:p>
            <w:pPr>
              <w:pStyle w:val="15"/>
              <w:numPr>
                <w:ilvl w:val="0"/>
                <w:numId w:val="0"/>
              </w:num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6" w:type="dxa"/>
            <w:gridSpan w:val="2"/>
            <w:vAlign w:val="center"/>
          </w:tcPr>
          <w:p>
            <w:pPr>
              <w:pStyle w:val="15"/>
              <w:numPr>
                <w:ilvl w:val="0"/>
                <w:numId w:val="0"/>
              </w:numPr>
              <w:rPr>
                <w:rFonts w:hint="eastAsia"/>
                <w:lang w:val="en-US" w:eastAsia="zh-CN"/>
              </w:rPr>
            </w:pPr>
            <w:r>
              <w:rPr>
                <w:rFonts w:hint="eastAsia"/>
                <w:lang w:val="en-US" w:eastAsia="zh-CN"/>
              </w:rPr>
              <w:t>备注</w:t>
            </w:r>
          </w:p>
        </w:tc>
        <w:tc>
          <w:tcPr>
            <w:tcW w:w="7405" w:type="dxa"/>
            <w:gridSpan w:val="10"/>
            <w:vAlign w:val="center"/>
          </w:tcPr>
          <w:p>
            <w:pPr>
              <w:pStyle w:val="15"/>
              <w:numPr>
                <w:ilvl w:val="0"/>
                <w:numId w:val="0"/>
              </w:numPr>
              <w:rPr>
                <w:rFonts w:hint="eastAsia"/>
                <w:lang w:val="en-US" w:eastAsia="zh-CN"/>
              </w:rPr>
            </w:pPr>
          </w:p>
        </w:tc>
      </w:tr>
    </w:tbl>
    <w:p>
      <w:pPr>
        <w:pStyle w:val="15"/>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维保详情：</w:t>
      </w:r>
      <w:r>
        <w:rPr>
          <w:rFonts w:hint="eastAsia" w:ascii="宋体" w:hAnsi="宋体" w:eastAsia="宋体" w:cs="宋体"/>
          <w:kern w:val="0"/>
          <w:sz w:val="21"/>
          <w:szCs w:val="21"/>
          <w:lang w:val="en-US" w:eastAsia="zh-CN" w:bidi="ar-SA"/>
        </w:rPr>
        <w:t>共计17条，均为德国狼牌</w:t>
      </w:r>
    </w:p>
    <w:tbl>
      <w:tblPr>
        <w:tblStyle w:val="33"/>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1663"/>
        <w:gridCol w:w="2283"/>
        <w:gridCol w:w="3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11"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663"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名称</w:t>
            </w:r>
          </w:p>
        </w:tc>
        <w:tc>
          <w:tcPr>
            <w:tcW w:w="2283"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型号</w:t>
            </w:r>
          </w:p>
        </w:tc>
        <w:tc>
          <w:tcPr>
            <w:tcW w:w="3542"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11"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663"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经皮肾镜</w:t>
            </w:r>
          </w:p>
        </w:tc>
        <w:tc>
          <w:tcPr>
            <w:tcW w:w="2283" w:type="dxa"/>
            <w:vAlign w:val="top"/>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8964.401</w:t>
            </w:r>
          </w:p>
        </w:tc>
        <w:tc>
          <w:tcPr>
            <w:tcW w:w="3542"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5000229863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11"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663" w:type="dxa"/>
          </w:tcPr>
          <w:p>
            <w:pPr>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经皮肾镜</w:t>
            </w:r>
          </w:p>
        </w:tc>
        <w:tc>
          <w:tcPr>
            <w:tcW w:w="2283" w:type="dxa"/>
            <w:vAlign w:val="top"/>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8964.401</w:t>
            </w:r>
          </w:p>
        </w:tc>
        <w:tc>
          <w:tcPr>
            <w:tcW w:w="3542"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5000231699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11"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663" w:type="dxa"/>
          </w:tcPr>
          <w:p>
            <w:pPr>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经皮肾镜</w:t>
            </w:r>
          </w:p>
        </w:tc>
        <w:tc>
          <w:tcPr>
            <w:tcW w:w="2283" w:type="dxa"/>
            <w:vAlign w:val="top"/>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8964.401</w:t>
            </w:r>
          </w:p>
        </w:tc>
        <w:tc>
          <w:tcPr>
            <w:tcW w:w="3542"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5000304344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11"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663" w:type="dxa"/>
          </w:tcPr>
          <w:p>
            <w:pPr>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经皮肾镜</w:t>
            </w:r>
          </w:p>
        </w:tc>
        <w:tc>
          <w:tcPr>
            <w:tcW w:w="2283" w:type="dxa"/>
            <w:vAlign w:val="top"/>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8964.401</w:t>
            </w:r>
          </w:p>
        </w:tc>
        <w:tc>
          <w:tcPr>
            <w:tcW w:w="3542"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5000246232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11"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663" w:type="dxa"/>
          </w:tcPr>
          <w:p>
            <w:pPr>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经皮肾镜</w:t>
            </w:r>
          </w:p>
        </w:tc>
        <w:tc>
          <w:tcPr>
            <w:tcW w:w="2283" w:type="dxa"/>
            <w:vAlign w:val="top"/>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8964.401</w:t>
            </w:r>
          </w:p>
        </w:tc>
        <w:tc>
          <w:tcPr>
            <w:tcW w:w="3542"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5000024381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11"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1663"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输尿管镜</w:t>
            </w:r>
          </w:p>
        </w:tc>
        <w:tc>
          <w:tcPr>
            <w:tcW w:w="2283"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8703.534</w:t>
            </w:r>
          </w:p>
        </w:tc>
        <w:tc>
          <w:tcPr>
            <w:tcW w:w="3542"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1100405729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11"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1663" w:type="dxa"/>
          </w:tcPr>
          <w:p>
            <w:pPr>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输尿管镜</w:t>
            </w:r>
          </w:p>
        </w:tc>
        <w:tc>
          <w:tcPr>
            <w:tcW w:w="2283"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8703.534</w:t>
            </w:r>
          </w:p>
        </w:tc>
        <w:tc>
          <w:tcPr>
            <w:tcW w:w="3542"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1100405810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11"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1663" w:type="dxa"/>
          </w:tcPr>
          <w:p>
            <w:pPr>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输尿管镜</w:t>
            </w:r>
          </w:p>
        </w:tc>
        <w:tc>
          <w:tcPr>
            <w:tcW w:w="2283"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8703.534</w:t>
            </w:r>
          </w:p>
        </w:tc>
        <w:tc>
          <w:tcPr>
            <w:tcW w:w="3542"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1100362419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11"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1663" w:type="dxa"/>
            <w:vAlign w:val="top"/>
          </w:tcPr>
          <w:p>
            <w:pPr>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输尿管镜</w:t>
            </w:r>
          </w:p>
        </w:tc>
        <w:tc>
          <w:tcPr>
            <w:tcW w:w="2283"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8703.534</w:t>
            </w:r>
          </w:p>
        </w:tc>
        <w:tc>
          <w:tcPr>
            <w:tcW w:w="3542"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1100331574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11"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1663" w:type="dxa"/>
            <w:vAlign w:val="top"/>
          </w:tcPr>
          <w:p>
            <w:pPr>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输尿管镜</w:t>
            </w:r>
          </w:p>
        </w:tc>
        <w:tc>
          <w:tcPr>
            <w:tcW w:w="2283"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8703.534</w:t>
            </w:r>
          </w:p>
        </w:tc>
        <w:tc>
          <w:tcPr>
            <w:tcW w:w="3542"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1100474659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11"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1663" w:type="dxa"/>
            <w:vAlign w:val="top"/>
          </w:tcPr>
          <w:p>
            <w:pPr>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输尿管镜</w:t>
            </w:r>
          </w:p>
        </w:tc>
        <w:tc>
          <w:tcPr>
            <w:tcW w:w="2283"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8703.534</w:t>
            </w:r>
          </w:p>
        </w:tc>
        <w:tc>
          <w:tcPr>
            <w:tcW w:w="3542"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1100619265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11"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1663" w:type="dxa"/>
            <w:vAlign w:val="top"/>
          </w:tcPr>
          <w:p>
            <w:pPr>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输尿管镜</w:t>
            </w:r>
          </w:p>
        </w:tc>
        <w:tc>
          <w:tcPr>
            <w:tcW w:w="2283"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8703.534</w:t>
            </w:r>
          </w:p>
        </w:tc>
        <w:tc>
          <w:tcPr>
            <w:tcW w:w="3542"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1100474654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11"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1663" w:type="dxa"/>
            <w:vAlign w:val="top"/>
          </w:tcPr>
          <w:p>
            <w:pPr>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输尿管镜</w:t>
            </w:r>
          </w:p>
        </w:tc>
        <w:tc>
          <w:tcPr>
            <w:tcW w:w="2283"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8703.534</w:t>
            </w:r>
          </w:p>
        </w:tc>
        <w:tc>
          <w:tcPr>
            <w:tcW w:w="3542"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1100474660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11"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c>
          <w:tcPr>
            <w:tcW w:w="1663" w:type="dxa"/>
            <w:vAlign w:val="top"/>
          </w:tcPr>
          <w:p>
            <w:pPr>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输尿管镜</w:t>
            </w:r>
          </w:p>
        </w:tc>
        <w:tc>
          <w:tcPr>
            <w:tcW w:w="2283"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8703.534</w:t>
            </w:r>
          </w:p>
        </w:tc>
        <w:tc>
          <w:tcPr>
            <w:tcW w:w="3542"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1100619277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1"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1663" w:type="dxa"/>
            <w:vAlign w:val="top"/>
          </w:tcPr>
          <w:p>
            <w:pPr>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输尿管镜</w:t>
            </w:r>
          </w:p>
        </w:tc>
        <w:tc>
          <w:tcPr>
            <w:tcW w:w="2283"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8703.534</w:t>
            </w:r>
          </w:p>
        </w:tc>
        <w:tc>
          <w:tcPr>
            <w:tcW w:w="3542"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1100619276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11"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1663" w:type="dxa"/>
            <w:vAlign w:val="top"/>
          </w:tcPr>
          <w:p>
            <w:pPr>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输尿管镜</w:t>
            </w:r>
          </w:p>
        </w:tc>
        <w:tc>
          <w:tcPr>
            <w:tcW w:w="2283"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8703.534</w:t>
            </w:r>
          </w:p>
        </w:tc>
        <w:tc>
          <w:tcPr>
            <w:tcW w:w="3542"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1100619264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1"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w:t>
            </w:r>
          </w:p>
        </w:tc>
        <w:tc>
          <w:tcPr>
            <w:tcW w:w="1663" w:type="dxa"/>
            <w:vAlign w:val="top"/>
          </w:tcPr>
          <w:p>
            <w:pPr>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输尿管镜</w:t>
            </w:r>
          </w:p>
        </w:tc>
        <w:tc>
          <w:tcPr>
            <w:tcW w:w="2283"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8703.534</w:t>
            </w:r>
          </w:p>
        </w:tc>
        <w:tc>
          <w:tcPr>
            <w:tcW w:w="3542"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1100785855</w:t>
            </w:r>
          </w:p>
        </w:tc>
      </w:tr>
    </w:tbl>
    <w:p>
      <w:pPr>
        <w:pStyle w:val="15"/>
        <w:jc w:val="center"/>
        <w:rPr>
          <w:rFonts w:hint="eastAsia" w:ascii="宋体" w:hAnsi="宋体" w:eastAsia="宋体" w:cs="宋体"/>
          <w:color w:val="FF000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cs="宋体"/>
          <w:b/>
          <w:bCs/>
          <w:kern w:val="2"/>
          <w:sz w:val="21"/>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cs="宋体"/>
          <w:b/>
          <w:bCs/>
          <w:kern w:val="2"/>
          <w:sz w:val="21"/>
          <w:szCs w:val="24"/>
          <w:lang w:val="en-US" w:eastAsia="zh-CN" w:bidi="ar-SA"/>
        </w:rPr>
      </w:pPr>
      <w:r>
        <w:rPr>
          <w:rFonts w:hint="eastAsia" w:ascii="宋体" w:hAnsi="宋体" w:cs="宋体"/>
          <w:b/>
          <w:bCs/>
          <w:kern w:val="2"/>
          <w:sz w:val="21"/>
          <w:szCs w:val="24"/>
          <w:lang w:val="en-US" w:eastAsia="zh-CN" w:bidi="ar-SA"/>
        </w:rPr>
        <w:t>三、技术要求：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1)承担硬镜类设备的维修保养任务，出具维修、保养检测报告，保修期内每年至少提供4次设备维护保养，包含但不限于如下项目：设备清洁、性能测试及校准、必要的电气环境检测等，使之保持原厂QC标准或国家质量监督部门的标准，并提供保养清单。</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2)</w:t>
      </w:r>
      <w:r>
        <w:rPr>
          <w:rFonts w:hint="default" w:ascii="宋体" w:hAnsi="宋体" w:cs="宋体"/>
          <w:kern w:val="2"/>
          <w:sz w:val="21"/>
          <w:szCs w:val="24"/>
          <w:lang w:val="en-US" w:eastAsia="zh-CN" w:bidi="ar-SA"/>
        </w:rPr>
        <w:tab/>
      </w:r>
      <w:r>
        <w:rPr>
          <w:rFonts w:hint="default" w:ascii="宋体" w:hAnsi="宋体" w:cs="宋体"/>
          <w:kern w:val="2"/>
          <w:sz w:val="21"/>
          <w:szCs w:val="24"/>
          <w:lang w:val="en-US" w:eastAsia="zh-CN" w:bidi="ar-SA"/>
        </w:rPr>
        <w:t>每次维修保养更换配件时需通知科室及医学装备部，且保修期最后一个月需三方人员（投标人、科室、医学装备部）在场对设备进行全面保养，在此过程中发现的问题，不论大小，一律彻底修复。每次都要做好维修、保养记录，并留存影像资料，设备的性能指标需满足临床诊断治疗要求和设备使用的安全性要求，并由三方共同签字确认。</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3)为本医院配置具备维修资质的固定工程师不少于2人，本设备维修经验不少于2年，需提供证明材料（培训证书）和承诺函。</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4)定期检查镜子的使用状态，图像、操作性、吸引管道、钳子管道等是否正常。</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5)</w:t>
      </w:r>
      <w:r>
        <w:rPr>
          <w:rFonts w:hint="default" w:ascii="宋体" w:hAnsi="宋体" w:cs="宋体"/>
          <w:kern w:val="2"/>
          <w:sz w:val="21"/>
          <w:szCs w:val="24"/>
          <w:lang w:val="en-US" w:eastAsia="zh-CN" w:bidi="ar-SA"/>
        </w:rPr>
        <w:tab/>
      </w:r>
      <w:r>
        <w:rPr>
          <w:rFonts w:hint="default" w:ascii="宋体" w:hAnsi="宋体" w:cs="宋体"/>
          <w:kern w:val="2"/>
          <w:sz w:val="21"/>
          <w:szCs w:val="24"/>
          <w:lang w:val="en-US" w:eastAsia="zh-CN" w:bidi="ar-SA"/>
        </w:rPr>
        <w:t>提供24小时远程技术支持及临床应用支持，签署由招标人提供的信息系统数据安全保密承诺书。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6）配件故障时免费维修。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7）紧急人工和工程师现场紧急维修服务</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8）提供ISO9001和13485质量认证证书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9）工程师需配备有专用工具，工程师的工具符合国家检测和校准的规定（提供相关校准证明）</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10） 对我院的维修工程师提供每年至少2人次的专业培训，并提供培训证明材料。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r>
        <w:rPr>
          <w:rFonts w:hint="default" w:ascii="宋体" w:hAnsi="宋体" w:cs="宋体"/>
          <w:kern w:val="2"/>
          <w:sz w:val="21"/>
          <w:szCs w:val="24"/>
          <w:lang w:val="en-US" w:eastAsia="zh-CN" w:bidi="ar-SA"/>
        </w:rPr>
        <w:t>11）每年制定临床使用人员的使用维护培训计划，按计划进行培训并提供记录。</w:t>
      </w:r>
    </w:p>
    <w:p>
      <w:pPr>
        <w:rPr>
          <w:rFonts w:hint="eastAsia"/>
          <w:b/>
          <w:bCs/>
          <w:color w:val="auto"/>
          <w:sz w:val="30"/>
          <w:szCs w:val="30"/>
          <w:highlight w:val="none"/>
        </w:rPr>
      </w:pPr>
    </w:p>
    <w:p>
      <w:pPr>
        <w:pStyle w:val="14"/>
        <w:keepNext w:val="0"/>
        <w:keepLines w:val="0"/>
        <w:pageBreakBefore w:val="0"/>
        <w:widowControl/>
        <w:kinsoku/>
        <w:wordWrap/>
        <w:overflowPunct/>
        <w:topLinePunct w:val="0"/>
        <w:autoSpaceDE/>
        <w:autoSpaceDN/>
        <w:bidi w:val="0"/>
        <w:adjustRightInd/>
        <w:snapToGrid w:val="0"/>
        <w:spacing w:beforeAutospacing="0" w:after="161" w:afterLines="50" w:afterAutospacing="0" w:line="240" w:lineRule="auto"/>
        <w:jc w:val="center"/>
        <w:textAlignment w:val="auto"/>
        <w:rPr>
          <w:b/>
          <w:bCs/>
          <w:color w:val="auto"/>
          <w:sz w:val="30"/>
          <w:szCs w:val="30"/>
          <w:highlight w:val="none"/>
        </w:rPr>
      </w:pPr>
      <w:r>
        <w:rPr>
          <w:rFonts w:hint="eastAsia"/>
          <w:b/>
          <w:bCs/>
          <w:color w:val="auto"/>
          <w:sz w:val="30"/>
          <w:szCs w:val="30"/>
          <w:highlight w:val="none"/>
        </w:rPr>
        <w:t>商务要求</w:t>
      </w:r>
    </w:p>
    <w:tbl>
      <w:tblPr>
        <w:tblStyle w:val="32"/>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自中标通知书发出之日起三十个日历日内。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服务地点</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服务期限</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维修响应时间</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default" w:ascii="宋体" w:hAnsi="宋体" w:cs="宋体"/>
                <w:kern w:val="2"/>
                <w:sz w:val="21"/>
                <w:szCs w:val="24"/>
                <w:lang w:val="en-US" w:eastAsia="zh-CN" w:bidi="ar-SA"/>
              </w:rPr>
              <w:t>20分钟内电话响应，2小时内工程师到达现场，一般故障24小时内维修完毕。如需外地专家支持，4小时内响应，24小时内到达现场。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eastAsia" w:ascii="宋体" w:hAnsi="宋体" w:eastAsia="宋体" w:cs="宋体"/>
                <w:color w:val="auto"/>
                <w:sz w:val="21"/>
                <w:szCs w:val="21"/>
                <w:highlight w:val="none"/>
                <w:lang w:val="en-US" w:eastAsia="zh-CN"/>
              </w:rPr>
            </w:pPr>
            <w:r>
              <w:rPr>
                <w:rFonts w:hint="default" w:ascii="宋体" w:hAnsi="宋体" w:cs="宋体"/>
                <w:kern w:val="2"/>
                <w:sz w:val="21"/>
                <w:szCs w:val="24"/>
                <w:lang w:val="en-US" w:eastAsia="zh-CN" w:bidi="ar-SA"/>
              </w:rPr>
              <w:t>周一至周日，7天24小时包括法定节假日</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（以采购人要求为准）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支付方式</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eastAsia" w:ascii="宋体" w:hAnsi="宋体" w:eastAsia="宋体" w:cs="宋体"/>
                <w:sz w:val="21"/>
                <w:szCs w:val="21"/>
                <w:lang w:val="en-US" w:eastAsia="zh-CN"/>
              </w:rPr>
            </w:pPr>
            <w:r>
              <w:rPr>
                <w:rFonts w:hint="default" w:ascii="宋体" w:hAnsi="宋体" w:cs="宋体"/>
                <w:kern w:val="2"/>
                <w:sz w:val="21"/>
                <w:szCs w:val="24"/>
                <w:lang w:val="en-US" w:eastAsia="zh-CN" w:bidi="ar-SA"/>
              </w:rPr>
              <w:t>先服务后付款，服务六个月之后支付50%合同款，服务期满后支付余下50%合同款。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售后技术服务要求、售后服务保障要求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中标人须提供后期服务保障和技术支持</w:t>
            </w:r>
            <w:r>
              <w:rPr>
                <w:rFonts w:hint="eastAsia" w:cs="宋体"/>
                <w:sz w:val="21"/>
                <w:szCs w:val="21"/>
                <w:lang w:val="en-US" w:eastAsia="zh-CN"/>
              </w:rPr>
              <w:t>，投标人保证我院保修的设备正常开机率大于95% （一年按365天计算），且单次维修不能超过1天，否则设备维修占用日期每增加一天，保修时间往后顺延七天</w:t>
            </w:r>
            <w:r>
              <w:rPr>
                <w:rFonts w:hint="eastAsia" w:ascii="宋体" w:hAnsi="宋体" w:eastAsia="宋体" w:cs="宋体"/>
                <w:sz w:val="21"/>
                <w:szCs w:val="21"/>
                <w:lang w:val="en-US" w:eastAsia="zh-CN"/>
              </w:rPr>
              <w:t>。</w:t>
            </w:r>
          </w:p>
        </w:tc>
      </w:tr>
    </w:tbl>
    <w:p>
      <w:pPr>
        <w:keepNext w:val="0"/>
        <w:keepLines w:val="0"/>
        <w:pageBreakBefore w:val="0"/>
        <w:widowControl w:val="0"/>
        <w:kinsoku/>
        <w:wordWrap/>
        <w:overflowPunct/>
        <w:topLinePunct w:val="0"/>
        <w:autoSpaceDE/>
        <w:autoSpaceDN/>
        <w:bidi w:val="0"/>
        <w:adjustRightInd/>
        <w:snapToGrid w:val="0"/>
        <w:spacing w:before="480" w:beforeLines="150" w:line="480" w:lineRule="auto"/>
        <w:jc w:val="center"/>
        <w:textAlignment w:val="auto"/>
        <w:rPr>
          <w:b/>
          <w:bCs/>
          <w:color w:val="auto"/>
          <w:sz w:val="30"/>
          <w:szCs w:val="30"/>
          <w:highlight w:val="none"/>
        </w:rPr>
      </w:pPr>
      <w:r>
        <w:rPr>
          <w:rFonts w:hint="eastAsia"/>
          <w:b/>
          <w:bCs/>
          <w:color w:val="auto"/>
          <w:sz w:val="30"/>
          <w:szCs w:val="30"/>
          <w:highlight w:val="none"/>
        </w:rPr>
        <w:t>采购人对项目的特殊要求及说明</w:t>
      </w:r>
    </w:p>
    <w:tbl>
      <w:tblPr>
        <w:tblStyle w:val="32"/>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1"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pPr>
            <w:r>
              <w:rPr>
                <w:rFonts w:hint="eastAsia"/>
              </w:rPr>
              <w:t>不接受联合体投标，不允许转包和分包。</w:t>
            </w:r>
          </w:p>
          <w:p>
            <w:pPr>
              <w:widowControl/>
              <w:snapToGrid w:val="0"/>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2、授权评标委员会确定一名中标人并推荐</w:t>
            </w:r>
            <w:r>
              <w:rPr>
                <w:rFonts w:hint="eastAsia" w:cs="Times New Roman"/>
                <w:lang w:val="en-US" w:eastAsia="zh-CN"/>
              </w:rPr>
              <w:t>一</w:t>
            </w:r>
            <w:r>
              <w:rPr>
                <w:rFonts w:hint="eastAsia" w:ascii="Times New Roman" w:hAnsi="Times New Roman" w:eastAsia="宋体" w:cs="Times New Roman"/>
                <w:lang w:val="en-US" w:eastAsia="zh-CN"/>
              </w:rPr>
              <w:t>名中标候选人。</w:t>
            </w:r>
          </w:p>
          <w:p>
            <w:pPr>
              <w:widowControl/>
              <w:snapToGrid w:val="0"/>
              <w:spacing w:line="360" w:lineRule="auto"/>
              <w:rPr>
                <w:rFonts w:hint="default" w:eastAsia="宋体"/>
                <w:lang w:val="en-US" w:eastAsia="zh-CN"/>
              </w:rPr>
            </w:pPr>
            <w:r>
              <w:rPr>
                <w:rFonts w:hint="eastAsia" w:ascii="Times New Roman" w:hAnsi="Times New Roman" w:eastAsia="宋体" w:cs="Times New Roman"/>
                <w:lang w:val="en-US" w:eastAsia="zh-CN"/>
              </w:rPr>
              <w:t>3、供应商应根据采购文件的要求提供技术响应</w:t>
            </w:r>
            <w:r>
              <w:rPr>
                <w:rFonts w:hint="eastAsia" w:cs="Times New Roman"/>
                <w:lang w:val="en-US" w:eastAsia="zh-CN"/>
              </w:rPr>
              <w:t>部分</w:t>
            </w:r>
            <w:r>
              <w:rPr>
                <w:rFonts w:hint="eastAsia" w:ascii="Times New Roman" w:hAnsi="Times New Roman" w:eastAsia="宋体" w:cs="Times New Roman"/>
                <w:lang w:val="en-US" w:eastAsia="zh-CN"/>
              </w:rPr>
              <w:t>、商务响应</w:t>
            </w:r>
            <w:r>
              <w:rPr>
                <w:rFonts w:hint="eastAsia" w:cs="Times New Roman"/>
                <w:lang w:val="en-US" w:eastAsia="zh-CN"/>
              </w:rPr>
              <w:t>部分</w:t>
            </w:r>
            <w:r>
              <w:rPr>
                <w:rFonts w:hint="eastAsia" w:ascii="Times New Roman" w:hAnsi="Times New Roman" w:eastAsia="宋体" w:cs="Times New Roman"/>
                <w:lang w:val="en-US" w:eastAsia="zh-CN"/>
              </w:rPr>
              <w:t>等内容以对采购文件作出响应。</w:t>
            </w:r>
          </w:p>
        </w:tc>
      </w:tr>
    </w:tbl>
    <w:p>
      <w:pPr>
        <w:rPr>
          <w:color w:val="auto"/>
          <w:highlight w:val="none"/>
        </w:rPr>
      </w:pPr>
    </w:p>
    <w:p>
      <w:pPr>
        <w:jc w:val="center"/>
        <w:rPr>
          <w:rFonts w:hint="eastAsia"/>
          <w:b/>
          <w:bCs/>
          <w:color w:val="auto"/>
          <w:sz w:val="32"/>
          <w:szCs w:val="32"/>
          <w:highlight w:val="none"/>
        </w:rPr>
      </w:pPr>
    </w:p>
    <w:p>
      <w:pPr>
        <w:rPr>
          <w:rFonts w:hint="eastAsia"/>
          <w:b/>
          <w:bCs/>
          <w:color w:val="auto"/>
          <w:sz w:val="32"/>
          <w:szCs w:val="32"/>
          <w:highlight w:val="none"/>
        </w:rPr>
      </w:pPr>
      <w:r>
        <w:rPr>
          <w:rFonts w:hint="eastAsia"/>
          <w:b/>
          <w:bCs/>
          <w:color w:val="auto"/>
          <w:sz w:val="32"/>
          <w:szCs w:val="32"/>
          <w:highlight w:val="none"/>
        </w:rPr>
        <w:br w:type="page"/>
      </w:r>
    </w:p>
    <w:p>
      <w:pPr>
        <w:jc w:val="center"/>
        <w:outlineLvl w:val="0"/>
        <w:rPr>
          <w:b/>
          <w:bCs/>
          <w:color w:val="auto"/>
          <w:sz w:val="32"/>
          <w:szCs w:val="32"/>
          <w:highlight w:val="none"/>
        </w:rPr>
      </w:pPr>
      <w:r>
        <w:rPr>
          <w:rFonts w:hint="eastAsia"/>
          <w:b/>
          <w:bCs/>
          <w:color w:val="auto"/>
          <w:sz w:val="32"/>
          <w:szCs w:val="32"/>
          <w:highlight w:val="none"/>
        </w:rPr>
        <w:t xml:space="preserve">第三章  </w:t>
      </w:r>
      <w:r>
        <w:rPr>
          <w:rFonts w:hint="eastAsia"/>
          <w:b/>
          <w:bCs/>
          <w:color w:val="auto"/>
          <w:sz w:val="32"/>
          <w:szCs w:val="32"/>
          <w:highlight w:val="none"/>
          <w:lang w:eastAsia="zh-CN"/>
        </w:rPr>
        <w:t>供应商</w:t>
      </w:r>
      <w:r>
        <w:rPr>
          <w:rFonts w:hint="eastAsia"/>
          <w:b/>
          <w:bCs/>
          <w:color w:val="auto"/>
          <w:sz w:val="32"/>
          <w:szCs w:val="32"/>
          <w:highlight w:val="none"/>
        </w:rPr>
        <w:t>须知</w:t>
      </w:r>
      <w:bookmarkEnd w:id="35"/>
    </w:p>
    <w:p>
      <w:pPr>
        <w:snapToGrid w:val="0"/>
        <w:spacing w:beforeLines="50" w:line="360" w:lineRule="auto"/>
        <w:jc w:val="center"/>
        <w:outlineLvl w:val="1"/>
        <w:rPr>
          <w:rFonts w:ascii="宋体" w:hAnsi="宋体"/>
          <w:color w:val="auto"/>
          <w:sz w:val="28"/>
          <w:szCs w:val="28"/>
          <w:highlight w:val="none"/>
        </w:rPr>
      </w:pPr>
      <w:r>
        <w:rPr>
          <w:rFonts w:hint="eastAsia" w:ascii="宋体" w:hAnsi="宋体"/>
          <w:color w:val="auto"/>
          <w:sz w:val="28"/>
          <w:szCs w:val="28"/>
          <w:highlight w:val="none"/>
          <w:lang w:eastAsia="zh-CN"/>
        </w:rPr>
        <w:t>供应商</w:t>
      </w:r>
      <w:r>
        <w:rPr>
          <w:rFonts w:hint="eastAsia" w:ascii="宋体" w:hAnsi="宋体"/>
          <w:color w:val="auto"/>
          <w:sz w:val="28"/>
          <w:szCs w:val="28"/>
          <w:highlight w:val="none"/>
        </w:rPr>
        <w:t>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rPr>
            </w:pPr>
            <w:r>
              <w:rPr>
                <w:rFonts w:hint="eastAsia"/>
                <w:color w:val="auto"/>
                <w:highlight w:val="none"/>
              </w:rPr>
              <w:t>1.1 项目名称：</w:t>
            </w:r>
            <w:r>
              <w:rPr>
                <w:rFonts w:hint="eastAsia" w:ascii="宋体" w:hAnsi="宋体" w:cs="宋体"/>
                <w:color w:val="auto"/>
                <w:szCs w:val="21"/>
                <w:highlight w:val="none"/>
                <w:shd w:val="clear" w:color="auto" w:fill="FFFFFF"/>
                <w:lang w:val="en-US" w:eastAsia="zh-CN"/>
              </w:rPr>
              <w:t>驻马店市中心医院经皮肾镜、输尿管镜等硬镜维保项目</w:t>
            </w:r>
          </w:p>
          <w:p>
            <w:pPr>
              <w:widowControl/>
              <w:snapToGrid w:val="0"/>
              <w:spacing w:line="440" w:lineRule="exact"/>
              <w:jc w:val="left"/>
              <w:outlineLvl w:val="0"/>
              <w:rPr>
                <w:rFonts w:hint="eastAsia"/>
                <w:color w:val="auto"/>
                <w:highlight w:val="none"/>
              </w:rPr>
            </w:pPr>
            <w:r>
              <w:rPr>
                <w:rFonts w:hint="eastAsia"/>
                <w:color w:val="auto"/>
                <w:highlight w:val="none"/>
              </w:rPr>
              <w:t>1.2 采购人名称：驻马店市中心医院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采购预算：</w:t>
            </w:r>
            <w:r>
              <w:rPr>
                <w:rFonts w:hint="eastAsia" w:ascii="宋体" w:hAnsi="宋体" w:cs="宋体"/>
                <w:color w:val="auto"/>
                <w:szCs w:val="21"/>
                <w:highlight w:val="none"/>
                <w:shd w:val="clear" w:color="auto" w:fill="FFFFFF"/>
                <w:lang w:val="en-US" w:eastAsia="zh-CN"/>
              </w:rPr>
              <w:t xml:space="preserve"> 23万元</w:t>
            </w:r>
            <w:r>
              <w:rPr>
                <w:rFonts w:hint="eastAsia" w:ascii="宋体" w:hAnsi="宋体" w:cs="宋体"/>
                <w:color w:val="auto"/>
                <w:kern w:val="0"/>
                <w:szCs w:val="21"/>
                <w:highlight w:val="none"/>
                <w:lang w:eastAsia="zh-CN"/>
              </w:rPr>
              <w:t>；</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w:t>
            </w:r>
            <w:r>
              <w:rPr>
                <w:rFonts w:hint="eastAsia" w:ascii="宋体" w:hAnsi="宋体" w:eastAsia="宋体" w:cs="宋体"/>
              </w:rPr>
              <w:t>：纸质投标文件正本1份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w:t>
            </w:r>
            <w:r>
              <w:rPr>
                <w:rFonts w:hint="eastAsia" w:ascii="宋体" w:hAnsi="宋体" w:cs="宋体"/>
                <w:color w:val="auto"/>
                <w:kern w:val="0"/>
                <w:szCs w:val="21"/>
                <w:highlight w:val="none"/>
                <w:lang w:val="en-US" w:eastAsia="zh-CN"/>
              </w:rPr>
              <w:t>一</w:t>
            </w:r>
            <w:r>
              <w:rPr>
                <w:rFonts w:hint="eastAsia" w:ascii="宋体" w:hAnsi="宋体" w:cs="宋体"/>
                <w:color w:val="auto"/>
                <w:kern w:val="0"/>
                <w:szCs w:val="21"/>
                <w:highlight w:val="none"/>
              </w:rPr>
              <w:t>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官网</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30日</w:t>
            </w:r>
            <w:r>
              <w:rPr>
                <w:rFonts w:hint="eastAsia" w:ascii="宋体" w:hAnsi="宋体" w:cs="宋体"/>
                <w:color w:val="auto"/>
                <w:kern w:val="0"/>
                <w:szCs w:val="21"/>
                <w:highlight w:val="none"/>
              </w:rPr>
              <w:t>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outlineLvl w:val="1"/>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000000" w:themeColor="text1"/>
          <w:kern w:val="0"/>
          <w:szCs w:val="21"/>
          <w:highlight w:val="none"/>
          <w14:textFill>
            <w14:solidFill>
              <w14:schemeClr w14:val="tx1"/>
            </w14:solidFill>
          </w14:textFill>
        </w:rPr>
        <w:t>公告中所叙述项目的</w:t>
      </w:r>
      <w:r>
        <w:rPr>
          <w:rFonts w:hint="eastAsia" w:ascii="宋体" w:hAnsi="宋体" w:eastAsia="宋体" w:cs="宋体"/>
          <w:color w:val="000000" w:themeColor="text1"/>
          <w:kern w:val="0"/>
          <w:szCs w:val="21"/>
          <w:highlight w:val="none"/>
          <w14:textFill>
            <w14:solidFill>
              <w14:schemeClr w14:val="tx1"/>
            </w14:solidFill>
          </w14:textFill>
        </w:rPr>
        <w:t>服务</w:t>
      </w:r>
      <w:r>
        <w:rPr>
          <w:rFonts w:hint="eastAsia" w:ascii="宋体" w:hAnsi="宋体" w:cs="宋体"/>
          <w:color w:val="000000" w:themeColor="text1"/>
          <w:kern w:val="0"/>
          <w:szCs w:val="21"/>
          <w:highlight w:val="none"/>
          <w14:textFill>
            <w14:solidFill>
              <w14:schemeClr w14:val="tx1"/>
            </w14:solidFill>
          </w14:textFill>
        </w:rPr>
        <w:t>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2.1 “采购人</w:t>
      </w:r>
      <w:r>
        <w:rPr>
          <w:rFonts w:hint="eastAsia" w:ascii="宋体" w:hAnsi="宋体" w:cs="宋体"/>
          <w:color w:val="000000" w:themeColor="text1"/>
          <w:kern w:val="0"/>
          <w:szCs w:val="21"/>
          <w:highlight w:val="none"/>
          <w14:textFill>
            <w14:solidFill>
              <w14:schemeClr w14:val="tx1"/>
            </w14:solidFill>
          </w14:textFill>
        </w:rPr>
        <w:t>”系指本次采购项目的业主方。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 “</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”系指</w:t>
      </w:r>
      <w:r>
        <w:rPr>
          <w:rFonts w:hint="eastAsia" w:ascii="宋体" w:hAnsi="宋体" w:cs="宋体"/>
          <w:color w:val="000000" w:themeColor="text1"/>
          <w:kern w:val="0"/>
          <w:szCs w:val="21"/>
          <w:highlight w:val="none"/>
          <w:lang w:val="en-US" w:eastAsia="zh-CN"/>
          <w14:textFill>
            <w14:solidFill>
              <w14:schemeClr w14:val="tx1"/>
            </w14:solidFill>
          </w14:textFill>
        </w:rPr>
        <w:t>领取</w:t>
      </w:r>
      <w:r>
        <w:rPr>
          <w:rFonts w:hint="eastAsia" w:ascii="宋体" w:hAnsi="宋体" w:cs="宋体"/>
          <w:color w:val="000000" w:themeColor="text1"/>
          <w:kern w:val="0"/>
          <w:szCs w:val="21"/>
          <w:highlight w:val="none"/>
          <w14:textFill>
            <w14:solidFill>
              <w14:schemeClr w14:val="tx1"/>
            </w14:solidFill>
          </w14:textFill>
        </w:rPr>
        <w:t>了本</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文件，且已经提交本次投标文件的</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2.3 “</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代表”系指代表</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参加本次</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活动的</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2.4 “服务”系指供应商按采购文件规定向采购人提供的一切工作内容。</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 xml:space="preserve"> 23万元</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最高投标限价</w:t>
      </w:r>
      <w:r>
        <w:rPr>
          <w:rFonts w:hint="eastAsia" w:ascii="宋体" w:hAnsi="宋体" w:cs="宋体"/>
          <w:b/>
          <w:bCs/>
          <w:color w:val="auto"/>
          <w:kern w:val="0"/>
          <w:szCs w:val="21"/>
          <w:highlight w:val="none"/>
          <w:lang w:val="en-US" w:eastAsia="zh-CN"/>
        </w:rPr>
        <w:t>23万元</w:t>
      </w:r>
      <w:r>
        <w:rPr>
          <w:rFonts w:hint="eastAsia" w:ascii="宋体" w:hAnsi="宋体" w:cs="宋体"/>
          <w:b/>
          <w:bCs/>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w:t>
      </w:r>
      <w:r>
        <w:rPr>
          <w:rFonts w:hint="eastAsia" w:ascii="宋体" w:hAnsi="宋体" w:cs="宋体"/>
          <w:b/>
          <w:bCs/>
          <w:color w:val="auto"/>
          <w:kern w:val="0"/>
          <w:szCs w:val="21"/>
          <w:highlight w:val="none"/>
          <w:lang w:eastAsia="zh-CN"/>
        </w:rPr>
        <w:t>供应商</w:t>
      </w:r>
      <w:r>
        <w:rPr>
          <w:rFonts w:hint="eastAsia" w:ascii="宋体" w:hAnsi="宋体" w:cs="宋体"/>
          <w:b/>
          <w:bCs/>
          <w:color w:val="auto"/>
          <w:kern w:val="0"/>
          <w:szCs w:val="21"/>
          <w:highlight w:val="none"/>
        </w:rPr>
        <w:t>应提交的证明文件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4.1 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4.2 供应商应提供2022年度经审计的财务报告或者其基本开户银行出具的资信证明；采购活动近三个月或上个季度任意一个月的依法缴纳税收的凭据；依法免税的供应商，应提供相应文件证明其依法免税。（新成立企业从成立之日起计算）；</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4.3 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4.4 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4.5 特定资格要求：供应商须具有医疗器械经营许可证，是在中华人民共和国境内注册的设备原制造厂商或原制造厂商授权的单位或具备相关设备维修能力的单位（提供证明文件）。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4.6 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9.1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代表只能接受一个</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w:t>
      </w:r>
      <w:r>
        <w:rPr>
          <w:rFonts w:hint="eastAsia" w:ascii="宋体" w:hAnsi="宋体" w:cs="宋体"/>
          <w:b/>
          <w:bCs/>
          <w:color w:val="auto"/>
          <w:kern w:val="0"/>
          <w:szCs w:val="21"/>
          <w:highlight w:val="none"/>
          <w:lang w:eastAsia="zh-CN"/>
        </w:rPr>
        <w:t>供应商</w:t>
      </w:r>
      <w:r>
        <w:rPr>
          <w:rFonts w:hint="eastAsia" w:ascii="宋体" w:hAnsi="宋体" w:cs="宋体"/>
          <w:b/>
          <w:bCs/>
          <w:color w:val="auto"/>
          <w:kern w:val="0"/>
          <w:szCs w:val="21"/>
          <w:highlight w:val="none"/>
        </w:rPr>
        <w:t>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通知所有潜在供应商</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14.1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资格要求、技术要求、商务要求和投标文件格式中对投标的要求），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14.2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公章。必要时评标委员会可以要求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报价明细表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、抵制商业贿赂承诺</w:t>
      </w:r>
    </w:p>
    <w:p>
      <w:pPr>
        <w:pStyle w:val="31"/>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w:t>
      </w:r>
      <w:r>
        <w:rPr>
          <w:rFonts w:hint="eastAsia"/>
          <w:color w:val="auto"/>
          <w:sz w:val="21"/>
          <w:szCs w:val="21"/>
          <w:highlight w:val="none"/>
          <w:lang w:val="en-US" w:eastAsia="zh-CN"/>
        </w:rPr>
        <w:t>9</w:t>
      </w:r>
      <w:r>
        <w:rPr>
          <w:rFonts w:hint="eastAsia"/>
          <w:color w:val="auto"/>
          <w:sz w:val="21"/>
          <w:szCs w:val="21"/>
          <w:highlight w:val="none"/>
        </w:rPr>
        <w:t>、</w:t>
      </w:r>
      <w:r>
        <w:rPr>
          <w:rFonts w:hint="eastAsia"/>
          <w:color w:val="auto"/>
          <w:sz w:val="21"/>
          <w:szCs w:val="21"/>
          <w:highlight w:val="none"/>
          <w:lang w:eastAsia="zh-CN"/>
        </w:rPr>
        <w:t>供应商</w:t>
      </w:r>
      <w:r>
        <w:rPr>
          <w:rFonts w:hint="eastAsia"/>
          <w:color w:val="auto"/>
          <w:sz w:val="21"/>
          <w:szCs w:val="21"/>
          <w:highlight w:val="none"/>
        </w:rPr>
        <w:t>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同意延长有效期，</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可以拒绝上述要求。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答复不明确或者逾期未答复的，均视为拒绝上述要求。对于接受该要求的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lang w:eastAsia="zh-CN"/>
        </w:rPr>
        <w:t>供应商</w:t>
      </w:r>
      <w:r>
        <w:rPr>
          <w:rFonts w:hint="eastAsia" w:ascii="宋体" w:hAnsi="宋体" w:cs="宋体"/>
          <w:color w:val="auto"/>
          <w:spacing w:val="10"/>
          <w:kern w:val="0"/>
          <w:szCs w:val="21"/>
          <w:highlight w:val="none"/>
        </w:rPr>
        <w:t>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r>
        <w:rPr>
          <w:rFonts w:hint="eastAsia" w:ascii="宋体" w:hAnsi="宋体" w:eastAsia="宋体" w:cs="宋体"/>
          <w:color w:val="000000" w:themeColor="text1"/>
          <w:kern w:val="0"/>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.2 投标文件应当对</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文件有关服务期、投标有效期、</w:t>
      </w:r>
      <w:r>
        <w:rPr>
          <w:rFonts w:hint="eastAsia" w:ascii="宋体" w:hAnsi="宋体" w:cs="宋体"/>
          <w:color w:val="000000" w:themeColor="text1"/>
          <w:kern w:val="0"/>
          <w:szCs w:val="21"/>
          <w:highlight w:val="none"/>
          <w:lang w:val="en-US" w:eastAsia="zh-CN"/>
          <w14:textFill>
            <w14:solidFill>
              <w14:schemeClr w14:val="tx1"/>
            </w14:solidFill>
          </w14:textFill>
        </w:rPr>
        <w:t>服务</w:t>
      </w:r>
      <w:r>
        <w:rPr>
          <w:rFonts w:hint="eastAsia" w:ascii="宋体" w:hAnsi="宋体" w:eastAsia="宋体" w:cs="宋体"/>
          <w:color w:val="000000" w:themeColor="text1"/>
          <w:kern w:val="0"/>
          <w:szCs w:val="21"/>
          <w:highlight w:val="none"/>
          <w14:textFill>
            <w14:solidFill>
              <w14:schemeClr w14:val="tx1"/>
            </w14:solidFill>
          </w14:textFill>
        </w:rPr>
        <w:t>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的法定代表人盖章或盖单位公章；投标文件应尽量避免涂改、行间插字或删除，如果出现上述情况，改动之处应加盖单位公章或由</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kinsoku/>
        <w:wordWrap/>
        <w:overflowPunct/>
        <w:topLinePunct w:val="0"/>
        <w:autoSpaceDE/>
        <w:autoSpaceDN/>
        <w:bidi w:val="0"/>
        <w:adjustRightInd/>
        <w:spacing w:line="360" w:lineRule="auto"/>
        <w:ind w:firstLine="424" w:firstLineChars="202"/>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21.1</w:t>
      </w:r>
      <w:r>
        <w:rPr>
          <w:color w:val="auto"/>
          <w:highlight w:val="none"/>
        </w:rPr>
        <w:t>响应文件应密封包装，并在封套的封口处加盖供应商单位章或由供应商的法定代表人（单位负责人）或其授权的代理人签字。</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highlight w:val="none"/>
          <w:lang w:eastAsia="zh-CN"/>
        </w:rPr>
      </w:pPr>
      <w:r>
        <w:rPr>
          <w:rFonts w:hint="eastAsia"/>
          <w:highlight w:val="none"/>
          <w:lang w:eastAsia="zh-CN"/>
        </w:rPr>
        <w:t>2</w:t>
      </w:r>
      <w:r>
        <w:rPr>
          <w:rFonts w:hint="eastAsia"/>
          <w:highlight w:val="none"/>
          <w:lang w:val="en-US" w:eastAsia="zh-CN"/>
        </w:rPr>
        <w:t>1</w:t>
      </w:r>
      <w:r>
        <w:rPr>
          <w:rFonts w:hint="eastAsia"/>
          <w:highlight w:val="none"/>
          <w:lang w:eastAsia="zh-CN"/>
        </w:rPr>
        <w:t>.3 未按本章第2</w:t>
      </w:r>
      <w:r>
        <w:rPr>
          <w:rFonts w:hint="eastAsia"/>
          <w:highlight w:val="none"/>
          <w:lang w:val="en-US" w:eastAsia="zh-CN"/>
        </w:rPr>
        <w:t>1</w:t>
      </w:r>
      <w:r>
        <w:rPr>
          <w:rFonts w:hint="eastAsia"/>
          <w:highlight w:val="none"/>
          <w:lang w:eastAsia="zh-CN"/>
        </w:rPr>
        <w:t>.1项或第2</w:t>
      </w:r>
      <w:r>
        <w:rPr>
          <w:rFonts w:hint="eastAsia"/>
          <w:highlight w:val="none"/>
          <w:lang w:val="en-US" w:eastAsia="zh-CN"/>
        </w:rPr>
        <w:t>1</w:t>
      </w:r>
      <w:r>
        <w:rPr>
          <w:rFonts w:hint="eastAsia"/>
          <w:highlight w:val="none"/>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 xml:space="preserve">.1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递交投标文件的地点：见</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须知前附表另有规定外，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23.1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 xml:space="preserve">23.2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在投标截止期后不得修改、撤回投标文件。</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outlineLvl w:val="1"/>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确认后产生约束力，</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w:t>
      </w:r>
      <w:r>
        <w:rPr>
          <w:rFonts w:hint="eastAsia" w:ascii="宋体" w:hAnsi="宋体"/>
          <w:color w:val="auto"/>
          <w:szCs w:val="21"/>
          <w:highlight w:val="none"/>
          <w:lang w:eastAsia="zh-CN"/>
        </w:rPr>
        <w:t>供应商</w:t>
      </w:r>
      <w:r>
        <w:rPr>
          <w:rFonts w:hint="eastAsia" w:ascii="宋体" w:hAnsi="宋体"/>
          <w:color w:val="auto"/>
          <w:szCs w:val="21"/>
          <w:highlight w:val="none"/>
        </w:rPr>
        <w:t>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w:t>
      </w:r>
      <w:r>
        <w:rPr>
          <w:rFonts w:hint="eastAsia" w:ascii="宋体" w:hAnsi="宋体"/>
          <w:color w:val="auto"/>
          <w:szCs w:val="21"/>
          <w:highlight w:val="none"/>
          <w:lang w:eastAsia="zh-CN"/>
        </w:rPr>
        <w:t>供应商</w:t>
      </w:r>
      <w:r>
        <w:rPr>
          <w:rFonts w:hint="eastAsia" w:ascii="宋体" w:hAnsi="宋体"/>
          <w:color w:val="auto"/>
          <w:szCs w:val="21"/>
          <w:highlight w:val="none"/>
        </w:rPr>
        <w:t>应提交的证明文件所述的资格标准对</w:t>
      </w:r>
      <w:r>
        <w:rPr>
          <w:rFonts w:hint="eastAsia" w:ascii="宋体" w:hAnsi="宋体"/>
          <w:color w:val="auto"/>
          <w:szCs w:val="21"/>
          <w:highlight w:val="none"/>
          <w:lang w:eastAsia="zh-CN"/>
        </w:rPr>
        <w:t>供应商</w:t>
      </w:r>
      <w:r>
        <w:rPr>
          <w:rFonts w:hint="eastAsia" w:ascii="宋体" w:hAnsi="宋体"/>
          <w:color w:val="auto"/>
          <w:szCs w:val="21"/>
          <w:highlight w:val="none"/>
        </w:rPr>
        <w:t>进行资格审查,以确定其是否具备投标资格。如果</w:t>
      </w:r>
      <w:r>
        <w:rPr>
          <w:rFonts w:hint="eastAsia" w:ascii="宋体" w:hAnsi="宋体"/>
          <w:color w:val="auto"/>
          <w:szCs w:val="21"/>
          <w:highlight w:val="none"/>
          <w:lang w:eastAsia="zh-CN"/>
        </w:rPr>
        <w:t>供应商</w:t>
      </w:r>
      <w:r>
        <w:rPr>
          <w:rFonts w:hint="eastAsia" w:ascii="宋体" w:hAnsi="宋体"/>
          <w:color w:val="auto"/>
          <w:szCs w:val="21"/>
          <w:highlight w:val="none"/>
        </w:rPr>
        <w:t>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应在规定的时限内提供。</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供应商</w:t>
      </w:r>
      <w:r>
        <w:rPr>
          <w:rFonts w:hint="eastAsia" w:ascii="宋体" w:hAnsi="宋体"/>
          <w:color w:val="auto"/>
          <w:szCs w:val="21"/>
          <w:highlight w:val="none"/>
        </w:rPr>
        <w:t>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w:t>
      </w:r>
      <w:r>
        <w:rPr>
          <w:rFonts w:hint="eastAsia" w:ascii="宋体" w:hAnsi="宋体"/>
          <w:color w:val="000000" w:themeColor="text1"/>
          <w:szCs w:val="21"/>
          <w:highlight w:val="none"/>
          <w14:textFill>
            <w14:solidFill>
              <w14:schemeClr w14:val="tx1"/>
            </w14:solidFill>
          </w14:textFill>
        </w:rPr>
        <w:t>有效期、</w:t>
      </w:r>
      <w:r>
        <w:rPr>
          <w:rFonts w:hint="eastAsia" w:ascii="宋体" w:hAnsi="宋体"/>
          <w:color w:val="000000" w:themeColor="text1"/>
          <w:szCs w:val="21"/>
          <w:highlight w:val="none"/>
          <w:lang w:val="en-US" w:eastAsia="zh-CN"/>
          <w14:textFill>
            <w14:solidFill>
              <w14:schemeClr w14:val="tx1"/>
            </w14:solidFill>
          </w14:textFill>
        </w:rPr>
        <w:t>合同履行期限</w:t>
      </w:r>
      <w:r>
        <w:rPr>
          <w:rFonts w:hint="eastAsia" w:ascii="宋体" w:hAnsi="宋体"/>
          <w:color w:val="auto"/>
          <w:szCs w:val="21"/>
          <w:highlight w:val="none"/>
        </w:rPr>
        <w:t>、</w:t>
      </w:r>
      <w:r>
        <w:rPr>
          <w:rFonts w:hint="eastAsia" w:ascii="宋体" w:hAnsi="宋体"/>
          <w:color w:val="auto"/>
          <w:szCs w:val="21"/>
          <w:highlight w:val="none"/>
          <w:lang w:eastAsia="zh-CN"/>
        </w:rPr>
        <w:t>质量</w:t>
      </w:r>
      <w:r>
        <w:rPr>
          <w:rFonts w:hint="eastAsia" w:ascii="宋体" w:hAnsi="宋体"/>
          <w:color w:val="auto"/>
          <w:szCs w:val="21"/>
          <w:highlight w:val="none"/>
        </w:rPr>
        <w:t>等</w:t>
      </w:r>
      <w:r>
        <w:rPr>
          <w:rFonts w:hint="eastAsia" w:ascii="宋体" w:hAnsi="宋体"/>
          <w:color w:val="000000" w:themeColor="text1"/>
          <w:szCs w:val="21"/>
          <w:highlight w:val="none"/>
          <w14:textFill>
            <w14:solidFill>
              <w14:schemeClr w14:val="tx1"/>
            </w14:solidFill>
          </w14:textFill>
        </w:rPr>
        <w:t>不</w:t>
      </w:r>
      <w:r>
        <w:rPr>
          <w:rFonts w:hint="eastAsia" w:ascii="宋体" w:hAnsi="宋体"/>
          <w:color w:val="auto"/>
          <w:szCs w:val="21"/>
          <w:highlight w:val="none"/>
        </w:rPr>
        <w:t>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有下列情形之一的，视为</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作出必要的澄清。</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的澄清应当在评标委员会规定的时间内以书面形式作出，由其</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代表签字。但澄清事项不得超出投标文件的范围，不得实质性改变投标文件的内容，不得通过澄清等方式对</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实行差别对待。评标委员会不得接受</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的报价明显低于其他通过符合性审查</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outlineLvl w:val="1"/>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36"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36"/>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w:t>
      </w:r>
      <w:r>
        <w:rPr>
          <w:rFonts w:hint="eastAsia" w:ascii="宋体" w:hAnsi="宋体" w:cs="宋体"/>
          <w:bCs/>
          <w:color w:val="auto"/>
          <w:kern w:val="0"/>
          <w:szCs w:val="21"/>
          <w:highlight w:val="none"/>
          <w:lang w:val="en-US" w:eastAsia="zh-CN"/>
        </w:rPr>
        <w:t>一</w:t>
      </w:r>
      <w:r>
        <w:rPr>
          <w:rFonts w:hint="eastAsia" w:ascii="宋体" w:hAnsi="宋体" w:cs="宋体"/>
          <w:bCs/>
          <w:color w:val="auto"/>
          <w:kern w:val="0"/>
          <w:szCs w:val="21"/>
          <w:highlight w:val="none"/>
        </w:rPr>
        <w:t>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w:t>
      </w: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w:t>
      </w: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不足3家或通过资格性检查或符合性检查的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37"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37"/>
    <w:p>
      <w:pPr>
        <w:rPr>
          <w:color w:val="auto"/>
          <w:highlight w:val="none"/>
        </w:rPr>
      </w:pPr>
      <w:bookmarkStart w:id="38" w:name="_Toc4700"/>
      <w:bookmarkStart w:id="39" w:name="_Toc16669"/>
      <w:r>
        <w:rPr>
          <w:color w:val="auto"/>
          <w:highlight w:val="none"/>
        </w:rPr>
        <w:br w:type="page"/>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0" w:name="_Toc9022"/>
      <w:r>
        <w:rPr>
          <w:rFonts w:hint="eastAsia" w:ascii="黑体" w:hAnsi="宋体" w:eastAsia="黑体" w:cs="宋体"/>
          <w:b/>
          <w:bCs/>
          <w:color w:val="auto"/>
          <w:kern w:val="0"/>
          <w:sz w:val="32"/>
          <w:szCs w:val="32"/>
          <w:highlight w:val="none"/>
        </w:rPr>
        <w:t>第四章  评标办法及评分标准</w:t>
      </w:r>
      <w:bookmarkEnd w:id="38"/>
      <w:bookmarkEnd w:id="40"/>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的投标报价明显低于其他投标报价，使其投标报价可能低于其个别成本的，评标委员会可对其质询，并要求该</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不能合理说明或提供证明材料的，评标委员会应按无效投标处理。</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39" w:type="dxa"/>
            <w:vMerge w:val="restart"/>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服务质量</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4</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1.服务能力的响应程度(</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0分）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完全满足招标文件第二章 采购需求 </w:t>
            </w:r>
            <w:r>
              <w:rPr>
                <w:rFonts w:hint="eastAsia" w:ascii="宋体" w:hAnsi="宋体" w:cs="宋体"/>
                <w:b w:val="0"/>
                <w:bCs w:val="0"/>
                <w:color w:val="auto"/>
                <w:sz w:val="21"/>
                <w:szCs w:val="21"/>
                <w:highlight w:val="none"/>
                <w:lang w:eastAsia="zh-CN"/>
              </w:rPr>
              <w:t>三</w:t>
            </w:r>
            <w:r>
              <w:rPr>
                <w:rFonts w:hint="eastAsia" w:ascii="宋体" w:hAnsi="宋体" w:eastAsia="宋体" w:cs="宋体"/>
                <w:b w:val="0"/>
                <w:bCs w:val="0"/>
                <w:color w:val="auto"/>
                <w:sz w:val="21"/>
                <w:szCs w:val="21"/>
                <w:highlight w:val="none"/>
              </w:rPr>
              <w:t>、技术要求”的得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0分；一项不满足扣</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得分为0，则投标无效。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实施计划</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制定的年度服务报告、维修报告、维保报告、巡查报告制度，设备常见故障分析及预防措施，设备维保应急响应方案。</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highlight w:val="yellow"/>
                <w:lang w:val="en-US" w:eastAsia="zh-CN"/>
              </w:rPr>
            </w:pPr>
            <w:r>
              <w:rPr>
                <w:rFonts w:hint="eastAsia" w:ascii="宋体" w:hAnsi="宋体" w:eastAsia="宋体" w:cs="宋体"/>
                <w:b w:val="0"/>
                <w:bCs w:val="0"/>
                <w:color w:val="auto"/>
                <w:sz w:val="21"/>
                <w:szCs w:val="21"/>
                <w:highlight w:val="none"/>
                <w:lang w:val="en-US" w:eastAsia="zh-CN"/>
              </w:rPr>
              <w:t>以上内容具体、完善、合理性程度强得1</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lang w:val="en-US" w:eastAsia="zh-CN"/>
              </w:rPr>
              <w:t>分，具体、完善、合理性程度一般得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分，具体、完善、合理性程度差得1-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restart"/>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1.服务团队</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lang w:val="en-US" w:eastAsia="zh-CN"/>
              </w:rPr>
            </w:pPr>
            <w:r>
              <w:rPr>
                <w:rFonts w:hint="eastAsia" w:ascii="宋体" w:hAnsi="宋体" w:eastAsia="宋体" w:cs="宋体"/>
                <w:lang w:val="en-US" w:eastAsia="zh-CN"/>
              </w:rPr>
              <w:t>服务团队组织结构合理，人员分工及职责明确、持证上岗。</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lang w:val="en-US" w:eastAsia="zh-CN"/>
              </w:rPr>
              <w:t>完全满足采购需求的得7-10分；基本满足的得4-6分；一般满足采购的得1-3分。缺项得0分。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2.类似业绩（4分）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lang w:val="en-US" w:eastAsia="zh-CN"/>
              </w:rPr>
            </w:pPr>
            <w:r>
              <w:rPr>
                <w:rFonts w:hint="eastAsia" w:ascii="宋体" w:hAnsi="宋体" w:cs="宋体"/>
                <w:lang w:val="en-US" w:eastAsia="zh-CN"/>
              </w:rPr>
              <w:t>供应商</w:t>
            </w:r>
            <w:r>
              <w:rPr>
                <w:rFonts w:hint="eastAsia" w:ascii="宋体" w:hAnsi="宋体" w:eastAsia="宋体" w:cs="宋体"/>
                <w:lang w:val="en-US" w:eastAsia="zh-CN"/>
              </w:rPr>
              <w:t>2020年1月1日具有的类似服务业绩(以合同文件为准），每提供一份得2分，最多得4分。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rPr>
            </w:pPr>
            <w:r>
              <w:rPr>
                <w:rFonts w:hint="eastAsia" w:ascii="宋体" w:hAnsi="宋体" w:cs="宋体"/>
                <w:lang w:eastAsia="zh-CN"/>
              </w:rPr>
              <w:t>供应商</w:t>
            </w:r>
            <w:r>
              <w:rPr>
                <w:rFonts w:hint="eastAsia" w:ascii="宋体" w:hAnsi="宋体" w:eastAsia="宋体" w:cs="宋体"/>
              </w:rPr>
              <w:t>服务网点设立情况（提供专业技术人员联系方式和服务站地址）、培训方案、服务及时率、服务到位程度及增值服务等；</w:t>
            </w:r>
          </w:p>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rPr>
            </w:pPr>
            <w:r>
              <w:rPr>
                <w:rFonts w:hint="eastAsia" w:ascii="宋体" w:hAnsi="宋体" w:eastAsia="宋体" w:cs="宋体"/>
              </w:rPr>
              <w:t>以上内容具体、完善、合理性程度强得</w:t>
            </w:r>
            <w:r>
              <w:rPr>
                <w:rFonts w:hint="eastAsia" w:ascii="宋体" w:hAnsi="宋体" w:cs="宋体"/>
                <w:lang w:val="en-US" w:eastAsia="zh-CN"/>
              </w:rPr>
              <w:t>8</w:t>
            </w:r>
            <w:r>
              <w:rPr>
                <w:rFonts w:hint="eastAsia" w:ascii="宋体" w:hAnsi="宋体" w:eastAsia="宋体" w:cs="宋体"/>
              </w:rPr>
              <w:t>-1</w:t>
            </w:r>
            <w:r>
              <w:rPr>
                <w:rFonts w:hint="eastAsia" w:ascii="宋体" w:hAnsi="宋体" w:cs="宋体"/>
                <w:lang w:val="en-US" w:eastAsia="zh-CN"/>
              </w:rPr>
              <w:t>1</w:t>
            </w:r>
            <w:r>
              <w:rPr>
                <w:rFonts w:hint="eastAsia" w:ascii="宋体" w:hAnsi="宋体" w:eastAsia="宋体" w:cs="宋体"/>
              </w:rPr>
              <w:t>分，具体、完善、合理性程度一般得</w:t>
            </w:r>
            <w:r>
              <w:rPr>
                <w:rFonts w:hint="eastAsia" w:ascii="宋体" w:hAnsi="宋体" w:cs="宋体"/>
                <w:lang w:val="en-US" w:eastAsia="zh-CN"/>
              </w:rPr>
              <w:t>4</w:t>
            </w:r>
            <w:r>
              <w:rPr>
                <w:rFonts w:hint="eastAsia" w:ascii="宋体" w:hAnsi="宋体" w:eastAsia="宋体" w:cs="宋体"/>
              </w:rPr>
              <w:t>-</w:t>
            </w:r>
            <w:r>
              <w:rPr>
                <w:rFonts w:hint="eastAsia" w:ascii="宋体" w:hAnsi="宋体" w:cs="宋体"/>
                <w:lang w:val="en-US" w:eastAsia="zh-CN"/>
              </w:rPr>
              <w:t>7</w:t>
            </w:r>
            <w:r>
              <w:rPr>
                <w:rFonts w:hint="eastAsia" w:ascii="宋体" w:hAnsi="宋体" w:eastAsia="宋体" w:cs="宋体"/>
              </w:rPr>
              <w:t>分，具体、完善、合理性程度差得1-</w:t>
            </w:r>
            <w:r>
              <w:rPr>
                <w:rFonts w:hint="eastAsia" w:ascii="宋体" w:hAnsi="宋体" w:cs="宋体"/>
                <w:lang w:val="en-US" w:eastAsia="zh-CN"/>
              </w:rPr>
              <w:t>3</w:t>
            </w:r>
            <w:r>
              <w:rPr>
                <w:rFonts w:hint="eastAsia" w:ascii="宋体" w:hAnsi="宋体" w:eastAsia="宋体" w:cs="宋体"/>
              </w:rPr>
              <w:t>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39"/>
    <w:p>
      <w:pPr>
        <w:rPr>
          <w:color w:val="auto"/>
          <w:highlight w:val="none"/>
        </w:rPr>
      </w:pPr>
      <w:bookmarkStart w:id="41" w:name="_Toc1947"/>
      <w:bookmarkStart w:id="42" w:name="_Toc1482"/>
      <w:bookmarkStart w:id="43" w:name="_Toc326786897"/>
      <w:bookmarkStart w:id="44" w:name="_Toc256519703"/>
    </w:p>
    <w:p>
      <w:pPr>
        <w:pStyle w:val="2"/>
        <w:snapToGrid w:val="0"/>
        <w:spacing w:before="0" w:after="0" w:line="480" w:lineRule="auto"/>
        <w:jc w:val="center"/>
        <w:rPr>
          <w:color w:val="auto"/>
          <w:sz w:val="28"/>
          <w:szCs w:val="28"/>
          <w:highlight w:val="yellow"/>
        </w:rPr>
      </w:pPr>
      <w:bookmarkStart w:id="45" w:name="_Toc28988"/>
      <w:r>
        <w:rPr>
          <w:rFonts w:hint="eastAsia"/>
          <w:color w:val="auto"/>
          <w:sz w:val="28"/>
          <w:szCs w:val="28"/>
          <w:highlight w:val="none"/>
        </w:rPr>
        <w:t>第五章  采购合同</w:t>
      </w:r>
      <w:bookmarkEnd w:id="45"/>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30"/>
      </w:pPr>
    </w:p>
    <w:p>
      <w:pPr>
        <w:pStyle w:val="2"/>
        <w:jc w:val="center"/>
        <w:rPr>
          <w:rFonts w:ascii="宋体" w:hAnsi="宋体" w:cs="宋体"/>
          <w:color w:val="auto"/>
          <w:kern w:val="0"/>
          <w:highlight w:val="none"/>
        </w:rPr>
      </w:pPr>
      <w:bookmarkStart w:id="46" w:name="_Toc2638"/>
      <w:r>
        <w:rPr>
          <w:rFonts w:hint="eastAsia"/>
          <w:color w:val="auto"/>
          <w:sz w:val="32"/>
          <w:szCs w:val="32"/>
          <w:highlight w:val="none"/>
        </w:rPr>
        <w:t>第六章  投标文件格式</w:t>
      </w:r>
      <w:bookmarkEnd w:id="41"/>
      <w:bookmarkEnd w:id="42"/>
      <w:bookmarkEnd w:id="46"/>
    </w:p>
    <w:p>
      <w:pPr>
        <w:spacing w:line="440" w:lineRule="exact"/>
        <w:rPr>
          <w:color w:val="auto"/>
          <w:sz w:val="24"/>
          <w:highlight w:val="none"/>
        </w:rPr>
      </w:pPr>
    </w:p>
    <w:p>
      <w:pPr>
        <w:jc w:val="center"/>
        <w:rPr>
          <w:b/>
          <w:bCs/>
          <w:color w:val="auto"/>
          <w:sz w:val="32"/>
          <w:szCs w:val="32"/>
          <w:highlight w:val="none"/>
        </w:rPr>
      </w:pPr>
      <w:bookmarkStart w:id="47" w:name="_Toc13604"/>
      <w:r>
        <w:rPr>
          <w:rFonts w:hint="eastAsia"/>
          <w:b/>
          <w:bCs/>
          <w:color w:val="auto"/>
          <w:sz w:val="32"/>
          <w:szCs w:val="32"/>
          <w:highlight w:val="none"/>
        </w:rPr>
        <w:t>目    录</w:t>
      </w:r>
      <w:bookmarkEnd w:id="47"/>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48" w:name="_Toc11308"/>
      <w:r>
        <w:rPr>
          <w:rFonts w:hint="eastAsia"/>
          <w:color w:val="auto"/>
          <w:sz w:val="24"/>
          <w:highlight w:val="none"/>
        </w:rPr>
        <w:t>附件1投标文件封面（格式）</w:t>
      </w:r>
      <w:bookmarkEnd w:id="48"/>
    </w:p>
    <w:p>
      <w:pPr>
        <w:snapToGrid w:val="0"/>
        <w:spacing w:line="360" w:lineRule="auto"/>
        <w:ind w:firstLine="480" w:firstLineChars="200"/>
        <w:rPr>
          <w:color w:val="auto"/>
          <w:sz w:val="24"/>
          <w:highlight w:val="none"/>
        </w:rPr>
      </w:pPr>
      <w:bookmarkStart w:id="49" w:name="_Toc25345"/>
      <w:r>
        <w:rPr>
          <w:rFonts w:hint="eastAsia"/>
          <w:color w:val="auto"/>
          <w:sz w:val="24"/>
          <w:highlight w:val="none"/>
        </w:rPr>
        <w:t>附件2 投标书（格式）</w:t>
      </w:r>
      <w:bookmarkEnd w:id="49"/>
    </w:p>
    <w:p>
      <w:pPr>
        <w:snapToGrid w:val="0"/>
        <w:spacing w:line="360" w:lineRule="auto"/>
        <w:ind w:firstLine="480" w:firstLineChars="200"/>
        <w:rPr>
          <w:color w:val="auto"/>
          <w:sz w:val="24"/>
          <w:highlight w:val="none"/>
        </w:rPr>
      </w:pPr>
      <w:bookmarkStart w:id="50" w:name="_Toc10217"/>
      <w:r>
        <w:rPr>
          <w:rFonts w:hint="eastAsia"/>
          <w:color w:val="auto"/>
          <w:sz w:val="24"/>
          <w:highlight w:val="none"/>
        </w:rPr>
        <w:t>附件3 开标一览表（格式）</w:t>
      </w:r>
      <w:bookmarkEnd w:id="50"/>
    </w:p>
    <w:p>
      <w:pPr>
        <w:snapToGrid w:val="0"/>
        <w:spacing w:line="360" w:lineRule="auto"/>
        <w:ind w:firstLine="480" w:firstLineChars="200"/>
        <w:rPr>
          <w:rFonts w:hint="default"/>
          <w:color w:val="auto"/>
          <w:sz w:val="24"/>
          <w:highlight w:val="none"/>
          <w:lang w:val="en-US"/>
        </w:rPr>
      </w:pPr>
      <w:bookmarkStart w:id="51" w:name="_Toc9579"/>
      <w:r>
        <w:rPr>
          <w:rFonts w:hint="eastAsia"/>
          <w:color w:val="auto"/>
          <w:sz w:val="24"/>
          <w:highlight w:val="none"/>
        </w:rPr>
        <w:t xml:space="preserve">附件4 </w:t>
      </w:r>
      <w:bookmarkEnd w:id="51"/>
      <w:r>
        <w:rPr>
          <w:rFonts w:hint="eastAsia"/>
          <w:color w:val="auto"/>
          <w:sz w:val="24"/>
          <w:highlight w:val="none"/>
          <w:lang w:val="en-US" w:eastAsia="zh-CN"/>
        </w:rPr>
        <w:t>报价明细表</w:t>
      </w:r>
    </w:p>
    <w:p>
      <w:pPr>
        <w:snapToGrid w:val="0"/>
        <w:spacing w:line="360" w:lineRule="auto"/>
        <w:ind w:firstLine="480" w:firstLineChars="200"/>
        <w:rPr>
          <w:color w:val="auto"/>
          <w:sz w:val="24"/>
          <w:highlight w:val="none"/>
        </w:rPr>
      </w:pPr>
      <w:bookmarkStart w:id="52" w:name="_Toc28392"/>
      <w:r>
        <w:rPr>
          <w:rFonts w:hint="eastAsia"/>
          <w:color w:val="auto"/>
          <w:sz w:val="24"/>
          <w:highlight w:val="none"/>
        </w:rPr>
        <w:t>附件5</w:t>
      </w:r>
      <w:r>
        <w:rPr>
          <w:rFonts w:hint="eastAsia"/>
          <w:color w:val="auto"/>
          <w:sz w:val="24"/>
          <w:highlight w:val="none"/>
          <w:lang w:val="en-US" w:eastAsia="zh-CN"/>
        </w:rPr>
        <w:t xml:space="preserve"> </w:t>
      </w:r>
      <w:r>
        <w:rPr>
          <w:rFonts w:hint="eastAsia"/>
          <w:color w:val="auto"/>
          <w:sz w:val="24"/>
          <w:highlight w:val="none"/>
        </w:rPr>
        <w:t>技术</w:t>
      </w:r>
      <w:r>
        <w:rPr>
          <w:rFonts w:hint="eastAsia"/>
          <w:color w:val="auto"/>
          <w:sz w:val="24"/>
          <w:highlight w:val="none"/>
          <w:lang w:val="en-US" w:eastAsia="zh-CN"/>
        </w:rPr>
        <w:t>部分</w:t>
      </w:r>
      <w:bookmarkEnd w:id="52"/>
    </w:p>
    <w:p>
      <w:pPr>
        <w:snapToGrid w:val="0"/>
        <w:spacing w:line="360" w:lineRule="auto"/>
        <w:ind w:firstLine="480" w:firstLineChars="200"/>
        <w:rPr>
          <w:rFonts w:hint="eastAsia" w:eastAsia="宋体"/>
          <w:color w:val="auto"/>
          <w:sz w:val="24"/>
          <w:highlight w:val="none"/>
          <w:lang w:val="en-US" w:eastAsia="zh-CN"/>
        </w:rPr>
      </w:pPr>
      <w:bookmarkStart w:id="53" w:name="_Toc6234"/>
      <w:r>
        <w:rPr>
          <w:rFonts w:hint="eastAsia"/>
          <w:color w:val="auto"/>
          <w:sz w:val="24"/>
          <w:highlight w:val="none"/>
        </w:rPr>
        <w:t>附件6 商务</w:t>
      </w:r>
      <w:bookmarkEnd w:id="53"/>
      <w:r>
        <w:rPr>
          <w:rFonts w:hint="eastAsia"/>
          <w:color w:val="auto"/>
          <w:sz w:val="24"/>
          <w:highlight w:val="none"/>
          <w:lang w:val="en-US" w:eastAsia="zh-CN"/>
        </w:rPr>
        <w:t>部分</w:t>
      </w:r>
    </w:p>
    <w:p>
      <w:pPr>
        <w:snapToGrid w:val="0"/>
        <w:spacing w:line="360" w:lineRule="auto"/>
        <w:ind w:firstLine="480" w:firstLineChars="200"/>
        <w:rPr>
          <w:color w:val="auto"/>
          <w:sz w:val="24"/>
          <w:highlight w:val="none"/>
        </w:rPr>
      </w:pPr>
      <w:bookmarkStart w:id="54"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4"/>
    </w:p>
    <w:p>
      <w:pPr>
        <w:snapToGrid w:val="0"/>
        <w:spacing w:line="360" w:lineRule="auto"/>
        <w:ind w:firstLine="480" w:firstLineChars="200"/>
        <w:rPr>
          <w:color w:val="auto"/>
          <w:sz w:val="24"/>
          <w:highlight w:val="none"/>
        </w:rPr>
      </w:pPr>
      <w:bookmarkStart w:id="55"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55"/>
    </w:p>
    <w:p>
      <w:pPr>
        <w:snapToGrid w:val="0"/>
        <w:spacing w:line="360" w:lineRule="auto"/>
        <w:ind w:firstLine="480" w:firstLineChars="200"/>
        <w:rPr>
          <w:color w:val="auto"/>
          <w:sz w:val="24"/>
          <w:highlight w:val="none"/>
        </w:rPr>
      </w:pPr>
      <w:bookmarkStart w:id="56" w:name="_Toc31857"/>
      <w:r>
        <w:rPr>
          <w:rFonts w:hint="eastAsia"/>
          <w:color w:val="auto"/>
          <w:sz w:val="24"/>
          <w:highlight w:val="none"/>
        </w:rPr>
        <w:t>附件9 证明文件</w:t>
      </w:r>
      <w:bookmarkEnd w:id="56"/>
    </w:p>
    <w:p>
      <w:pPr>
        <w:snapToGrid w:val="0"/>
        <w:spacing w:line="360" w:lineRule="auto"/>
        <w:ind w:firstLine="480" w:firstLineChars="200"/>
        <w:rPr>
          <w:rFonts w:hint="eastAsia"/>
          <w:color w:val="auto"/>
          <w:sz w:val="24"/>
          <w:highlight w:val="none"/>
        </w:rPr>
      </w:pPr>
      <w:bookmarkStart w:id="57" w:name="_Toc23116"/>
      <w:r>
        <w:rPr>
          <w:rFonts w:hint="eastAsia"/>
          <w:color w:val="auto"/>
          <w:sz w:val="24"/>
          <w:highlight w:val="none"/>
        </w:rPr>
        <w:t>附件10 供应商承诺书（格式）</w:t>
      </w:r>
      <w:bookmarkEnd w:id="57"/>
    </w:p>
    <w:p>
      <w:pPr>
        <w:snapToGrid w:val="0"/>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附件11 供应商信用承诺函（格式）</w:t>
      </w:r>
    </w:p>
    <w:p>
      <w:pPr>
        <w:pStyle w:val="30"/>
        <w:rPr>
          <w:rFonts w:hint="eastAsia"/>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3"/>
        <w:rPr>
          <w:rFonts w:ascii="宋体" w:hAnsi="宋体" w:cs="宋体"/>
          <w:b/>
          <w:bCs/>
          <w:color w:val="auto"/>
          <w:kern w:val="0"/>
          <w:sz w:val="24"/>
          <w:highlight w:val="none"/>
        </w:rPr>
      </w:pPr>
    </w:p>
    <w:p>
      <w:pPr>
        <w:pStyle w:val="4"/>
        <w:rPr>
          <w:rFonts w:hAnsi="宋体"/>
          <w:b/>
          <w:bCs/>
          <w:color w:val="auto"/>
          <w:highlight w:val="none"/>
        </w:rPr>
      </w:pPr>
    </w:p>
    <w:p>
      <w:pPr>
        <w:pStyle w:val="4"/>
        <w:rPr>
          <w:rFonts w:hAnsi="宋体"/>
          <w:b/>
          <w:bCs/>
          <w:color w:val="auto"/>
          <w:highlight w:val="none"/>
        </w:rPr>
      </w:pPr>
    </w:p>
    <w:p>
      <w:pPr>
        <w:rPr>
          <w:color w:val="auto"/>
          <w:highlight w:val="none"/>
        </w:rPr>
      </w:pPr>
      <w:r>
        <w:rPr>
          <w:rFonts w:hint="eastAsia"/>
          <w:color w:val="auto"/>
          <w:highlight w:val="none"/>
        </w:rPr>
        <w:br w:type="page"/>
      </w:r>
    </w:p>
    <w:p>
      <w:pPr>
        <w:pStyle w:val="25"/>
        <w:rPr>
          <w:color w:val="auto"/>
          <w:highlight w:val="none"/>
        </w:rPr>
      </w:pPr>
    </w:p>
    <w:p>
      <w:pPr>
        <w:pStyle w:val="6"/>
        <w:rPr>
          <w:color w:val="auto"/>
          <w:highlight w:val="none"/>
        </w:rPr>
      </w:pPr>
      <w:bookmarkStart w:id="58" w:name="_Toc31798"/>
      <w:bookmarkStart w:id="59" w:name="_Toc24743"/>
      <w:r>
        <w:rPr>
          <w:rFonts w:hint="eastAsia"/>
          <w:color w:val="auto"/>
          <w:highlight w:val="none"/>
        </w:rPr>
        <w:t>附件1               投标文件封面（格式）</w:t>
      </w:r>
      <w:bookmarkEnd w:id="58"/>
      <w:bookmarkEnd w:id="59"/>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w:t>
      </w:r>
      <w:r>
        <w:rPr>
          <w:rFonts w:hint="eastAsia" w:ascii="宋体" w:hAnsi="宋体" w:cs="宋体"/>
          <w:b/>
          <w:snapToGrid w:val="0"/>
          <w:color w:val="auto"/>
          <w:spacing w:val="0"/>
          <w:kern w:val="0"/>
          <w:sz w:val="44"/>
          <w:szCs w:val="44"/>
          <w:highlight w:val="none"/>
          <w:u w:val="none"/>
          <w:lang w:val="en-US" w:eastAsia="zh-CN"/>
        </w:rPr>
        <w:t>市</w:t>
      </w:r>
      <w:r>
        <w:rPr>
          <w:rFonts w:hint="eastAsia" w:ascii="宋体" w:hAnsi="宋体" w:eastAsia="宋体" w:cs="宋体"/>
          <w:b/>
          <w:snapToGrid w:val="0"/>
          <w:color w:val="auto"/>
          <w:spacing w:val="0"/>
          <w:kern w:val="0"/>
          <w:sz w:val="44"/>
          <w:szCs w:val="44"/>
          <w:highlight w:val="none"/>
          <w:u w:val="none"/>
          <w:lang w:val="en-US" w:eastAsia="zh-CN"/>
        </w:rPr>
        <w:t>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
        <w:spacing w:line="360" w:lineRule="auto"/>
        <w:rPr>
          <w:rFonts w:hint="eastAsia" w:ascii="宋体" w:hAnsi="宋体" w:eastAsia="宋体" w:cs="宋体"/>
          <w:color w:val="auto"/>
          <w:highlight w:val="none"/>
        </w:rPr>
      </w:pPr>
    </w:p>
    <w:p>
      <w:pPr>
        <w:pStyle w:val="4"/>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cs="宋体"/>
          <w:color w:val="auto"/>
          <w:sz w:val="28"/>
          <w:szCs w:val="28"/>
          <w:highlight w:val="none"/>
          <w:lang w:val="en-US" w:eastAsia="zh-CN"/>
        </w:rPr>
        <w:t>签字或</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3"/>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6"/>
        <w:rPr>
          <w:color w:val="auto"/>
          <w:highlight w:val="none"/>
        </w:rPr>
      </w:pPr>
      <w:bookmarkStart w:id="60" w:name="_Toc14560"/>
      <w:bookmarkStart w:id="61" w:name="_Toc8818"/>
      <w:r>
        <w:rPr>
          <w:rFonts w:hint="eastAsia"/>
          <w:color w:val="auto"/>
          <w:highlight w:val="none"/>
        </w:rPr>
        <w:t>附件2               投  标  书（格式）</w:t>
      </w:r>
      <w:bookmarkEnd w:id="60"/>
      <w:bookmarkEnd w:id="61"/>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u w:val="single"/>
          <w:lang w:eastAsia="zh-CN"/>
        </w:rPr>
        <w:t>供应商</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w:t>
      </w:r>
      <w:r>
        <w:rPr>
          <w:rFonts w:hint="eastAsia" w:ascii="宋体" w:hAnsi="宋体" w:cs="宋体"/>
          <w:color w:val="auto"/>
          <w:kern w:val="0"/>
          <w:szCs w:val="21"/>
          <w:highlight w:val="none"/>
          <w:u w:val="single"/>
          <w:lang w:val="en-US" w:eastAsia="zh-CN"/>
        </w:rPr>
        <w:t xml:space="preserve"> 30  </w:t>
      </w:r>
      <w:r>
        <w:rPr>
          <w:rFonts w:hint="eastAsia" w:ascii="宋体" w:hAnsi="宋体" w:cs="宋体"/>
          <w:color w:val="auto"/>
          <w:kern w:val="0"/>
          <w:szCs w:val="21"/>
          <w:highlight w:val="none"/>
        </w:rPr>
        <w:t>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代表签字</w:t>
      </w:r>
      <w:r>
        <w:rPr>
          <w:rFonts w:hint="eastAsia" w:ascii="宋体" w:hAnsi="宋体" w:cs="宋体"/>
          <w:color w:val="auto"/>
          <w:kern w:val="0"/>
          <w:szCs w:val="21"/>
          <w:highlight w:val="none"/>
          <w:lang w:val="en-US" w:eastAsia="zh-CN"/>
        </w:rPr>
        <w:t>或盖章</w:t>
      </w:r>
      <w:r>
        <w:rPr>
          <w:rFonts w:hint="eastAsia" w:ascii="宋体" w:hAnsi="宋体" w:cs="宋体"/>
          <w:color w:val="auto"/>
          <w:kern w:val="0"/>
          <w:szCs w:val="21"/>
          <w:highlight w:val="none"/>
        </w:rPr>
        <w:t xml:space="preserve">：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6"/>
        <w:spacing w:before="20" w:after="20"/>
        <w:rPr>
          <w:color w:val="auto"/>
          <w:highlight w:val="none"/>
        </w:rPr>
      </w:pPr>
      <w:bookmarkStart w:id="62" w:name="_Toc7838"/>
      <w:r>
        <w:rPr>
          <w:rFonts w:hint="eastAsia"/>
          <w:color w:val="auto"/>
          <w:highlight w:val="none"/>
        </w:rPr>
        <w:t>附件3               开标一览表</w:t>
      </w:r>
      <w:bookmarkEnd w:id="62"/>
    </w:p>
    <w:p>
      <w:pPr>
        <w:spacing w:line="239" w:lineRule="auto"/>
        <w:jc w:val="right"/>
        <w:rPr>
          <w:rFonts w:hint="default" w:ascii="宋体" w:hAnsi="宋体"/>
          <w:color w:val="auto"/>
          <w:sz w:val="24"/>
          <w:highlight w:val="none"/>
          <w:lang w:val="en-US"/>
        </w:rPr>
      </w:pPr>
      <w:r>
        <w:rPr>
          <w:rFonts w:ascii="宋体" w:hAnsi="宋体"/>
          <w:color w:val="auto"/>
          <w:sz w:val="24"/>
          <w:highlight w:val="none"/>
        </w:rPr>
        <w:t>单位：人民币</w:t>
      </w:r>
      <w:r>
        <w:rPr>
          <w:rFonts w:hint="eastAsia"/>
          <w:sz w:val="24"/>
          <w:lang w:val="en-US" w:eastAsia="zh-CN"/>
        </w:rPr>
        <w:t>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 xml:space="preserve">大写：        </w:t>
            </w:r>
          </w:p>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小写：       </w:t>
            </w:r>
            <w:r>
              <w:rPr>
                <w:rFonts w:hint="eastAsia" w:ascii="宋体" w:hAnsi="宋体"/>
                <w:color w:val="auto"/>
                <w:sz w:val="21"/>
                <w:szCs w:val="21"/>
                <w:highlight w:val="none"/>
                <w:lang w:val="en-US" w:eastAsia="zh-CN"/>
              </w:rPr>
              <w:t xml:space="preserve"> </w:t>
            </w:r>
            <w:r>
              <w:rPr>
                <w:rFonts w:hint="eastAsia"/>
                <w:sz w:val="21"/>
                <w:szCs w:val="21"/>
                <w:lang w:val="en-US" w:eastAsia="zh-CN"/>
              </w:rPr>
              <w:t>元</w:t>
            </w:r>
            <w:r>
              <w:rPr>
                <w:rFonts w:hint="eastAsia" w:ascii="宋体" w:hAnsi="宋体"/>
                <w:color w:val="auto"/>
                <w:szCs w:val="21"/>
                <w:highlight w:val="none"/>
                <w:lang w:val="en-US" w:eastAsia="zh-CN"/>
              </w:rPr>
              <w:t>（详见报价明细表）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服务期限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eastAsia" w:ascii="宋体" w:hAnsi="宋体" w:eastAsia="宋体"/>
                <w:color w:val="auto"/>
                <w:szCs w:val="21"/>
                <w:highlight w:val="none"/>
                <w:lang w:eastAsia="zh-CN"/>
              </w:rPr>
            </w:pPr>
            <w:r>
              <w:rPr>
                <w:rFonts w:hint="eastAsia" w:ascii="宋体" w:hAnsi="宋体"/>
                <w:color w:val="000000" w:themeColor="text1"/>
                <w:szCs w:val="21"/>
                <w:highlight w:val="none"/>
                <w:lang w:val="en-US" w:eastAsia="zh-CN"/>
                <w14:textFill>
                  <w14:solidFill>
                    <w14:schemeClr w14:val="tx1"/>
                  </w14:solidFill>
                </w14:textFill>
              </w:rPr>
              <w:t>服务质量</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20"/>
              <w:ind w:left="0" w:leftChars="0"/>
              <w:rPr>
                <w:color w:val="auto"/>
                <w:sz w:val="21"/>
                <w:szCs w:val="21"/>
                <w:highlight w:val="none"/>
              </w:rPr>
            </w:pPr>
          </w:p>
        </w:tc>
      </w:tr>
    </w:tbl>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color w:val="auto"/>
          <w:highlight w:val="non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按格式填列，不得自行更改。否则引起的不利后果由</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承担。</w:t>
      </w:r>
    </w:p>
    <w:p>
      <w:pPr>
        <w:spacing w:line="360" w:lineRule="auto"/>
        <w:ind w:firstLine="420" w:firstLineChars="200"/>
        <w:jc w:val="center"/>
        <w:rPr>
          <w:rFonts w:ascii="宋体" w:hAnsi="宋体"/>
          <w:color w:val="auto"/>
          <w:szCs w:val="21"/>
          <w:highlight w:val="none"/>
        </w:rPr>
      </w:pPr>
      <w:bookmarkStart w:id="63" w:name="_Toc20877"/>
      <w:bookmarkStart w:id="64" w:name="_Toc11620"/>
      <w:r>
        <w:rPr>
          <w:rFonts w:hint="eastAsia" w:ascii="宋体" w:hAnsi="宋体"/>
          <w:color w:val="auto"/>
          <w:szCs w:val="21"/>
          <w:highlight w:val="none"/>
          <w:lang w:eastAsia="zh-CN"/>
        </w:rPr>
        <w:t>供应商</w:t>
      </w:r>
      <w:r>
        <w:rPr>
          <w:rFonts w:hint="eastAsia" w:ascii="宋体" w:hAnsi="宋体"/>
          <w:color w:val="auto"/>
          <w:szCs w:val="21"/>
          <w:highlight w:val="none"/>
        </w:rPr>
        <w:t>（全称并加盖公章）：</w:t>
      </w:r>
      <w:bookmarkEnd w:id="63"/>
      <w:bookmarkEnd w:id="64"/>
    </w:p>
    <w:p>
      <w:pPr>
        <w:spacing w:line="360" w:lineRule="auto"/>
        <w:ind w:firstLine="420" w:firstLineChars="200"/>
        <w:jc w:val="center"/>
        <w:rPr>
          <w:rFonts w:ascii="宋体" w:hAnsi="宋体"/>
          <w:color w:val="auto"/>
          <w:szCs w:val="21"/>
          <w:highlight w:val="none"/>
          <w:u w:val="single"/>
        </w:rPr>
      </w:pPr>
      <w:bookmarkStart w:id="65" w:name="_Toc12222"/>
      <w:bookmarkStart w:id="66" w:name="_Toc625"/>
      <w:r>
        <w:rPr>
          <w:rFonts w:hint="eastAsia" w:ascii="宋体" w:hAnsi="宋体"/>
          <w:color w:val="auto"/>
          <w:szCs w:val="21"/>
          <w:highlight w:val="none"/>
        </w:rPr>
        <w:t>法定代表人或其委托代理人（签字</w:t>
      </w:r>
      <w:r>
        <w:rPr>
          <w:rFonts w:hint="eastAsia" w:ascii="宋体" w:hAnsi="宋体" w:cs="宋体"/>
          <w:color w:val="auto"/>
          <w:kern w:val="0"/>
          <w:szCs w:val="21"/>
          <w:highlight w:val="none"/>
          <w:lang w:val="en-US" w:eastAsia="zh-CN"/>
        </w:rPr>
        <w:t>或盖章</w:t>
      </w:r>
      <w:r>
        <w:rPr>
          <w:rFonts w:hint="eastAsia" w:ascii="宋体" w:hAnsi="宋体"/>
          <w:color w:val="auto"/>
          <w:szCs w:val="21"/>
          <w:highlight w:val="none"/>
        </w:rPr>
        <w:t>）：</w:t>
      </w:r>
      <w:bookmarkEnd w:id="65"/>
      <w:bookmarkEnd w:id="66"/>
    </w:p>
    <w:p>
      <w:pPr>
        <w:jc w:val="center"/>
        <w:rPr>
          <w:rFonts w:ascii="宋体" w:hAnsi="宋体"/>
          <w:color w:val="auto"/>
          <w:szCs w:val="21"/>
          <w:highlight w:val="none"/>
        </w:rPr>
      </w:pPr>
    </w:p>
    <w:p>
      <w:pPr>
        <w:spacing w:line="360" w:lineRule="auto"/>
        <w:ind w:firstLine="420" w:firstLineChars="200"/>
        <w:jc w:val="center"/>
        <w:rPr>
          <w:color w:val="auto"/>
          <w:highlight w:val="none"/>
        </w:rPr>
      </w:pPr>
      <w:bookmarkStart w:id="67" w:name="_Toc9950"/>
      <w:bookmarkStart w:id="68" w:name="_Toc1330"/>
      <w:r>
        <w:rPr>
          <w:rFonts w:hint="eastAsia" w:ascii="宋体" w:hAnsi="宋体"/>
          <w:color w:val="auto"/>
          <w:szCs w:val="21"/>
          <w:highlight w:val="none"/>
        </w:rPr>
        <w:t>年  月  日</w:t>
      </w:r>
      <w:bookmarkEnd w:id="67"/>
      <w:bookmarkEnd w:id="68"/>
    </w:p>
    <w:p>
      <w:pPr>
        <w:rPr>
          <w:color w:val="auto"/>
          <w:highlight w:val="none"/>
        </w:rPr>
      </w:pPr>
    </w:p>
    <w:bookmarkEnd w:id="43"/>
    <w:bookmarkEnd w:id="44"/>
    <w:p>
      <w:pPr>
        <w:spacing w:before="20" w:after="20"/>
        <w:outlineLvl w:val="9"/>
        <w:rPr>
          <w:rFonts w:hint="eastAsia" w:eastAsia="黑体"/>
          <w:color w:val="000000" w:themeColor="text1"/>
          <w:highlight w:val="none"/>
          <w:lang w:eastAsia="zh-CN"/>
          <w14:textFill>
            <w14:solidFill>
              <w14:schemeClr w14:val="tx1"/>
            </w14:solidFill>
          </w14:textFill>
        </w:rPr>
      </w:pPr>
      <w:bookmarkStart w:id="69" w:name="_Toc24984"/>
      <w:bookmarkStart w:id="70" w:name="_Toc22004"/>
    </w:p>
    <w:p>
      <w:pPr>
        <w:outlineLvl w:val="9"/>
        <w:rPr>
          <w:rFonts w:hint="eastAsia"/>
          <w:lang w:eastAsia="zh-CN"/>
        </w:rPr>
      </w:pP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pStyle w:val="6"/>
        <w:spacing w:before="20" w:after="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附件4               </w:t>
      </w:r>
      <w:bookmarkEnd w:id="69"/>
      <w:bookmarkEnd w:id="70"/>
      <w:r>
        <w:rPr>
          <w:rFonts w:hint="eastAsia"/>
          <w:color w:val="000000" w:themeColor="text1"/>
          <w:highlight w:val="none"/>
          <w14:textFill>
            <w14:solidFill>
              <w14:schemeClr w14:val="tx1"/>
            </w14:solidFill>
          </w14:textFill>
        </w:rPr>
        <w:t>报价明细表</w:t>
      </w:r>
    </w:p>
    <w:p>
      <w:pPr>
        <w:widowControl/>
        <w:wordWrap w:val="0"/>
        <w:snapToGrid w:val="0"/>
        <w:spacing w:before="50" w:after="50"/>
        <w:ind w:left="88" w:leftChars="42" w:right="-817" w:rightChars="-389" w:firstLine="4161" w:firstLineChars="1734"/>
        <w:jc w:val="left"/>
        <w:rPr>
          <w:rFonts w:ascii="宋体" w:hAnsi="宋体"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金额单位：人民币（元）</w:t>
      </w:r>
    </w:p>
    <w:tbl>
      <w:tblPr>
        <w:tblStyle w:val="32"/>
        <w:tblW w:w="9205" w:type="dxa"/>
        <w:tblInd w:w="1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017"/>
        <w:gridCol w:w="1516"/>
        <w:gridCol w:w="1541"/>
        <w:gridCol w:w="1198"/>
        <w:gridCol w:w="1117"/>
        <w:gridCol w:w="9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0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201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名称</w:t>
            </w:r>
          </w:p>
        </w:tc>
        <w:tc>
          <w:tcPr>
            <w:tcW w:w="151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单位</w:t>
            </w:r>
          </w:p>
        </w:tc>
        <w:tc>
          <w:tcPr>
            <w:tcW w:w="1541"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数量</w:t>
            </w:r>
          </w:p>
        </w:tc>
        <w:tc>
          <w:tcPr>
            <w:tcW w:w="1198"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单价</w:t>
            </w:r>
          </w:p>
        </w:tc>
        <w:tc>
          <w:tcPr>
            <w:tcW w:w="111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金额</w:t>
            </w:r>
          </w:p>
        </w:tc>
        <w:tc>
          <w:tcPr>
            <w:tcW w:w="91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 xml:space="preserve">…… </w:t>
            </w: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172" w:type="dxa"/>
            <w:gridSpan w:val="5"/>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投标</w:t>
            </w:r>
            <w:r>
              <w:rPr>
                <w:rFonts w:hint="eastAsia" w:ascii="宋体" w:hAnsi="宋体" w:cs="宋体"/>
                <w:color w:val="000000" w:themeColor="text1"/>
                <w:spacing w:val="20"/>
                <w:kern w:val="0"/>
                <w:sz w:val="24"/>
                <w:highlight w:val="none"/>
                <w:lang w:val="en-US" w:eastAsia="zh-CN"/>
                <w14:textFill>
                  <w14:solidFill>
                    <w14:schemeClr w14:val="tx1"/>
                  </w14:solidFill>
                </w14:textFill>
              </w:rPr>
              <w:t>总</w:t>
            </w:r>
            <w:r>
              <w:rPr>
                <w:rFonts w:hint="eastAsia" w:ascii="宋体" w:hAnsi="宋体" w:cs="宋体"/>
                <w:color w:val="000000" w:themeColor="text1"/>
                <w:spacing w:val="20"/>
                <w:kern w:val="0"/>
                <w:sz w:val="24"/>
                <w:highlight w:val="none"/>
                <w14:textFill>
                  <w14:solidFill>
                    <w14:schemeClr w14:val="tx1"/>
                  </w14:solidFill>
                </w14:textFill>
              </w:rPr>
              <w:t>价(</w:t>
            </w:r>
            <w:r>
              <w:rPr>
                <w:rFonts w:hint="eastAsia" w:ascii="宋体" w:hAnsi="宋体" w:cs="宋体"/>
                <w:color w:val="000000" w:themeColor="text1"/>
                <w:kern w:val="0"/>
                <w:sz w:val="24"/>
                <w:szCs w:val="21"/>
                <w:highlight w:val="none"/>
                <w14:textFill>
                  <w14:solidFill>
                    <w14:schemeClr w14:val="tx1"/>
                  </w14:solidFill>
                </w14:textFill>
              </w:rPr>
              <w:t>大写)：</w:t>
            </w:r>
          </w:p>
        </w:tc>
        <w:tc>
          <w:tcPr>
            <w:tcW w:w="1117"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szCs w:val="21"/>
                <w:highlight w:val="none"/>
                <w14:textFill>
                  <w14:solidFill>
                    <w14:schemeClr w14:val="tx1"/>
                  </w14:solidFill>
                </w14:textFill>
              </w:rPr>
              <w:t>￥</w:t>
            </w:r>
          </w:p>
        </w:tc>
        <w:tc>
          <w:tcPr>
            <w:tcW w:w="916"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000000" w:themeColor="text1"/>
                <w:kern w:val="0"/>
                <w:sz w:val="24"/>
                <w:szCs w:val="21"/>
                <w:highlight w:val="none"/>
                <w14:textFill>
                  <w14:solidFill>
                    <w14:schemeClr w14:val="tx1"/>
                  </w14:solidFill>
                </w14:textFill>
              </w:rPr>
            </w:pP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shd w:val="clear" w:color="auto" w:fill="FFFFFF"/>
        <w:spacing w:line="360" w:lineRule="auto"/>
        <w:ind w:left="1418" w:hanging="567"/>
        <w:jc w:val="both"/>
        <w:rPr>
          <w:rFonts w:hint="eastAsia" w:ascii="宋体" w:hAnsi="宋体" w:cs="宋体"/>
          <w:color w:val="auto"/>
          <w:kern w:val="0"/>
          <w:sz w:val="24"/>
        </w:rPr>
      </w:pPr>
    </w:p>
    <w:p>
      <w:pPr>
        <w:pStyle w:val="30"/>
        <w:rPr>
          <w:rFonts w:hint="eastAsia"/>
        </w:rPr>
      </w:pPr>
    </w:p>
    <w:p>
      <w:pPr>
        <w:widowControl/>
        <w:shd w:val="clear" w:color="auto" w:fill="FFFFFF"/>
        <w:spacing w:line="360" w:lineRule="auto"/>
        <w:ind w:left="1418" w:hanging="567"/>
        <w:jc w:val="both"/>
        <w:rPr>
          <w:rFonts w:hint="eastAsia" w:ascii="宋体" w:hAnsi="宋体" w:cs="宋体"/>
          <w:color w:val="auto"/>
          <w:kern w:val="0"/>
          <w:sz w:val="24"/>
        </w:rPr>
      </w:pPr>
      <w:r>
        <w:rPr>
          <w:rFonts w:hint="eastAsia" w:ascii="宋体" w:hAnsi="宋体" w:cs="宋体"/>
          <w:color w:val="auto"/>
          <w:kern w:val="0"/>
          <w:sz w:val="24"/>
        </w:rPr>
        <w:t>供应商法定代表人</w:t>
      </w:r>
      <w:r>
        <w:rPr>
          <w:rFonts w:hint="eastAsia" w:ascii="宋体" w:hAnsi="宋体" w:cs="宋体"/>
          <w:color w:val="auto"/>
          <w:kern w:val="0"/>
          <w:sz w:val="24"/>
          <w:lang w:eastAsia="zh-CN"/>
        </w:rPr>
        <w:t>或</w:t>
      </w:r>
      <w:r>
        <w:rPr>
          <w:rFonts w:hint="eastAsia" w:ascii="宋体" w:hAnsi="宋体" w:cs="宋体"/>
          <w:color w:val="auto"/>
          <w:kern w:val="0"/>
          <w:sz w:val="24"/>
        </w:rPr>
        <w:t>其授权代表签字：</w:t>
      </w:r>
      <w:r>
        <w:rPr>
          <w:rFonts w:hint="eastAsia" w:ascii="宋体" w:hAnsi="宋体" w:cs="宋体"/>
          <w:color w:val="auto"/>
          <w:kern w:val="0"/>
          <w:sz w:val="24"/>
          <w:u w:val="single"/>
        </w:rPr>
        <w:t xml:space="preserve">              </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rPr>
        <w:t xml:space="preserve">              供应商名称： </w:t>
      </w:r>
      <w:r>
        <w:rPr>
          <w:rFonts w:hint="eastAsia" w:ascii="宋体" w:hAnsi="宋体" w:cs="宋体"/>
          <w:color w:val="auto"/>
          <w:kern w:val="0"/>
          <w:sz w:val="24"/>
          <w:u w:val="single"/>
        </w:rPr>
        <w:t xml:space="preserve">               </w:t>
      </w:r>
      <w:r>
        <w:rPr>
          <w:rFonts w:hint="eastAsia" w:ascii="宋体" w:hAnsi="宋体" w:cs="宋体"/>
          <w:color w:val="auto"/>
          <w:kern w:val="0"/>
          <w:sz w:val="24"/>
        </w:rPr>
        <w:t>（全称并加盖公章）</w:t>
      </w:r>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2880" w:firstLineChars="1200"/>
        <w:jc w:val="left"/>
        <w:rPr>
          <w:color w:val="auto"/>
          <w:highlight w:val="none"/>
        </w:rPr>
      </w:pPr>
      <w:r>
        <w:rPr>
          <w:rFonts w:hint="eastAsia" w:ascii="宋体" w:hAnsi="宋体" w:cs="宋体"/>
          <w:color w:val="auto"/>
          <w:kern w:val="0"/>
          <w:sz w:val="24"/>
          <w:highlight w:val="none"/>
        </w:rPr>
        <w:t>年    月    日</w:t>
      </w:r>
    </w:p>
    <w:p>
      <w:pPr>
        <w:widowControl/>
        <w:wordWrap w:val="0"/>
        <w:spacing w:line="460" w:lineRule="exact"/>
        <w:ind w:firstLine="4800" w:firstLineChars="2000"/>
        <w:jc w:val="left"/>
        <w:rPr>
          <w:color w:val="auto"/>
          <w:highlight w:val="none"/>
        </w:rPr>
      </w:pPr>
      <w:r>
        <w:rPr>
          <w:rFonts w:hint="eastAsia" w:ascii="宋体" w:hAnsi="宋体" w:cs="宋体"/>
          <w:color w:val="000000" w:themeColor="text1"/>
          <w:kern w:val="0"/>
          <w:sz w:val="24"/>
          <w:highlight w:val="none"/>
          <w14:textFill>
            <w14:solidFill>
              <w14:schemeClr w14:val="tx1"/>
            </w14:solidFill>
          </w14:textFill>
        </w:rPr>
        <w:t xml:space="preserve">     </w:t>
      </w:r>
    </w:p>
    <w:p>
      <w:pPr>
        <w:pStyle w:val="6"/>
        <w:rPr>
          <w:rFonts w:hint="eastAsia" w:eastAsia="黑体"/>
          <w:color w:val="auto"/>
          <w:highlight w:val="none"/>
          <w:lang w:val="en-US" w:eastAsia="zh-CN"/>
        </w:rPr>
      </w:pPr>
      <w:r>
        <w:rPr>
          <w:rFonts w:hint="eastAsia"/>
          <w:color w:val="auto"/>
          <w:highlight w:val="none"/>
        </w:rPr>
        <w:br w:type="page"/>
      </w:r>
      <w:bookmarkStart w:id="71" w:name="_Toc15804"/>
      <w:bookmarkStart w:id="72" w:name="_Toc226"/>
      <w:r>
        <w:rPr>
          <w:rFonts w:hint="eastAsia"/>
          <w:color w:val="auto"/>
          <w:highlight w:val="none"/>
        </w:rPr>
        <w:t xml:space="preserve">附件5         </w:t>
      </w:r>
      <w:bookmarkEnd w:id="71"/>
      <w:bookmarkEnd w:id="72"/>
      <w:r>
        <w:rPr>
          <w:rFonts w:hint="eastAsia"/>
          <w:color w:val="auto"/>
          <w:highlight w:val="none"/>
        </w:rPr>
        <w:t xml:space="preserve">     技术响应</w:t>
      </w:r>
      <w:r>
        <w:rPr>
          <w:rFonts w:hint="eastAsia"/>
          <w:color w:val="auto"/>
          <w:highlight w:val="none"/>
          <w:lang w:val="en-US" w:eastAsia="zh-CN"/>
        </w:rPr>
        <w:t>部分</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技术部分相关证明文件</w:t>
      </w: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val="en-US" w:eastAsia="zh-CN"/>
        </w:rPr>
      </w:pPr>
      <w:bookmarkStart w:id="73" w:name="_Toc20420"/>
      <w:bookmarkStart w:id="74" w:name="_Toc29960"/>
      <w:r>
        <w:rPr>
          <w:rFonts w:hint="eastAsia" w:ascii="Arial" w:hAnsi="Arial" w:eastAsia="新宋体"/>
          <w:b/>
          <w:color w:val="auto"/>
          <w:sz w:val="28"/>
          <w:highlight w:val="none"/>
        </w:rPr>
        <w:t>附件6               商务响应</w:t>
      </w:r>
      <w:bookmarkEnd w:id="73"/>
      <w:bookmarkEnd w:id="74"/>
      <w:r>
        <w:rPr>
          <w:rFonts w:hint="eastAsia" w:ascii="Arial" w:hAnsi="Arial" w:eastAsia="新宋体"/>
          <w:b/>
          <w:color w:val="auto"/>
          <w:sz w:val="28"/>
          <w:highlight w:val="none"/>
          <w:lang w:val="en-US" w:eastAsia="zh-CN"/>
        </w:rPr>
        <w:t>部分</w:t>
      </w:r>
    </w:p>
    <w:p>
      <w:pPr>
        <w:widowControl/>
        <w:wordWrap w:val="0"/>
        <w:spacing w:line="460" w:lineRule="exact"/>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 xml:space="preserve">  </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商务部分相关证明文件</w:t>
      </w:r>
    </w:p>
    <w:p>
      <w:pPr>
        <w:rPr>
          <w:rFonts w:cs="宋体"/>
          <w:b/>
          <w:color w:val="auto"/>
          <w:kern w:val="0"/>
          <w:sz w:val="24"/>
          <w:highlight w:val="none"/>
        </w:rPr>
      </w:pPr>
    </w:p>
    <w:p>
      <w:pPr>
        <w:pStyle w:val="30"/>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rPr>
          <w:rFonts w:hint="eastAsia" w:ascii="Arial" w:hAnsi="Arial" w:eastAsia="新宋体"/>
          <w:b/>
          <w:color w:val="auto"/>
          <w:sz w:val="28"/>
          <w:highlight w:val="none"/>
        </w:rPr>
      </w:pPr>
      <w:bookmarkStart w:id="75" w:name="_Toc28621"/>
      <w:bookmarkStart w:id="76" w:name="_Toc31526"/>
      <w:r>
        <w:rPr>
          <w:rFonts w:hint="eastAsia" w:ascii="Arial" w:hAnsi="Arial" w:eastAsia="新宋体"/>
          <w:b/>
          <w:color w:val="auto"/>
          <w:sz w:val="28"/>
          <w:highlight w:val="none"/>
        </w:rPr>
        <w:br w:type="page"/>
      </w:r>
    </w:p>
    <w:p>
      <w:pPr>
        <w:widowControl/>
        <w:wordWrap w:val="0"/>
        <w:spacing w:line="460" w:lineRule="exact"/>
        <w:jc w:val="left"/>
        <w:outlineLvl w:val="0"/>
        <w:rPr>
          <w:rFonts w:ascii="Arial" w:hAnsi="Arial" w:eastAsia="新宋体"/>
          <w:b/>
          <w:color w:val="auto"/>
          <w:sz w:val="28"/>
          <w:highlight w:val="none"/>
        </w:rPr>
      </w:pPr>
      <w:r>
        <w:rPr>
          <w:rFonts w:hint="eastAsia" w:ascii="Arial" w:hAnsi="Arial" w:eastAsia="新宋体"/>
          <w:b/>
          <w:color w:val="auto"/>
          <w:sz w:val="28"/>
          <w:highlight w:val="none"/>
        </w:rPr>
        <w:t>附件7               法定代表人身份证明（格式）</w:t>
      </w:r>
      <w:bookmarkEnd w:id="75"/>
      <w:bookmarkEnd w:id="76"/>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w:t>
      </w:r>
      <w:r>
        <w:rPr>
          <w:rFonts w:hint="eastAsia" w:ascii="宋体" w:hAnsi="宋体" w:cs="宋体"/>
          <w:color w:val="auto"/>
          <w:kern w:val="0"/>
          <w:sz w:val="24"/>
          <w:szCs w:val="20"/>
          <w:highlight w:val="none"/>
          <w:lang w:eastAsia="zh-CN"/>
        </w:rPr>
        <w:t>供应商</w:t>
      </w:r>
      <w:r>
        <w:rPr>
          <w:rFonts w:hint="eastAsia" w:ascii="宋体" w:hAnsi="宋体" w:cs="宋体"/>
          <w:color w:val="auto"/>
          <w:kern w:val="0"/>
          <w:sz w:val="24"/>
          <w:szCs w:val="20"/>
          <w:highlight w:val="none"/>
        </w:rPr>
        <w:t>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2"/>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77" w:name="_Toc30519"/>
      <w:bookmarkStart w:id="78" w:name="_Toc13976"/>
      <w:r>
        <w:rPr>
          <w:rFonts w:hint="eastAsia" w:ascii="Arial" w:hAnsi="Arial" w:eastAsia="新宋体"/>
          <w:b/>
          <w:color w:val="auto"/>
          <w:sz w:val="28"/>
          <w:highlight w:val="none"/>
        </w:rPr>
        <w:t>附件8               法定代表人授权书（格式）</w:t>
      </w:r>
      <w:bookmarkEnd w:id="77"/>
      <w:bookmarkEnd w:id="78"/>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 xml:space="preserve">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79" w:name="_Toc24693"/>
      <w:bookmarkStart w:id="80" w:name="_Toc18105"/>
      <w:r>
        <w:rPr>
          <w:rFonts w:hint="eastAsia" w:ascii="Arial" w:hAnsi="Arial" w:eastAsia="新宋体"/>
          <w:b/>
          <w:color w:val="auto"/>
          <w:sz w:val="28"/>
          <w:highlight w:val="none"/>
        </w:rPr>
        <w:t>附件9               证明文件</w:t>
      </w:r>
      <w:bookmarkEnd w:id="79"/>
      <w:bookmarkEnd w:id="80"/>
    </w:p>
    <w:p>
      <w:pPr>
        <w:pStyle w:val="10"/>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10"/>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10"/>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1" w:name="_Toc17966"/>
    </w:p>
    <w:p>
      <w:pPr>
        <w:pStyle w:val="10"/>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10"/>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10"/>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2" w:name="_Toc12888"/>
      <w:bookmarkStart w:id="83" w:name="_Toc13726"/>
      <w:r>
        <w:rPr>
          <w:rFonts w:hint="eastAsia" w:ascii="宋体" w:hAnsi="宋体" w:cs="Lucida Sans Unicode"/>
          <w:b/>
          <w:color w:val="auto"/>
          <w:kern w:val="0"/>
          <w:sz w:val="28"/>
          <w:szCs w:val="28"/>
          <w:highlight w:val="none"/>
        </w:rPr>
        <w:t xml:space="preserve">附件10        </w:t>
      </w:r>
      <w:bookmarkEnd w:id="81"/>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2"/>
      <w:bookmarkEnd w:id="83"/>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pStyle w:val="30"/>
        <w:rPr>
          <w:rFonts w:ascii="宋体" w:hAnsi="宋体" w:cs="宋体"/>
          <w:color w:val="auto"/>
          <w:kern w:val="0"/>
          <w:szCs w:val="21"/>
          <w:highlight w:val="none"/>
        </w:rPr>
      </w:pPr>
    </w:p>
    <w:p>
      <w:pPr>
        <w:pStyle w:val="31"/>
        <w:rPr>
          <w:rFonts w:ascii="宋体" w:hAnsi="宋体" w:cs="宋体"/>
          <w:color w:val="auto"/>
          <w:kern w:val="0"/>
          <w:szCs w:val="21"/>
          <w:highlight w:val="none"/>
        </w:rPr>
      </w:pPr>
    </w:p>
    <w:p>
      <w:pPr>
        <w:jc w:val="cente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t>附件11     供应商信用承诺函（格式）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致（采购人或政府采购代理机构）：</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单位名称（自然人姓名）：</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统一社会信用代码（身份证号码）：</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法定代表人（负责人）：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联系地址和电话：</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仿宋" w:hAnsi="仿宋" w:eastAsia="仿宋" w:cs="仿宋"/>
          <w:sz w:val="32"/>
          <w:szCs w:val="32"/>
        </w:rPr>
      </w:pPr>
      <w:r>
        <w:rPr>
          <w:rFonts w:hint="eastAsia" w:ascii="宋体" w:hAnsi="宋体" w:eastAsia="宋体" w:cs="宋体"/>
          <w:color w:val="auto"/>
          <w:sz w:val="24"/>
          <w:szCs w:val="24"/>
          <w:lang w:val="en-US" w:eastAsia="zh-CN"/>
        </w:rPr>
        <w:t>（四）有依法缴纳税收和社会保障资金的良好</w:t>
      </w:r>
      <w:r>
        <w:rPr>
          <w:rFonts w:hint="eastAsia" w:ascii="仿宋" w:hAnsi="仿宋" w:eastAsia="仿宋" w:cs="仿宋"/>
          <w:sz w:val="32"/>
          <w:szCs w:val="32"/>
          <w:lang w:val="en-US" w:eastAsia="zh-CN"/>
        </w:rPr>
        <w:t>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（六）未被列入严重失信主体名单、失信被执行人、税收违法黑名单、政府采购严重违法失信行为记录名单，未曾作出虚假承诺；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（七）符合法律、行政法规规定的其他条件。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我单位（本人）保证上述承诺事项的真实性，如有弄虚作假或其他违法违规行为，愿意承担一切法律责任，并承担因此所造成的一切损失。</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供应商名称（盖章）：</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法定代表人、负责人、自然人或授权代表(签字)：</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注：1.供应商须在投标（响应性）文件中按此模板提供承诺函，未提供视为未实质性响应招标文件要求，按无效投标（响应）处理。</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2.供应商的法定代表人或者授权代表的签字或盖章应真实、有效，如由授权代表签字或盖章的，应提供“法定代表人授权书”。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
      <w:pPr>
        <w:spacing w:line="360" w:lineRule="auto"/>
        <w:rPr>
          <w:color w:val="auto"/>
          <w:highlight w:val="none"/>
        </w:rPr>
      </w:pPr>
    </w:p>
    <w:p>
      <w:pPr>
        <w:rPr>
          <w:color w:val="auto"/>
          <w:highlight w:val="none"/>
        </w:rPr>
      </w:pPr>
      <w:r>
        <w:rPr>
          <w:color w:val="auto"/>
          <w:highlight w:val="none"/>
        </w:rPr>
        <w:br w:type="page"/>
      </w:r>
    </w:p>
    <w:p>
      <w:pPr>
        <w:pStyle w:val="49"/>
      </w:pPr>
    </w:p>
    <w:p>
      <w:pPr>
        <w:widowControl/>
        <w:snapToGrid w:val="0"/>
        <w:spacing w:line="360" w:lineRule="auto"/>
        <w:jc w:val="center"/>
        <w:outlineLvl w:val="0"/>
        <w:rPr>
          <w:rFonts w:ascii="宋体" w:hAnsi="宋体" w:cs="Lucida Sans Unicode"/>
          <w:b/>
          <w:color w:val="auto"/>
          <w:kern w:val="0"/>
          <w:sz w:val="24"/>
          <w:highlight w:val="none"/>
        </w:rPr>
      </w:pPr>
      <w:bookmarkStart w:id="84" w:name="_Toc25094"/>
      <w:bookmarkStart w:id="85" w:name="_Toc23394"/>
      <w:r>
        <w:rPr>
          <w:rFonts w:hint="eastAsia" w:ascii="宋体" w:hAnsi="宋体" w:cs="Lucida Sans Unicode"/>
          <w:b/>
          <w:color w:val="auto"/>
          <w:kern w:val="0"/>
          <w:sz w:val="24"/>
          <w:highlight w:val="none"/>
          <w:lang w:eastAsia="zh-CN"/>
        </w:rPr>
        <w:t>供应商</w:t>
      </w:r>
      <w:r>
        <w:rPr>
          <w:rFonts w:hint="eastAsia" w:ascii="宋体" w:hAnsi="宋体" w:cs="Lucida Sans Unicode"/>
          <w:b/>
          <w:color w:val="auto"/>
          <w:kern w:val="0"/>
          <w:sz w:val="24"/>
          <w:highlight w:val="none"/>
        </w:rPr>
        <w:t>认为有必要的其他资料</w:t>
      </w:r>
      <w:bookmarkEnd w:id="84"/>
      <w:bookmarkEnd w:id="85"/>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w:t>
      </w:r>
      <w:r>
        <w:rPr>
          <w:rFonts w:hint="eastAsia" w:ascii="宋体" w:hAnsi="宋体" w:cs="Lucida Sans Unicode"/>
          <w:color w:val="auto"/>
          <w:kern w:val="0"/>
          <w:szCs w:val="21"/>
          <w:highlight w:val="none"/>
          <w:lang w:eastAsia="zh-CN"/>
        </w:rPr>
        <w:t>供应商</w:t>
      </w:r>
      <w:r>
        <w:rPr>
          <w:rFonts w:hint="eastAsia" w:ascii="宋体" w:hAnsi="宋体" w:cs="Lucida Sans Unicode"/>
          <w:color w:val="auto"/>
          <w:kern w:val="0"/>
          <w:szCs w:val="21"/>
          <w:highlight w:val="none"/>
        </w:rPr>
        <w:t>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w:t>
      </w:r>
      <w:r>
        <w:rPr>
          <w:rFonts w:hint="eastAsia" w:ascii="宋体" w:hAnsi="宋体" w:cs="Lucida Sans Unicode"/>
          <w:color w:val="auto"/>
          <w:kern w:val="0"/>
          <w:szCs w:val="21"/>
          <w:highlight w:val="none"/>
          <w:lang w:eastAsia="zh-CN"/>
        </w:rPr>
        <w:t>供应商</w:t>
      </w:r>
      <w:r>
        <w:rPr>
          <w:rFonts w:hint="eastAsia" w:ascii="宋体" w:hAnsi="宋体" w:cs="Lucida Sans Unicode"/>
          <w:color w:val="auto"/>
          <w:kern w:val="0"/>
          <w:szCs w:val="21"/>
          <w:highlight w:val="none"/>
        </w:rPr>
        <w:t>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w:t>
      </w:r>
      <w:r>
        <w:rPr>
          <w:rFonts w:hint="eastAsia" w:ascii="宋体" w:hAnsi="宋体" w:cs="Lucida Sans Unicode"/>
          <w:color w:val="auto"/>
          <w:kern w:val="0"/>
          <w:szCs w:val="21"/>
          <w:highlight w:val="none"/>
          <w:lang w:eastAsia="zh-CN"/>
        </w:rPr>
        <w:t>供应商</w:t>
      </w:r>
      <w:r>
        <w:rPr>
          <w:rFonts w:hint="eastAsia" w:ascii="宋体" w:hAnsi="宋体" w:cs="Lucida Sans Unicode"/>
          <w:color w:val="auto"/>
          <w:kern w:val="0"/>
          <w:szCs w:val="21"/>
          <w:highlight w:val="none"/>
        </w:rPr>
        <w:t>未能提供相关证明文件，将有可能导致废标或者无法得分。</w:t>
      </w: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both"/>
        <w:rPr>
          <w:b/>
          <w:bCs/>
          <w:color w:val="auto"/>
          <w:sz w:val="28"/>
          <w:szCs w:val="28"/>
          <w:highlight w:val="none"/>
        </w:rPr>
      </w:pPr>
    </w:p>
    <w:sectPr>
      <w:footerReference r:id="rId5"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w:rPr>
        <w:rFonts w:hint="eastAsia" w:ascii="宋体" w:hAnsi="宋体" w:cs="宋体"/>
        <w:color w:val="auto"/>
        <w:szCs w:val="21"/>
        <w:highlight w:val="none"/>
        <w:shd w:val="clear" w:color="auto" w:fill="FFFFFF"/>
        <w:lang w:val="en-US" w:eastAsia="zh-CN"/>
      </w:rPr>
      <w:t>驻马店市中心医院经皮肾镜、输尿管镜等硬镜维保项目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E6D95"/>
    <w:rsid w:val="01D715BE"/>
    <w:rsid w:val="01EB45BC"/>
    <w:rsid w:val="01FA63A5"/>
    <w:rsid w:val="02011C7D"/>
    <w:rsid w:val="02035523"/>
    <w:rsid w:val="021C6E40"/>
    <w:rsid w:val="02222FF2"/>
    <w:rsid w:val="02384FF4"/>
    <w:rsid w:val="023F67A9"/>
    <w:rsid w:val="0247575A"/>
    <w:rsid w:val="025235B1"/>
    <w:rsid w:val="0262674D"/>
    <w:rsid w:val="02747B01"/>
    <w:rsid w:val="02890D36"/>
    <w:rsid w:val="02D92EF7"/>
    <w:rsid w:val="02DA4665"/>
    <w:rsid w:val="02F40325"/>
    <w:rsid w:val="02FA082F"/>
    <w:rsid w:val="031126C4"/>
    <w:rsid w:val="03475E56"/>
    <w:rsid w:val="035E4919"/>
    <w:rsid w:val="036A009A"/>
    <w:rsid w:val="03844805"/>
    <w:rsid w:val="03845791"/>
    <w:rsid w:val="03A011E9"/>
    <w:rsid w:val="03AE7F27"/>
    <w:rsid w:val="03BD2BCD"/>
    <w:rsid w:val="03CC058D"/>
    <w:rsid w:val="03E017D2"/>
    <w:rsid w:val="03F447E2"/>
    <w:rsid w:val="03F77068"/>
    <w:rsid w:val="03FB660C"/>
    <w:rsid w:val="04416C20"/>
    <w:rsid w:val="047968B1"/>
    <w:rsid w:val="04870542"/>
    <w:rsid w:val="04B30F7A"/>
    <w:rsid w:val="054C0111"/>
    <w:rsid w:val="05545DD3"/>
    <w:rsid w:val="056E2AD6"/>
    <w:rsid w:val="05806815"/>
    <w:rsid w:val="058251D3"/>
    <w:rsid w:val="058C28F1"/>
    <w:rsid w:val="05945CCE"/>
    <w:rsid w:val="059D05A4"/>
    <w:rsid w:val="059D5E17"/>
    <w:rsid w:val="05AB0A28"/>
    <w:rsid w:val="05AB0F81"/>
    <w:rsid w:val="05B93D6B"/>
    <w:rsid w:val="05C23EEE"/>
    <w:rsid w:val="05D53002"/>
    <w:rsid w:val="05D75738"/>
    <w:rsid w:val="05EB110D"/>
    <w:rsid w:val="05F17CC7"/>
    <w:rsid w:val="061E7D14"/>
    <w:rsid w:val="06446B44"/>
    <w:rsid w:val="06560AED"/>
    <w:rsid w:val="066469C9"/>
    <w:rsid w:val="066646A1"/>
    <w:rsid w:val="06983B20"/>
    <w:rsid w:val="069A3B66"/>
    <w:rsid w:val="06A869D6"/>
    <w:rsid w:val="06A9264E"/>
    <w:rsid w:val="06B31420"/>
    <w:rsid w:val="06B91765"/>
    <w:rsid w:val="06CA2AD2"/>
    <w:rsid w:val="06CE3071"/>
    <w:rsid w:val="06D33DBA"/>
    <w:rsid w:val="06E13F9F"/>
    <w:rsid w:val="06FB0AC5"/>
    <w:rsid w:val="070D2D5D"/>
    <w:rsid w:val="07111B8D"/>
    <w:rsid w:val="072C5514"/>
    <w:rsid w:val="074A5B92"/>
    <w:rsid w:val="075D0147"/>
    <w:rsid w:val="075E3193"/>
    <w:rsid w:val="078E18EB"/>
    <w:rsid w:val="07B10EA5"/>
    <w:rsid w:val="07CE3FA1"/>
    <w:rsid w:val="07EC2ECB"/>
    <w:rsid w:val="07FE66CB"/>
    <w:rsid w:val="080B4D47"/>
    <w:rsid w:val="08321601"/>
    <w:rsid w:val="08326375"/>
    <w:rsid w:val="083D5C91"/>
    <w:rsid w:val="0847191F"/>
    <w:rsid w:val="08591DC3"/>
    <w:rsid w:val="08672793"/>
    <w:rsid w:val="08695E80"/>
    <w:rsid w:val="087C4541"/>
    <w:rsid w:val="087E5595"/>
    <w:rsid w:val="08BC0A60"/>
    <w:rsid w:val="08C52D6F"/>
    <w:rsid w:val="08EF0201"/>
    <w:rsid w:val="08F41DE8"/>
    <w:rsid w:val="094840A2"/>
    <w:rsid w:val="09737462"/>
    <w:rsid w:val="099156C3"/>
    <w:rsid w:val="09A53F39"/>
    <w:rsid w:val="09A60E13"/>
    <w:rsid w:val="09A82D92"/>
    <w:rsid w:val="09AB2883"/>
    <w:rsid w:val="09D206F0"/>
    <w:rsid w:val="0A321AC2"/>
    <w:rsid w:val="0A343D4E"/>
    <w:rsid w:val="0A3E6D2E"/>
    <w:rsid w:val="0A4232E4"/>
    <w:rsid w:val="0A8455AD"/>
    <w:rsid w:val="0AD13A85"/>
    <w:rsid w:val="0AE0655C"/>
    <w:rsid w:val="0B091954"/>
    <w:rsid w:val="0B3B7D65"/>
    <w:rsid w:val="0B637D77"/>
    <w:rsid w:val="0B7006C4"/>
    <w:rsid w:val="0B726646"/>
    <w:rsid w:val="0BAC324F"/>
    <w:rsid w:val="0BC11EE9"/>
    <w:rsid w:val="0BF16C73"/>
    <w:rsid w:val="0BF72F1E"/>
    <w:rsid w:val="0C3152C1"/>
    <w:rsid w:val="0C3957A5"/>
    <w:rsid w:val="0C507E2F"/>
    <w:rsid w:val="0C626DA7"/>
    <w:rsid w:val="0C6876AE"/>
    <w:rsid w:val="0C71390F"/>
    <w:rsid w:val="0C720EC8"/>
    <w:rsid w:val="0C942042"/>
    <w:rsid w:val="0C9D50DC"/>
    <w:rsid w:val="0CA5271D"/>
    <w:rsid w:val="0CAC4D10"/>
    <w:rsid w:val="0CC72121"/>
    <w:rsid w:val="0CEE5A21"/>
    <w:rsid w:val="0D05268E"/>
    <w:rsid w:val="0D0646E7"/>
    <w:rsid w:val="0D0C38CA"/>
    <w:rsid w:val="0D206810"/>
    <w:rsid w:val="0D735465"/>
    <w:rsid w:val="0DC577E0"/>
    <w:rsid w:val="0DDC6319"/>
    <w:rsid w:val="0DFE4F67"/>
    <w:rsid w:val="0E0C0D4C"/>
    <w:rsid w:val="0E115DA1"/>
    <w:rsid w:val="0E162D6D"/>
    <w:rsid w:val="0E541CA2"/>
    <w:rsid w:val="0E594756"/>
    <w:rsid w:val="0E95596D"/>
    <w:rsid w:val="0EAE6205"/>
    <w:rsid w:val="0EAE6579"/>
    <w:rsid w:val="0EAF71BF"/>
    <w:rsid w:val="0ECE6257"/>
    <w:rsid w:val="0EE4129D"/>
    <w:rsid w:val="0F171032"/>
    <w:rsid w:val="0F335E69"/>
    <w:rsid w:val="0F372614"/>
    <w:rsid w:val="0F3D59C9"/>
    <w:rsid w:val="0F516D5A"/>
    <w:rsid w:val="0F565B36"/>
    <w:rsid w:val="0F684933"/>
    <w:rsid w:val="0F821E7D"/>
    <w:rsid w:val="0FCA42ED"/>
    <w:rsid w:val="0FE7592C"/>
    <w:rsid w:val="0FFD20F0"/>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3329E7"/>
    <w:rsid w:val="113F294C"/>
    <w:rsid w:val="11437C85"/>
    <w:rsid w:val="11575085"/>
    <w:rsid w:val="1166372C"/>
    <w:rsid w:val="11700D10"/>
    <w:rsid w:val="1178125A"/>
    <w:rsid w:val="118441E0"/>
    <w:rsid w:val="1196056D"/>
    <w:rsid w:val="11D34654"/>
    <w:rsid w:val="12010480"/>
    <w:rsid w:val="120E707F"/>
    <w:rsid w:val="121D0051"/>
    <w:rsid w:val="12413D84"/>
    <w:rsid w:val="127A7D1C"/>
    <w:rsid w:val="12836D8B"/>
    <w:rsid w:val="12AB0349"/>
    <w:rsid w:val="12B66520"/>
    <w:rsid w:val="12CD57F1"/>
    <w:rsid w:val="12CE5941"/>
    <w:rsid w:val="12CE7AFA"/>
    <w:rsid w:val="12D67466"/>
    <w:rsid w:val="13036052"/>
    <w:rsid w:val="13272A5D"/>
    <w:rsid w:val="13493108"/>
    <w:rsid w:val="134A4EBA"/>
    <w:rsid w:val="13733928"/>
    <w:rsid w:val="13857CA0"/>
    <w:rsid w:val="13920D68"/>
    <w:rsid w:val="139C16C9"/>
    <w:rsid w:val="13A5238E"/>
    <w:rsid w:val="13B63CE1"/>
    <w:rsid w:val="13BC6684"/>
    <w:rsid w:val="13C72B3A"/>
    <w:rsid w:val="13DF575E"/>
    <w:rsid w:val="13E470BD"/>
    <w:rsid w:val="13EE3A98"/>
    <w:rsid w:val="13F3280A"/>
    <w:rsid w:val="142123F7"/>
    <w:rsid w:val="142A11D8"/>
    <w:rsid w:val="144B544C"/>
    <w:rsid w:val="145B7B45"/>
    <w:rsid w:val="14717443"/>
    <w:rsid w:val="148D52E3"/>
    <w:rsid w:val="14992B90"/>
    <w:rsid w:val="14AF1856"/>
    <w:rsid w:val="14AF19A3"/>
    <w:rsid w:val="14B53957"/>
    <w:rsid w:val="14C53ECE"/>
    <w:rsid w:val="14CF6CB0"/>
    <w:rsid w:val="14DC5FE6"/>
    <w:rsid w:val="14E002E6"/>
    <w:rsid w:val="14FC36BD"/>
    <w:rsid w:val="14FF5EA7"/>
    <w:rsid w:val="151E3A0F"/>
    <w:rsid w:val="152534E9"/>
    <w:rsid w:val="153A36AA"/>
    <w:rsid w:val="15477903"/>
    <w:rsid w:val="1557566D"/>
    <w:rsid w:val="15811F1B"/>
    <w:rsid w:val="15A30135"/>
    <w:rsid w:val="15A34015"/>
    <w:rsid w:val="15BB487B"/>
    <w:rsid w:val="15CE086D"/>
    <w:rsid w:val="15E2236F"/>
    <w:rsid w:val="161D09ED"/>
    <w:rsid w:val="162323A3"/>
    <w:rsid w:val="162F30B1"/>
    <w:rsid w:val="1650762F"/>
    <w:rsid w:val="16510F12"/>
    <w:rsid w:val="166448F9"/>
    <w:rsid w:val="1677211D"/>
    <w:rsid w:val="167954F9"/>
    <w:rsid w:val="169F7296"/>
    <w:rsid w:val="16A060BA"/>
    <w:rsid w:val="16A57EAF"/>
    <w:rsid w:val="16AC6E3F"/>
    <w:rsid w:val="16C872D5"/>
    <w:rsid w:val="16D54FA3"/>
    <w:rsid w:val="16D84D9F"/>
    <w:rsid w:val="16E94D3E"/>
    <w:rsid w:val="170D06E0"/>
    <w:rsid w:val="17332185"/>
    <w:rsid w:val="17475951"/>
    <w:rsid w:val="17793FC0"/>
    <w:rsid w:val="179F2E61"/>
    <w:rsid w:val="17BE19D3"/>
    <w:rsid w:val="17C227C0"/>
    <w:rsid w:val="17D66D7C"/>
    <w:rsid w:val="17EE5BFF"/>
    <w:rsid w:val="18097740"/>
    <w:rsid w:val="184055B9"/>
    <w:rsid w:val="184A2082"/>
    <w:rsid w:val="185D3C42"/>
    <w:rsid w:val="185F38AF"/>
    <w:rsid w:val="188F0211"/>
    <w:rsid w:val="18AD1BEB"/>
    <w:rsid w:val="18B3004A"/>
    <w:rsid w:val="18B96080"/>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A125525"/>
    <w:rsid w:val="1A5F4342"/>
    <w:rsid w:val="1A616E2C"/>
    <w:rsid w:val="1A7F369B"/>
    <w:rsid w:val="1A8C5D82"/>
    <w:rsid w:val="1A994988"/>
    <w:rsid w:val="1A9B546C"/>
    <w:rsid w:val="1AA3511F"/>
    <w:rsid w:val="1AAE3B54"/>
    <w:rsid w:val="1AC10987"/>
    <w:rsid w:val="1AF423FA"/>
    <w:rsid w:val="1B0C5B32"/>
    <w:rsid w:val="1B0D3E82"/>
    <w:rsid w:val="1B1652AB"/>
    <w:rsid w:val="1B181CD5"/>
    <w:rsid w:val="1B265306"/>
    <w:rsid w:val="1B4F2450"/>
    <w:rsid w:val="1B530868"/>
    <w:rsid w:val="1B8C18B7"/>
    <w:rsid w:val="1BB73AE1"/>
    <w:rsid w:val="1BDA6D68"/>
    <w:rsid w:val="1BF14125"/>
    <w:rsid w:val="1C555978"/>
    <w:rsid w:val="1C6554A1"/>
    <w:rsid w:val="1C7971B7"/>
    <w:rsid w:val="1C917D91"/>
    <w:rsid w:val="1CAB2820"/>
    <w:rsid w:val="1CD402EC"/>
    <w:rsid w:val="1CED16EF"/>
    <w:rsid w:val="1CF02333"/>
    <w:rsid w:val="1D0C33A2"/>
    <w:rsid w:val="1D113E6E"/>
    <w:rsid w:val="1D114E5E"/>
    <w:rsid w:val="1D1F0050"/>
    <w:rsid w:val="1D2222DC"/>
    <w:rsid w:val="1D5B3CDE"/>
    <w:rsid w:val="1D6E2950"/>
    <w:rsid w:val="1D98209B"/>
    <w:rsid w:val="1DA23746"/>
    <w:rsid w:val="1DAA14B9"/>
    <w:rsid w:val="1DD04513"/>
    <w:rsid w:val="1DDD2BCB"/>
    <w:rsid w:val="1E0345E3"/>
    <w:rsid w:val="1E1B7B7F"/>
    <w:rsid w:val="1E656063"/>
    <w:rsid w:val="1E6B06A5"/>
    <w:rsid w:val="1E7F7D9E"/>
    <w:rsid w:val="1E840DA4"/>
    <w:rsid w:val="1EA5444C"/>
    <w:rsid w:val="1EB350EF"/>
    <w:rsid w:val="1EC21749"/>
    <w:rsid w:val="1EEB7C4E"/>
    <w:rsid w:val="1F072441"/>
    <w:rsid w:val="1F171B83"/>
    <w:rsid w:val="1F2D491A"/>
    <w:rsid w:val="1F7369C7"/>
    <w:rsid w:val="1F94547B"/>
    <w:rsid w:val="1FAF308C"/>
    <w:rsid w:val="1FB64FF9"/>
    <w:rsid w:val="1FC11109"/>
    <w:rsid w:val="1FEF08C8"/>
    <w:rsid w:val="1FF72E6A"/>
    <w:rsid w:val="201B3ED4"/>
    <w:rsid w:val="20230F6D"/>
    <w:rsid w:val="20310B02"/>
    <w:rsid w:val="206F0406"/>
    <w:rsid w:val="20784063"/>
    <w:rsid w:val="207E346A"/>
    <w:rsid w:val="208E12C3"/>
    <w:rsid w:val="209502A3"/>
    <w:rsid w:val="2100305C"/>
    <w:rsid w:val="210F579E"/>
    <w:rsid w:val="212550B5"/>
    <w:rsid w:val="21592B62"/>
    <w:rsid w:val="2172049B"/>
    <w:rsid w:val="21747CD2"/>
    <w:rsid w:val="219263AA"/>
    <w:rsid w:val="219E5782"/>
    <w:rsid w:val="21D10545"/>
    <w:rsid w:val="21E72B0B"/>
    <w:rsid w:val="21F66F4C"/>
    <w:rsid w:val="221F2D96"/>
    <w:rsid w:val="22246DB1"/>
    <w:rsid w:val="22440067"/>
    <w:rsid w:val="225A6017"/>
    <w:rsid w:val="22631AF5"/>
    <w:rsid w:val="227A5532"/>
    <w:rsid w:val="22843A03"/>
    <w:rsid w:val="228E5C2C"/>
    <w:rsid w:val="22A338AB"/>
    <w:rsid w:val="22AD37A2"/>
    <w:rsid w:val="22B31E8A"/>
    <w:rsid w:val="22C05285"/>
    <w:rsid w:val="22C735BD"/>
    <w:rsid w:val="22D729A8"/>
    <w:rsid w:val="22F06957"/>
    <w:rsid w:val="23122833"/>
    <w:rsid w:val="231D4917"/>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A0633"/>
    <w:rsid w:val="243D6E1A"/>
    <w:rsid w:val="24607F91"/>
    <w:rsid w:val="246C581B"/>
    <w:rsid w:val="247C52A2"/>
    <w:rsid w:val="24CC106B"/>
    <w:rsid w:val="24D00598"/>
    <w:rsid w:val="24D725E9"/>
    <w:rsid w:val="25045F70"/>
    <w:rsid w:val="250474F1"/>
    <w:rsid w:val="25056E93"/>
    <w:rsid w:val="25092EBA"/>
    <w:rsid w:val="25241020"/>
    <w:rsid w:val="25302410"/>
    <w:rsid w:val="257572C3"/>
    <w:rsid w:val="25790E85"/>
    <w:rsid w:val="25972C60"/>
    <w:rsid w:val="25974C6F"/>
    <w:rsid w:val="259D1676"/>
    <w:rsid w:val="25A353EB"/>
    <w:rsid w:val="25B87B65"/>
    <w:rsid w:val="25CB78C3"/>
    <w:rsid w:val="25D54390"/>
    <w:rsid w:val="261879A7"/>
    <w:rsid w:val="261A071C"/>
    <w:rsid w:val="264B0BA4"/>
    <w:rsid w:val="268C5256"/>
    <w:rsid w:val="268E455B"/>
    <w:rsid w:val="26912B30"/>
    <w:rsid w:val="269772F0"/>
    <w:rsid w:val="26997893"/>
    <w:rsid w:val="26A30712"/>
    <w:rsid w:val="26AC0C27"/>
    <w:rsid w:val="26C807A6"/>
    <w:rsid w:val="26D1527F"/>
    <w:rsid w:val="26DB67BA"/>
    <w:rsid w:val="26E311CD"/>
    <w:rsid w:val="26EF24ED"/>
    <w:rsid w:val="26F1408A"/>
    <w:rsid w:val="26F96584"/>
    <w:rsid w:val="27015370"/>
    <w:rsid w:val="270B421F"/>
    <w:rsid w:val="274E2228"/>
    <w:rsid w:val="27517A93"/>
    <w:rsid w:val="275E53AF"/>
    <w:rsid w:val="276658E8"/>
    <w:rsid w:val="276F6846"/>
    <w:rsid w:val="277E30D2"/>
    <w:rsid w:val="27803F2A"/>
    <w:rsid w:val="27A34941"/>
    <w:rsid w:val="27EE3A7B"/>
    <w:rsid w:val="283C23DF"/>
    <w:rsid w:val="283D69F1"/>
    <w:rsid w:val="284C16F5"/>
    <w:rsid w:val="28570AB5"/>
    <w:rsid w:val="285F2CDC"/>
    <w:rsid w:val="28622C36"/>
    <w:rsid w:val="289E7E22"/>
    <w:rsid w:val="28C2534B"/>
    <w:rsid w:val="28C5525A"/>
    <w:rsid w:val="28D14B96"/>
    <w:rsid w:val="29020C46"/>
    <w:rsid w:val="290240C7"/>
    <w:rsid w:val="291713AF"/>
    <w:rsid w:val="291A2B97"/>
    <w:rsid w:val="29274EE0"/>
    <w:rsid w:val="295029E3"/>
    <w:rsid w:val="29543A59"/>
    <w:rsid w:val="2969197F"/>
    <w:rsid w:val="29746E87"/>
    <w:rsid w:val="297C03C2"/>
    <w:rsid w:val="299573AB"/>
    <w:rsid w:val="29BE5BD0"/>
    <w:rsid w:val="29C01572"/>
    <w:rsid w:val="29CA4207"/>
    <w:rsid w:val="29E74CE2"/>
    <w:rsid w:val="2A241B69"/>
    <w:rsid w:val="2A306A36"/>
    <w:rsid w:val="2A5372C6"/>
    <w:rsid w:val="2A5B03D8"/>
    <w:rsid w:val="2A6F6D07"/>
    <w:rsid w:val="2A882500"/>
    <w:rsid w:val="2AA35184"/>
    <w:rsid w:val="2AAB4E76"/>
    <w:rsid w:val="2AB63ABC"/>
    <w:rsid w:val="2AB63D0A"/>
    <w:rsid w:val="2B003D00"/>
    <w:rsid w:val="2B074D5E"/>
    <w:rsid w:val="2B100BA9"/>
    <w:rsid w:val="2B1B5825"/>
    <w:rsid w:val="2B1E3AFC"/>
    <w:rsid w:val="2B8D373E"/>
    <w:rsid w:val="2B9E4F56"/>
    <w:rsid w:val="2BDB5A88"/>
    <w:rsid w:val="2BE91C37"/>
    <w:rsid w:val="2BEC3F72"/>
    <w:rsid w:val="2C083572"/>
    <w:rsid w:val="2C185F94"/>
    <w:rsid w:val="2C1F1AC4"/>
    <w:rsid w:val="2C2945BA"/>
    <w:rsid w:val="2C2E71FC"/>
    <w:rsid w:val="2C3F3A41"/>
    <w:rsid w:val="2C4431C4"/>
    <w:rsid w:val="2C62059F"/>
    <w:rsid w:val="2C6634FA"/>
    <w:rsid w:val="2CA25191"/>
    <w:rsid w:val="2CAC022C"/>
    <w:rsid w:val="2CC11807"/>
    <w:rsid w:val="2CF16074"/>
    <w:rsid w:val="2CF81D1B"/>
    <w:rsid w:val="2D3F2453"/>
    <w:rsid w:val="2D835174"/>
    <w:rsid w:val="2D9331F9"/>
    <w:rsid w:val="2DD90B7B"/>
    <w:rsid w:val="2DDD3FC1"/>
    <w:rsid w:val="2DF701D8"/>
    <w:rsid w:val="2DF970A1"/>
    <w:rsid w:val="2E085834"/>
    <w:rsid w:val="2E1034F8"/>
    <w:rsid w:val="2E120D8E"/>
    <w:rsid w:val="2E443652"/>
    <w:rsid w:val="2E505773"/>
    <w:rsid w:val="2E742F70"/>
    <w:rsid w:val="2E9A689E"/>
    <w:rsid w:val="2EDC2A13"/>
    <w:rsid w:val="2EFD7DB9"/>
    <w:rsid w:val="2F1A081D"/>
    <w:rsid w:val="2F1C72B3"/>
    <w:rsid w:val="2F1E3DC0"/>
    <w:rsid w:val="2F2D326E"/>
    <w:rsid w:val="2F3112DE"/>
    <w:rsid w:val="2F3B6922"/>
    <w:rsid w:val="2F3D7B25"/>
    <w:rsid w:val="2F506C6D"/>
    <w:rsid w:val="2F512253"/>
    <w:rsid w:val="2F51291F"/>
    <w:rsid w:val="2F55758A"/>
    <w:rsid w:val="2F7F15AE"/>
    <w:rsid w:val="2FA54796"/>
    <w:rsid w:val="2FA674E2"/>
    <w:rsid w:val="2FFE7D49"/>
    <w:rsid w:val="3002294D"/>
    <w:rsid w:val="3011153D"/>
    <w:rsid w:val="30142680"/>
    <w:rsid w:val="302A11B1"/>
    <w:rsid w:val="302A5C42"/>
    <w:rsid w:val="30662043"/>
    <w:rsid w:val="30671649"/>
    <w:rsid w:val="30B8125D"/>
    <w:rsid w:val="30BF439A"/>
    <w:rsid w:val="30CF6A37"/>
    <w:rsid w:val="30D250CF"/>
    <w:rsid w:val="31002970"/>
    <w:rsid w:val="311016AD"/>
    <w:rsid w:val="3136622A"/>
    <w:rsid w:val="3139422E"/>
    <w:rsid w:val="31496359"/>
    <w:rsid w:val="314D19A6"/>
    <w:rsid w:val="316177A4"/>
    <w:rsid w:val="31700E4B"/>
    <w:rsid w:val="3172683C"/>
    <w:rsid w:val="31A359FC"/>
    <w:rsid w:val="31AD0D61"/>
    <w:rsid w:val="31CD297B"/>
    <w:rsid w:val="31CD73BD"/>
    <w:rsid w:val="31D66571"/>
    <w:rsid w:val="31DB4220"/>
    <w:rsid w:val="31DC56CD"/>
    <w:rsid w:val="31E63B94"/>
    <w:rsid w:val="31F27AF7"/>
    <w:rsid w:val="32176602"/>
    <w:rsid w:val="322A7699"/>
    <w:rsid w:val="322B25C6"/>
    <w:rsid w:val="32422E70"/>
    <w:rsid w:val="325E56C6"/>
    <w:rsid w:val="3275698A"/>
    <w:rsid w:val="32A93829"/>
    <w:rsid w:val="32B943EC"/>
    <w:rsid w:val="32DC63A0"/>
    <w:rsid w:val="32E429C1"/>
    <w:rsid w:val="330503EE"/>
    <w:rsid w:val="333A2B20"/>
    <w:rsid w:val="334045BE"/>
    <w:rsid w:val="334A3B2A"/>
    <w:rsid w:val="3365592E"/>
    <w:rsid w:val="336A31F3"/>
    <w:rsid w:val="336F6533"/>
    <w:rsid w:val="337E5E2F"/>
    <w:rsid w:val="3384610D"/>
    <w:rsid w:val="33AA5979"/>
    <w:rsid w:val="33C03E90"/>
    <w:rsid w:val="33C96649"/>
    <w:rsid w:val="33CC3D88"/>
    <w:rsid w:val="33DD0306"/>
    <w:rsid w:val="33FD722F"/>
    <w:rsid w:val="3400362D"/>
    <w:rsid w:val="340B09C5"/>
    <w:rsid w:val="341E4CAB"/>
    <w:rsid w:val="34584EE2"/>
    <w:rsid w:val="347D373F"/>
    <w:rsid w:val="34922A93"/>
    <w:rsid w:val="34956481"/>
    <w:rsid w:val="34A35871"/>
    <w:rsid w:val="34C06C9D"/>
    <w:rsid w:val="34DF24AE"/>
    <w:rsid w:val="351C4931"/>
    <w:rsid w:val="351C4EAC"/>
    <w:rsid w:val="351D4C26"/>
    <w:rsid w:val="352E7D40"/>
    <w:rsid w:val="35361A77"/>
    <w:rsid w:val="35461A22"/>
    <w:rsid w:val="35483CC9"/>
    <w:rsid w:val="35A815CB"/>
    <w:rsid w:val="35A85BD0"/>
    <w:rsid w:val="35AA1B9C"/>
    <w:rsid w:val="35DB09A6"/>
    <w:rsid w:val="36080591"/>
    <w:rsid w:val="3609472F"/>
    <w:rsid w:val="369B4CF0"/>
    <w:rsid w:val="36D62629"/>
    <w:rsid w:val="36D76172"/>
    <w:rsid w:val="36D84407"/>
    <w:rsid w:val="36E833BB"/>
    <w:rsid w:val="36EB1E1B"/>
    <w:rsid w:val="36F17F0D"/>
    <w:rsid w:val="37224581"/>
    <w:rsid w:val="3735197D"/>
    <w:rsid w:val="373756A2"/>
    <w:rsid w:val="375E0DA6"/>
    <w:rsid w:val="378B61A6"/>
    <w:rsid w:val="37B90F0B"/>
    <w:rsid w:val="37CD3F98"/>
    <w:rsid w:val="37DF75BA"/>
    <w:rsid w:val="37E148E2"/>
    <w:rsid w:val="37F848EE"/>
    <w:rsid w:val="37F912FC"/>
    <w:rsid w:val="38304889"/>
    <w:rsid w:val="38382675"/>
    <w:rsid w:val="383B7B0D"/>
    <w:rsid w:val="3848553B"/>
    <w:rsid w:val="3851700B"/>
    <w:rsid w:val="385246B6"/>
    <w:rsid w:val="3876113B"/>
    <w:rsid w:val="38A53DB7"/>
    <w:rsid w:val="38BF3388"/>
    <w:rsid w:val="38CC268D"/>
    <w:rsid w:val="38DF1FDA"/>
    <w:rsid w:val="38EC2960"/>
    <w:rsid w:val="392536E2"/>
    <w:rsid w:val="39465F15"/>
    <w:rsid w:val="39505209"/>
    <w:rsid w:val="396453C5"/>
    <w:rsid w:val="39922CCF"/>
    <w:rsid w:val="39A65327"/>
    <w:rsid w:val="39A65C9B"/>
    <w:rsid w:val="39BC5ED6"/>
    <w:rsid w:val="39D27231"/>
    <w:rsid w:val="39EB39E0"/>
    <w:rsid w:val="39EF02D4"/>
    <w:rsid w:val="3A11342A"/>
    <w:rsid w:val="3A153110"/>
    <w:rsid w:val="3A2149EA"/>
    <w:rsid w:val="3A2507C0"/>
    <w:rsid w:val="3A285AD8"/>
    <w:rsid w:val="3A393FA7"/>
    <w:rsid w:val="3A3A5A22"/>
    <w:rsid w:val="3A524858"/>
    <w:rsid w:val="3A64203E"/>
    <w:rsid w:val="3A663D00"/>
    <w:rsid w:val="3A7428D0"/>
    <w:rsid w:val="3A923AE4"/>
    <w:rsid w:val="3AA50E25"/>
    <w:rsid w:val="3AC566E3"/>
    <w:rsid w:val="3AD6747A"/>
    <w:rsid w:val="3AD95C48"/>
    <w:rsid w:val="3B312338"/>
    <w:rsid w:val="3B3D0FF2"/>
    <w:rsid w:val="3B521A18"/>
    <w:rsid w:val="3B8D2B96"/>
    <w:rsid w:val="3B923660"/>
    <w:rsid w:val="3BCA44BE"/>
    <w:rsid w:val="3C061F3A"/>
    <w:rsid w:val="3C0A04F9"/>
    <w:rsid w:val="3C1940CF"/>
    <w:rsid w:val="3C495480"/>
    <w:rsid w:val="3C4C3A42"/>
    <w:rsid w:val="3C6F0167"/>
    <w:rsid w:val="3C71667B"/>
    <w:rsid w:val="3C914F3B"/>
    <w:rsid w:val="3CC17F13"/>
    <w:rsid w:val="3CD50B40"/>
    <w:rsid w:val="3CE320A3"/>
    <w:rsid w:val="3CE9196C"/>
    <w:rsid w:val="3CF15105"/>
    <w:rsid w:val="3D0C04B9"/>
    <w:rsid w:val="3D0D4F8E"/>
    <w:rsid w:val="3D1414C5"/>
    <w:rsid w:val="3D1C763E"/>
    <w:rsid w:val="3D201AA5"/>
    <w:rsid w:val="3D2B37EA"/>
    <w:rsid w:val="3D2F7FF3"/>
    <w:rsid w:val="3D3D1507"/>
    <w:rsid w:val="3D62085B"/>
    <w:rsid w:val="3D7B4622"/>
    <w:rsid w:val="3D8E5820"/>
    <w:rsid w:val="3D942E29"/>
    <w:rsid w:val="3DA53531"/>
    <w:rsid w:val="3DB54E0C"/>
    <w:rsid w:val="3DB900C1"/>
    <w:rsid w:val="3DE91725"/>
    <w:rsid w:val="3DF159B1"/>
    <w:rsid w:val="3E1A106E"/>
    <w:rsid w:val="3E36303B"/>
    <w:rsid w:val="3E526044"/>
    <w:rsid w:val="3E6C2B3A"/>
    <w:rsid w:val="3E8C5311"/>
    <w:rsid w:val="3E8E7E55"/>
    <w:rsid w:val="3EB61473"/>
    <w:rsid w:val="3EC66011"/>
    <w:rsid w:val="3ED75B7F"/>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765D15"/>
    <w:rsid w:val="407B4FC1"/>
    <w:rsid w:val="407F2DE9"/>
    <w:rsid w:val="40991379"/>
    <w:rsid w:val="409B3C3D"/>
    <w:rsid w:val="40F701DF"/>
    <w:rsid w:val="40FD480A"/>
    <w:rsid w:val="412A32F8"/>
    <w:rsid w:val="417F433E"/>
    <w:rsid w:val="419C4043"/>
    <w:rsid w:val="41B7239D"/>
    <w:rsid w:val="41FF3845"/>
    <w:rsid w:val="421104A9"/>
    <w:rsid w:val="42143B88"/>
    <w:rsid w:val="42164586"/>
    <w:rsid w:val="425B5DD1"/>
    <w:rsid w:val="4260300C"/>
    <w:rsid w:val="42755200"/>
    <w:rsid w:val="42772802"/>
    <w:rsid w:val="427C799E"/>
    <w:rsid w:val="42800B9B"/>
    <w:rsid w:val="4281223D"/>
    <w:rsid w:val="42A06B6C"/>
    <w:rsid w:val="42A27996"/>
    <w:rsid w:val="42AA04E2"/>
    <w:rsid w:val="42EA5650"/>
    <w:rsid w:val="431408DA"/>
    <w:rsid w:val="4331401E"/>
    <w:rsid w:val="43591DDA"/>
    <w:rsid w:val="435A0DF2"/>
    <w:rsid w:val="436C42E1"/>
    <w:rsid w:val="437C210F"/>
    <w:rsid w:val="43847F02"/>
    <w:rsid w:val="438F113C"/>
    <w:rsid w:val="439E7EFB"/>
    <w:rsid w:val="43B1568A"/>
    <w:rsid w:val="43B64E08"/>
    <w:rsid w:val="43BD7F58"/>
    <w:rsid w:val="43D43ECA"/>
    <w:rsid w:val="43DD452F"/>
    <w:rsid w:val="43DE6CD4"/>
    <w:rsid w:val="43E51150"/>
    <w:rsid w:val="43EF28BB"/>
    <w:rsid w:val="43EF56D3"/>
    <w:rsid w:val="44095C00"/>
    <w:rsid w:val="440A6FD2"/>
    <w:rsid w:val="44366C11"/>
    <w:rsid w:val="444946CA"/>
    <w:rsid w:val="444B3F54"/>
    <w:rsid w:val="4476661F"/>
    <w:rsid w:val="447E3AC5"/>
    <w:rsid w:val="44805ED4"/>
    <w:rsid w:val="448E5DEE"/>
    <w:rsid w:val="44A90BAA"/>
    <w:rsid w:val="44B24A20"/>
    <w:rsid w:val="44BC0BEE"/>
    <w:rsid w:val="44BF6C07"/>
    <w:rsid w:val="44C55A88"/>
    <w:rsid w:val="44FB1C9C"/>
    <w:rsid w:val="45392A13"/>
    <w:rsid w:val="454F1836"/>
    <w:rsid w:val="45887B45"/>
    <w:rsid w:val="458B66DF"/>
    <w:rsid w:val="45940F0E"/>
    <w:rsid w:val="45AC5DBA"/>
    <w:rsid w:val="45C647AF"/>
    <w:rsid w:val="45DD529D"/>
    <w:rsid w:val="45E57886"/>
    <w:rsid w:val="45E945CC"/>
    <w:rsid w:val="46003076"/>
    <w:rsid w:val="46026F63"/>
    <w:rsid w:val="46177E29"/>
    <w:rsid w:val="46205B7F"/>
    <w:rsid w:val="465D501C"/>
    <w:rsid w:val="466367DB"/>
    <w:rsid w:val="46686D18"/>
    <w:rsid w:val="46BF7E28"/>
    <w:rsid w:val="46C3037C"/>
    <w:rsid w:val="46FF15E0"/>
    <w:rsid w:val="4700581C"/>
    <w:rsid w:val="4702516A"/>
    <w:rsid w:val="474A4B33"/>
    <w:rsid w:val="47665A15"/>
    <w:rsid w:val="47677941"/>
    <w:rsid w:val="477F1660"/>
    <w:rsid w:val="4788232A"/>
    <w:rsid w:val="478B0398"/>
    <w:rsid w:val="478F5D0B"/>
    <w:rsid w:val="47A31F5F"/>
    <w:rsid w:val="47B52444"/>
    <w:rsid w:val="47B8724E"/>
    <w:rsid w:val="47ED7BCA"/>
    <w:rsid w:val="48016F34"/>
    <w:rsid w:val="480556DB"/>
    <w:rsid w:val="48185C56"/>
    <w:rsid w:val="48450F81"/>
    <w:rsid w:val="484E729D"/>
    <w:rsid w:val="48566773"/>
    <w:rsid w:val="485A23C2"/>
    <w:rsid w:val="48A16B62"/>
    <w:rsid w:val="48BC6222"/>
    <w:rsid w:val="48C245E9"/>
    <w:rsid w:val="48DB312A"/>
    <w:rsid w:val="48DF49D9"/>
    <w:rsid w:val="492108CC"/>
    <w:rsid w:val="49413F52"/>
    <w:rsid w:val="494F6304"/>
    <w:rsid w:val="4A05334F"/>
    <w:rsid w:val="4A244932"/>
    <w:rsid w:val="4A2922C8"/>
    <w:rsid w:val="4A4117B2"/>
    <w:rsid w:val="4A4A6F73"/>
    <w:rsid w:val="4A7A4350"/>
    <w:rsid w:val="4A7E2497"/>
    <w:rsid w:val="4A896826"/>
    <w:rsid w:val="4ABF5E17"/>
    <w:rsid w:val="4AD52CE0"/>
    <w:rsid w:val="4AE01A66"/>
    <w:rsid w:val="4AE104D6"/>
    <w:rsid w:val="4AE724D1"/>
    <w:rsid w:val="4AE77140"/>
    <w:rsid w:val="4AED707B"/>
    <w:rsid w:val="4AFA2F07"/>
    <w:rsid w:val="4B015D61"/>
    <w:rsid w:val="4B0B7979"/>
    <w:rsid w:val="4B1530DD"/>
    <w:rsid w:val="4B520DF4"/>
    <w:rsid w:val="4B603107"/>
    <w:rsid w:val="4B9802B0"/>
    <w:rsid w:val="4B9E65BE"/>
    <w:rsid w:val="4B9F33A8"/>
    <w:rsid w:val="4BA80AFD"/>
    <w:rsid w:val="4BB033BA"/>
    <w:rsid w:val="4BB469AD"/>
    <w:rsid w:val="4BC06040"/>
    <w:rsid w:val="4BF441D2"/>
    <w:rsid w:val="4C1C2A09"/>
    <w:rsid w:val="4C423098"/>
    <w:rsid w:val="4C694192"/>
    <w:rsid w:val="4C7964D9"/>
    <w:rsid w:val="4C9269F6"/>
    <w:rsid w:val="4CC84335"/>
    <w:rsid w:val="4CE9350A"/>
    <w:rsid w:val="4D225F85"/>
    <w:rsid w:val="4D297BF3"/>
    <w:rsid w:val="4D2D0EAF"/>
    <w:rsid w:val="4D7F0082"/>
    <w:rsid w:val="4D952FD9"/>
    <w:rsid w:val="4D970662"/>
    <w:rsid w:val="4DB33393"/>
    <w:rsid w:val="4DBC3CE3"/>
    <w:rsid w:val="4DCF1E0D"/>
    <w:rsid w:val="4DD632D9"/>
    <w:rsid w:val="4DE05D9E"/>
    <w:rsid w:val="4DE05DF9"/>
    <w:rsid w:val="4DE44800"/>
    <w:rsid w:val="4DEE0709"/>
    <w:rsid w:val="4DFC14EA"/>
    <w:rsid w:val="4DFF6815"/>
    <w:rsid w:val="4E0A3427"/>
    <w:rsid w:val="4E287F63"/>
    <w:rsid w:val="4E304B5D"/>
    <w:rsid w:val="4E611B8B"/>
    <w:rsid w:val="4E6279D7"/>
    <w:rsid w:val="4E682F8C"/>
    <w:rsid w:val="4E6A7BB7"/>
    <w:rsid w:val="4EB23220"/>
    <w:rsid w:val="4F0773B4"/>
    <w:rsid w:val="4F307BB1"/>
    <w:rsid w:val="4F3D562D"/>
    <w:rsid w:val="4F5C4EE0"/>
    <w:rsid w:val="4F6E1972"/>
    <w:rsid w:val="4F943166"/>
    <w:rsid w:val="4FBA02A1"/>
    <w:rsid w:val="4FE7106E"/>
    <w:rsid w:val="50053943"/>
    <w:rsid w:val="50374A3C"/>
    <w:rsid w:val="50550E55"/>
    <w:rsid w:val="50901457"/>
    <w:rsid w:val="509F43E4"/>
    <w:rsid w:val="50A54D3E"/>
    <w:rsid w:val="50B82E88"/>
    <w:rsid w:val="50BB32A7"/>
    <w:rsid w:val="50F1402B"/>
    <w:rsid w:val="50FD2AD9"/>
    <w:rsid w:val="51081E85"/>
    <w:rsid w:val="51097D9A"/>
    <w:rsid w:val="51237D2E"/>
    <w:rsid w:val="515B06D0"/>
    <w:rsid w:val="51996737"/>
    <w:rsid w:val="51B408B8"/>
    <w:rsid w:val="51B80848"/>
    <w:rsid w:val="51CC0868"/>
    <w:rsid w:val="51D5340F"/>
    <w:rsid w:val="52382F2A"/>
    <w:rsid w:val="52386E3D"/>
    <w:rsid w:val="523A7DD1"/>
    <w:rsid w:val="523B7711"/>
    <w:rsid w:val="5271774C"/>
    <w:rsid w:val="528D7B65"/>
    <w:rsid w:val="52DE008D"/>
    <w:rsid w:val="52EE341E"/>
    <w:rsid w:val="52F37FE6"/>
    <w:rsid w:val="52FC1CAF"/>
    <w:rsid w:val="530B071F"/>
    <w:rsid w:val="531A330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3EC4BF7"/>
    <w:rsid w:val="53F758A1"/>
    <w:rsid w:val="540D5A7F"/>
    <w:rsid w:val="542E2BC2"/>
    <w:rsid w:val="54352A96"/>
    <w:rsid w:val="54447390"/>
    <w:rsid w:val="544B514D"/>
    <w:rsid w:val="545E1D01"/>
    <w:rsid w:val="54674051"/>
    <w:rsid w:val="54935B8F"/>
    <w:rsid w:val="54CC6227"/>
    <w:rsid w:val="54D10F9B"/>
    <w:rsid w:val="54D97871"/>
    <w:rsid w:val="551D586C"/>
    <w:rsid w:val="55200298"/>
    <w:rsid w:val="55335E1B"/>
    <w:rsid w:val="554B7EF0"/>
    <w:rsid w:val="556F3D99"/>
    <w:rsid w:val="55720837"/>
    <w:rsid w:val="55860894"/>
    <w:rsid w:val="558F6181"/>
    <w:rsid w:val="55B02DF1"/>
    <w:rsid w:val="55DC290C"/>
    <w:rsid w:val="55E71B19"/>
    <w:rsid w:val="55EA5D64"/>
    <w:rsid w:val="55F01FA1"/>
    <w:rsid w:val="55FC19B9"/>
    <w:rsid w:val="56130B60"/>
    <w:rsid w:val="56990B7C"/>
    <w:rsid w:val="569E1126"/>
    <w:rsid w:val="56A8690E"/>
    <w:rsid w:val="56B80DEB"/>
    <w:rsid w:val="56E0560F"/>
    <w:rsid w:val="56E06E61"/>
    <w:rsid w:val="56F653FE"/>
    <w:rsid w:val="574448FC"/>
    <w:rsid w:val="57561D39"/>
    <w:rsid w:val="575B7AFD"/>
    <w:rsid w:val="57660D3F"/>
    <w:rsid w:val="5785783C"/>
    <w:rsid w:val="57D1153D"/>
    <w:rsid w:val="57FA3774"/>
    <w:rsid w:val="58084A3C"/>
    <w:rsid w:val="582772A7"/>
    <w:rsid w:val="58531B77"/>
    <w:rsid w:val="585D2975"/>
    <w:rsid w:val="585F64F9"/>
    <w:rsid w:val="587E3341"/>
    <w:rsid w:val="587F428B"/>
    <w:rsid w:val="58CF56D8"/>
    <w:rsid w:val="58D31010"/>
    <w:rsid w:val="58D6741E"/>
    <w:rsid w:val="58DB0535"/>
    <w:rsid w:val="58E62E0E"/>
    <w:rsid w:val="58EA3D0E"/>
    <w:rsid w:val="58F24A5D"/>
    <w:rsid w:val="58F71269"/>
    <w:rsid w:val="58FE045E"/>
    <w:rsid w:val="59561946"/>
    <w:rsid w:val="59670F51"/>
    <w:rsid w:val="596A44F9"/>
    <w:rsid w:val="596C19BB"/>
    <w:rsid w:val="59790BDB"/>
    <w:rsid w:val="597E3F42"/>
    <w:rsid w:val="598653AC"/>
    <w:rsid w:val="59AC3C86"/>
    <w:rsid w:val="59D42FDA"/>
    <w:rsid w:val="59DA4E01"/>
    <w:rsid w:val="59F64E82"/>
    <w:rsid w:val="5A0A5DD6"/>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6D62B9"/>
    <w:rsid w:val="5B9A2B59"/>
    <w:rsid w:val="5BC0085A"/>
    <w:rsid w:val="5BE03293"/>
    <w:rsid w:val="5BF03D58"/>
    <w:rsid w:val="5BF20AFB"/>
    <w:rsid w:val="5C1A6BB2"/>
    <w:rsid w:val="5C37233A"/>
    <w:rsid w:val="5C5355FE"/>
    <w:rsid w:val="5C6F4105"/>
    <w:rsid w:val="5CBB7F6F"/>
    <w:rsid w:val="5CC248CE"/>
    <w:rsid w:val="5D042FB1"/>
    <w:rsid w:val="5D442CB4"/>
    <w:rsid w:val="5D7C3F11"/>
    <w:rsid w:val="5D9D49E0"/>
    <w:rsid w:val="5DDF1821"/>
    <w:rsid w:val="5DE2656A"/>
    <w:rsid w:val="5DEA2F91"/>
    <w:rsid w:val="5DF94AE0"/>
    <w:rsid w:val="5DFA5883"/>
    <w:rsid w:val="5E3146A3"/>
    <w:rsid w:val="5E442F62"/>
    <w:rsid w:val="5E6C2C5B"/>
    <w:rsid w:val="5E6E2DD8"/>
    <w:rsid w:val="5E7251A2"/>
    <w:rsid w:val="5E7C3591"/>
    <w:rsid w:val="5E9D0E18"/>
    <w:rsid w:val="5EA341D7"/>
    <w:rsid w:val="5EA755DE"/>
    <w:rsid w:val="5ED35F0E"/>
    <w:rsid w:val="5EDF7832"/>
    <w:rsid w:val="5EFC1390"/>
    <w:rsid w:val="5EFC3EB6"/>
    <w:rsid w:val="5F03335D"/>
    <w:rsid w:val="5F0368C7"/>
    <w:rsid w:val="5F1544E7"/>
    <w:rsid w:val="5F312D8D"/>
    <w:rsid w:val="5F3C4923"/>
    <w:rsid w:val="5F5A7800"/>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A77D8"/>
    <w:rsid w:val="607B3C50"/>
    <w:rsid w:val="608B6567"/>
    <w:rsid w:val="60AA3E6F"/>
    <w:rsid w:val="60FF21D9"/>
    <w:rsid w:val="613021B3"/>
    <w:rsid w:val="61306A6A"/>
    <w:rsid w:val="613253FD"/>
    <w:rsid w:val="61421F29"/>
    <w:rsid w:val="61712185"/>
    <w:rsid w:val="618B7207"/>
    <w:rsid w:val="61A90D68"/>
    <w:rsid w:val="62065A1D"/>
    <w:rsid w:val="621775E2"/>
    <w:rsid w:val="622F7552"/>
    <w:rsid w:val="6250406E"/>
    <w:rsid w:val="627D6831"/>
    <w:rsid w:val="62811B1C"/>
    <w:rsid w:val="62A20409"/>
    <w:rsid w:val="62B54B44"/>
    <w:rsid w:val="62E045DA"/>
    <w:rsid w:val="62E454A1"/>
    <w:rsid w:val="62F36E4C"/>
    <w:rsid w:val="62F47F8F"/>
    <w:rsid w:val="62F7233F"/>
    <w:rsid w:val="631F3FB4"/>
    <w:rsid w:val="6340438B"/>
    <w:rsid w:val="6353238E"/>
    <w:rsid w:val="63612AB8"/>
    <w:rsid w:val="6379289B"/>
    <w:rsid w:val="637D0978"/>
    <w:rsid w:val="638968B0"/>
    <w:rsid w:val="638A282C"/>
    <w:rsid w:val="63A85E90"/>
    <w:rsid w:val="63A962DB"/>
    <w:rsid w:val="63AB1A91"/>
    <w:rsid w:val="63B82D47"/>
    <w:rsid w:val="63C74D38"/>
    <w:rsid w:val="63EE4692"/>
    <w:rsid w:val="63FD622D"/>
    <w:rsid w:val="643F32F9"/>
    <w:rsid w:val="64582686"/>
    <w:rsid w:val="64673C87"/>
    <w:rsid w:val="64A170D2"/>
    <w:rsid w:val="64A251DD"/>
    <w:rsid w:val="650242F0"/>
    <w:rsid w:val="65365B2B"/>
    <w:rsid w:val="653F447E"/>
    <w:rsid w:val="65542778"/>
    <w:rsid w:val="655829AF"/>
    <w:rsid w:val="656B70C3"/>
    <w:rsid w:val="658F4798"/>
    <w:rsid w:val="659B1EBA"/>
    <w:rsid w:val="65A83379"/>
    <w:rsid w:val="65B461E9"/>
    <w:rsid w:val="65BE39A8"/>
    <w:rsid w:val="65FB3FBE"/>
    <w:rsid w:val="66247D11"/>
    <w:rsid w:val="66736112"/>
    <w:rsid w:val="667F5B5B"/>
    <w:rsid w:val="6694262A"/>
    <w:rsid w:val="66990381"/>
    <w:rsid w:val="66B31B01"/>
    <w:rsid w:val="66CE1E80"/>
    <w:rsid w:val="66E362F9"/>
    <w:rsid w:val="66E47FD9"/>
    <w:rsid w:val="66F127F8"/>
    <w:rsid w:val="67071922"/>
    <w:rsid w:val="673B73C0"/>
    <w:rsid w:val="674743C8"/>
    <w:rsid w:val="675608B6"/>
    <w:rsid w:val="67754402"/>
    <w:rsid w:val="677D54ED"/>
    <w:rsid w:val="67B25E27"/>
    <w:rsid w:val="67B4646D"/>
    <w:rsid w:val="67B464CA"/>
    <w:rsid w:val="67C4383B"/>
    <w:rsid w:val="67D35E1A"/>
    <w:rsid w:val="67F35317"/>
    <w:rsid w:val="680201B7"/>
    <w:rsid w:val="68362BFB"/>
    <w:rsid w:val="683D085A"/>
    <w:rsid w:val="683F1130"/>
    <w:rsid w:val="684456A1"/>
    <w:rsid w:val="685E1363"/>
    <w:rsid w:val="687731D1"/>
    <w:rsid w:val="6878475E"/>
    <w:rsid w:val="688E1089"/>
    <w:rsid w:val="68993219"/>
    <w:rsid w:val="68A026F3"/>
    <w:rsid w:val="68AF6C13"/>
    <w:rsid w:val="68F25680"/>
    <w:rsid w:val="690E07C7"/>
    <w:rsid w:val="69236A65"/>
    <w:rsid w:val="692E469B"/>
    <w:rsid w:val="69315C48"/>
    <w:rsid w:val="694019EC"/>
    <w:rsid w:val="69584DB4"/>
    <w:rsid w:val="696C3D80"/>
    <w:rsid w:val="698A5EE4"/>
    <w:rsid w:val="69C811ED"/>
    <w:rsid w:val="69D33070"/>
    <w:rsid w:val="69E97E75"/>
    <w:rsid w:val="69FB5D9E"/>
    <w:rsid w:val="69FF6FDA"/>
    <w:rsid w:val="6A1A3007"/>
    <w:rsid w:val="6A1E645E"/>
    <w:rsid w:val="6A417049"/>
    <w:rsid w:val="6A7903E5"/>
    <w:rsid w:val="6A8219B9"/>
    <w:rsid w:val="6AA03032"/>
    <w:rsid w:val="6AA86FEC"/>
    <w:rsid w:val="6ACB20F7"/>
    <w:rsid w:val="6ADA6AC4"/>
    <w:rsid w:val="6ADB11D6"/>
    <w:rsid w:val="6B1A2C3C"/>
    <w:rsid w:val="6B31644D"/>
    <w:rsid w:val="6B486C86"/>
    <w:rsid w:val="6B554C72"/>
    <w:rsid w:val="6B774DF2"/>
    <w:rsid w:val="6B847AD7"/>
    <w:rsid w:val="6B9A2DF9"/>
    <w:rsid w:val="6BA56BC7"/>
    <w:rsid w:val="6BAC4619"/>
    <w:rsid w:val="6BC60150"/>
    <w:rsid w:val="6BCD2823"/>
    <w:rsid w:val="6BDD15DD"/>
    <w:rsid w:val="6BDF2966"/>
    <w:rsid w:val="6BE86A5F"/>
    <w:rsid w:val="6C234DED"/>
    <w:rsid w:val="6C29198B"/>
    <w:rsid w:val="6C3A67D1"/>
    <w:rsid w:val="6C3D2D5C"/>
    <w:rsid w:val="6C4800AA"/>
    <w:rsid w:val="6C4D28F8"/>
    <w:rsid w:val="6C573E9C"/>
    <w:rsid w:val="6C5C23DC"/>
    <w:rsid w:val="6C6D1126"/>
    <w:rsid w:val="6C986334"/>
    <w:rsid w:val="6CA35B3A"/>
    <w:rsid w:val="6CA41A5D"/>
    <w:rsid w:val="6CA479DF"/>
    <w:rsid w:val="6CAF588C"/>
    <w:rsid w:val="6CB4638E"/>
    <w:rsid w:val="6CBF3C6A"/>
    <w:rsid w:val="6CBF5306"/>
    <w:rsid w:val="6CE70FA1"/>
    <w:rsid w:val="6CFA6351"/>
    <w:rsid w:val="6CFC3C40"/>
    <w:rsid w:val="6D480984"/>
    <w:rsid w:val="6DB13E57"/>
    <w:rsid w:val="6DC71662"/>
    <w:rsid w:val="6DCD5126"/>
    <w:rsid w:val="6DDB6CB0"/>
    <w:rsid w:val="6DE21877"/>
    <w:rsid w:val="6DE52ACD"/>
    <w:rsid w:val="6DFC0B44"/>
    <w:rsid w:val="6E0458E7"/>
    <w:rsid w:val="6E212037"/>
    <w:rsid w:val="6E3B221B"/>
    <w:rsid w:val="6E475779"/>
    <w:rsid w:val="6E663C68"/>
    <w:rsid w:val="6E7764EF"/>
    <w:rsid w:val="6EAD447C"/>
    <w:rsid w:val="6EAE5472"/>
    <w:rsid w:val="6EBC069A"/>
    <w:rsid w:val="6ECD7F59"/>
    <w:rsid w:val="6ECF449B"/>
    <w:rsid w:val="6EED7C80"/>
    <w:rsid w:val="6EF773A4"/>
    <w:rsid w:val="6F1E2E65"/>
    <w:rsid w:val="6F2F2D9E"/>
    <w:rsid w:val="6F4147D9"/>
    <w:rsid w:val="6F581F47"/>
    <w:rsid w:val="6F5B0D5A"/>
    <w:rsid w:val="6F5C35EA"/>
    <w:rsid w:val="6F6B6A15"/>
    <w:rsid w:val="6F947E4B"/>
    <w:rsid w:val="6FA30BDA"/>
    <w:rsid w:val="6FB21D4C"/>
    <w:rsid w:val="6FB80698"/>
    <w:rsid w:val="701021F4"/>
    <w:rsid w:val="701C29A6"/>
    <w:rsid w:val="7024611F"/>
    <w:rsid w:val="70637B96"/>
    <w:rsid w:val="70797317"/>
    <w:rsid w:val="7099044B"/>
    <w:rsid w:val="709D518F"/>
    <w:rsid w:val="70C759D3"/>
    <w:rsid w:val="70CF2B23"/>
    <w:rsid w:val="70D70CB1"/>
    <w:rsid w:val="710952C1"/>
    <w:rsid w:val="71452CD8"/>
    <w:rsid w:val="7158683A"/>
    <w:rsid w:val="715B2F52"/>
    <w:rsid w:val="7167680B"/>
    <w:rsid w:val="71764F23"/>
    <w:rsid w:val="71946576"/>
    <w:rsid w:val="71967E84"/>
    <w:rsid w:val="71A61873"/>
    <w:rsid w:val="71AF4936"/>
    <w:rsid w:val="71B12351"/>
    <w:rsid w:val="71D75D0F"/>
    <w:rsid w:val="721919B3"/>
    <w:rsid w:val="721A6098"/>
    <w:rsid w:val="721D18D3"/>
    <w:rsid w:val="72310D1A"/>
    <w:rsid w:val="725D6B54"/>
    <w:rsid w:val="72986FA0"/>
    <w:rsid w:val="72A17C99"/>
    <w:rsid w:val="72A5093A"/>
    <w:rsid w:val="72AD7197"/>
    <w:rsid w:val="72AF6F7E"/>
    <w:rsid w:val="72CD226C"/>
    <w:rsid w:val="73047904"/>
    <w:rsid w:val="73253EFA"/>
    <w:rsid w:val="734C1A6A"/>
    <w:rsid w:val="735C5949"/>
    <w:rsid w:val="73671287"/>
    <w:rsid w:val="73737DA5"/>
    <w:rsid w:val="73740A39"/>
    <w:rsid w:val="73783823"/>
    <w:rsid w:val="73887B3E"/>
    <w:rsid w:val="73892412"/>
    <w:rsid w:val="73AF2114"/>
    <w:rsid w:val="73E96BCA"/>
    <w:rsid w:val="73EE4A6E"/>
    <w:rsid w:val="741048BC"/>
    <w:rsid w:val="742E78D4"/>
    <w:rsid w:val="74317498"/>
    <w:rsid w:val="74335A84"/>
    <w:rsid w:val="743A6A13"/>
    <w:rsid w:val="74676A28"/>
    <w:rsid w:val="747E40B6"/>
    <w:rsid w:val="74A12F17"/>
    <w:rsid w:val="74AC3224"/>
    <w:rsid w:val="74B21065"/>
    <w:rsid w:val="74BB2C83"/>
    <w:rsid w:val="74C33758"/>
    <w:rsid w:val="74DE4E5F"/>
    <w:rsid w:val="74EB54AB"/>
    <w:rsid w:val="74FF6D43"/>
    <w:rsid w:val="750201A2"/>
    <w:rsid w:val="751A76AF"/>
    <w:rsid w:val="75250574"/>
    <w:rsid w:val="7550443E"/>
    <w:rsid w:val="755F0BCC"/>
    <w:rsid w:val="756F17F9"/>
    <w:rsid w:val="75825461"/>
    <w:rsid w:val="759926FC"/>
    <w:rsid w:val="75A24276"/>
    <w:rsid w:val="75AA231D"/>
    <w:rsid w:val="75AD6340"/>
    <w:rsid w:val="75E8633A"/>
    <w:rsid w:val="76393874"/>
    <w:rsid w:val="763F09AA"/>
    <w:rsid w:val="764F3FCC"/>
    <w:rsid w:val="7650339F"/>
    <w:rsid w:val="76603C9A"/>
    <w:rsid w:val="76832D41"/>
    <w:rsid w:val="76BB1CAB"/>
    <w:rsid w:val="76C04050"/>
    <w:rsid w:val="76D67314"/>
    <w:rsid w:val="76E65049"/>
    <w:rsid w:val="77076007"/>
    <w:rsid w:val="77413F7E"/>
    <w:rsid w:val="77464076"/>
    <w:rsid w:val="7758241F"/>
    <w:rsid w:val="777A7D22"/>
    <w:rsid w:val="77835654"/>
    <w:rsid w:val="7797109C"/>
    <w:rsid w:val="779A2A38"/>
    <w:rsid w:val="77B4450A"/>
    <w:rsid w:val="77B46E73"/>
    <w:rsid w:val="77E37A12"/>
    <w:rsid w:val="77FE3468"/>
    <w:rsid w:val="78250553"/>
    <w:rsid w:val="78546F0C"/>
    <w:rsid w:val="786778FE"/>
    <w:rsid w:val="78EE1C79"/>
    <w:rsid w:val="78F85605"/>
    <w:rsid w:val="78FA66FA"/>
    <w:rsid w:val="79424F6E"/>
    <w:rsid w:val="797239CC"/>
    <w:rsid w:val="79831473"/>
    <w:rsid w:val="79983E9C"/>
    <w:rsid w:val="7999527A"/>
    <w:rsid w:val="79AF76C5"/>
    <w:rsid w:val="79C25EE1"/>
    <w:rsid w:val="79CE2967"/>
    <w:rsid w:val="79E34934"/>
    <w:rsid w:val="79EA664C"/>
    <w:rsid w:val="79F9627A"/>
    <w:rsid w:val="7A2F3BBF"/>
    <w:rsid w:val="7A2F459A"/>
    <w:rsid w:val="7A322A39"/>
    <w:rsid w:val="7A517022"/>
    <w:rsid w:val="7A6F5001"/>
    <w:rsid w:val="7A9635B3"/>
    <w:rsid w:val="7AA2343E"/>
    <w:rsid w:val="7AD60EB8"/>
    <w:rsid w:val="7ADA73A4"/>
    <w:rsid w:val="7AE66B99"/>
    <w:rsid w:val="7AF34646"/>
    <w:rsid w:val="7AFE508C"/>
    <w:rsid w:val="7B0A3BCA"/>
    <w:rsid w:val="7B345AA9"/>
    <w:rsid w:val="7B4048C1"/>
    <w:rsid w:val="7B73082F"/>
    <w:rsid w:val="7B7B492E"/>
    <w:rsid w:val="7BB46FBD"/>
    <w:rsid w:val="7BC62E00"/>
    <w:rsid w:val="7BE35E2A"/>
    <w:rsid w:val="7BF66C24"/>
    <w:rsid w:val="7BFA1CC7"/>
    <w:rsid w:val="7BFB70B3"/>
    <w:rsid w:val="7C0251DA"/>
    <w:rsid w:val="7C0E41D1"/>
    <w:rsid w:val="7C1052F2"/>
    <w:rsid w:val="7C2668D9"/>
    <w:rsid w:val="7C32497F"/>
    <w:rsid w:val="7C3C69AE"/>
    <w:rsid w:val="7C691974"/>
    <w:rsid w:val="7C8A6570"/>
    <w:rsid w:val="7C8B7390"/>
    <w:rsid w:val="7C9B0D0E"/>
    <w:rsid w:val="7CA42B03"/>
    <w:rsid w:val="7CD2318A"/>
    <w:rsid w:val="7CD2702A"/>
    <w:rsid w:val="7CD34C42"/>
    <w:rsid w:val="7CD46B29"/>
    <w:rsid w:val="7CDE3FF9"/>
    <w:rsid w:val="7CE26EBF"/>
    <w:rsid w:val="7CEE3130"/>
    <w:rsid w:val="7D1F6674"/>
    <w:rsid w:val="7D480B34"/>
    <w:rsid w:val="7D777A3E"/>
    <w:rsid w:val="7D9005BC"/>
    <w:rsid w:val="7D9F0AD0"/>
    <w:rsid w:val="7DD12BB7"/>
    <w:rsid w:val="7DF223A2"/>
    <w:rsid w:val="7DFF0955"/>
    <w:rsid w:val="7E0B750E"/>
    <w:rsid w:val="7E1939E8"/>
    <w:rsid w:val="7E2400E7"/>
    <w:rsid w:val="7E2822EA"/>
    <w:rsid w:val="7E355A7B"/>
    <w:rsid w:val="7E6E3E85"/>
    <w:rsid w:val="7E9C184B"/>
    <w:rsid w:val="7EA72948"/>
    <w:rsid w:val="7EB31EDB"/>
    <w:rsid w:val="7EE70CC0"/>
    <w:rsid w:val="7EEB48DB"/>
    <w:rsid w:val="7EF27444"/>
    <w:rsid w:val="7F185A04"/>
    <w:rsid w:val="7F265C58"/>
    <w:rsid w:val="7F4C4618"/>
    <w:rsid w:val="7F582CF2"/>
    <w:rsid w:val="7F951B40"/>
    <w:rsid w:val="7FB90D5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6">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416" w:lineRule="auto"/>
      <w:outlineLvl w:val="2"/>
    </w:pPr>
    <w:rPr>
      <w:b/>
      <w:bCs/>
      <w:sz w:val="32"/>
      <w:szCs w:val="32"/>
    </w:rPr>
  </w:style>
  <w:style w:type="paragraph" w:styleId="8">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34">
    <w:name w:val="Default Paragraph Font"/>
    <w:autoRedefine/>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73"/>
    <w:autoRedefine/>
    <w:qFormat/>
    <w:uiPriority w:val="0"/>
  </w:style>
  <w:style w:type="paragraph" w:customStyle="1" w:styleId="4">
    <w:name w:val="Default"/>
    <w:next w:val="5"/>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List Number"/>
    <w:basedOn w:val="1"/>
    <w:autoRedefine/>
    <w:qFormat/>
    <w:uiPriority w:val="0"/>
    <w:pPr>
      <w:widowControl/>
      <w:spacing w:beforeAutospacing="1" w:afterAutospacing="1"/>
      <w:jc w:val="left"/>
    </w:pPr>
    <w:rPr>
      <w:rFonts w:ascii="宋体" w:hAnsi="宋体" w:cs="宋体"/>
      <w:kern w:val="0"/>
      <w:sz w:val="24"/>
    </w:rPr>
  </w:style>
  <w:style w:type="paragraph" w:styleId="10">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1">
    <w:name w:val="Document Map"/>
    <w:basedOn w:val="1"/>
    <w:link w:val="75"/>
    <w:autoRedefine/>
    <w:qFormat/>
    <w:uiPriority w:val="0"/>
    <w:rPr>
      <w:rFonts w:ascii="宋体" w:hAnsi="Calibri"/>
      <w:sz w:val="18"/>
      <w:szCs w:val="18"/>
    </w:rPr>
  </w:style>
  <w:style w:type="paragraph" w:styleId="12">
    <w:name w:val="annotation text"/>
    <w:basedOn w:val="1"/>
    <w:autoRedefine/>
    <w:qFormat/>
    <w:uiPriority w:val="0"/>
    <w:pPr>
      <w:jc w:val="left"/>
    </w:pPr>
  </w:style>
  <w:style w:type="paragraph" w:styleId="13">
    <w:name w:val="Body Text 3"/>
    <w:basedOn w:val="1"/>
    <w:autoRedefine/>
    <w:qFormat/>
    <w:uiPriority w:val="0"/>
    <w:rPr>
      <w:sz w:val="16"/>
      <w:szCs w:val="16"/>
    </w:rPr>
  </w:style>
  <w:style w:type="paragraph" w:styleId="14">
    <w:name w:val="Body Text Indent"/>
    <w:basedOn w:val="1"/>
    <w:next w:val="15"/>
    <w:autoRedefine/>
    <w:qFormat/>
    <w:uiPriority w:val="0"/>
    <w:pPr>
      <w:widowControl/>
      <w:spacing w:beforeAutospacing="1" w:afterAutospacing="1"/>
      <w:jc w:val="left"/>
    </w:pPr>
    <w:rPr>
      <w:rFonts w:ascii="宋体" w:hAnsi="宋体" w:cs="宋体"/>
      <w:kern w:val="0"/>
      <w:sz w:val="24"/>
    </w:rPr>
  </w:style>
  <w:style w:type="paragraph" w:styleId="15">
    <w:name w:val="envelope return"/>
    <w:basedOn w:val="1"/>
    <w:autoRedefine/>
    <w:unhideWhenUsed/>
    <w:qFormat/>
    <w:uiPriority w:val="99"/>
    <w:pPr>
      <w:snapToGrid w:val="0"/>
    </w:pPr>
    <w:rPr>
      <w:rFonts w:ascii="Arial" w:hAnsi="Arial"/>
    </w:rPr>
  </w:style>
  <w:style w:type="paragraph" w:styleId="16">
    <w:name w:val="List 2"/>
    <w:basedOn w:val="1"/>
    <w:autoRedefine/>
    <w:qFormat/>
    <w:uiPriority w:val="0"/>
    <w:pPr>
      <w:ind w:left="100" w:leftChars="200" w:hanging="200" w:hangingChars="200"/>
    </w:pPr>
  </w:style>
  <w:style w:type="paragraph" w:styleId="17">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19">
    <w:name w:val="Plain Text"/>
    <w:basedOn w:val="1"/>
    <w:autoRedefine/>
    <w:qFormat/>
    <w:uiPriority w:val="0"/>
    <w:pPr>
      <w:widowControl/>
      <w:spacing w:beforeAutospacing="1" w:afterAutospacing="1"/>
      <w:jc w:val="left"/>
    </w:pPr>
    <w:rPr>
      <w:rFonts w:ascii="宋体" w:hAnsi="宋体" w:cs="宋体"/>
      <w:kern w:val="0"/>
      <w:sz w:val="24"/>
    </w:rPr>
  </w:style>
  <w:style w:type="paragraph" w:styleId="20">
    <w:name w:val="Date"/>
    <w:basedOn w:val="1"/>
    <w:next w:val="1"/>
    <w:autoRedefine/>
    <w:qFormat/>
    <w:uiPriority w:val="0"/>
    <w:pPr>
      <w:ind w:left="100" w:leftChars="2500"/>
    </w:pPr>
    <w:rPr>
      <w:rFonts w:ascii="宋体" w:hAnsi="宋体"/>
      <w:sz w:val="28"/>
    </w:rPr>
  </w:style>
  <w:style w:type="paragraph" w:styleId="21">
    <w:name w:val="Body Text Indent 2"/>
    <w:basedOn w:val="1"/>
    <w:autoRedefine/>
    <w:qFormat/>
    <w:uiPriority w:val="0"/>
    <w:pPr>
      <w:spacing w:line="480" w:lineRule="auto"/>
      <w:ind w:left="420" w:leftChars="200"/>
    </w:p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toc 1"/>
    <w:basedOn w:val="1"/>
    <w:next w:val="1"/>
    <w:autoRedefine/>
    <w:qFormat/>
    <w:uiPriority w:val="0"/>
  </w:style>
  <w:style w:type="paragraph" w:styleId="24">
    <w:name w:val="List"/>
    <w:basedOn w:val="1"/>
    <w:autoRedefine/>
    <w:qFormat/>
    <w:uiPriority w:val="0"/>
    <w:pPr>
      <w:ind w:left="200" w:hanging="200" w:hangingChars="200"/>
    </w:pPr>
  </w:style>
  <w:style w:type="paragraph" w:styleId="25">
    <w:name w:val="Body Text 2"/>
    <w:basedOn w:val="1"/>
    <w:next w:val="3"/>
    <w:autoRedefine/>
    <w:qFormat/>
    <w:uiPriority w:val="0"/>
    <w:pPr>
      <w:spacing w:line="480" w:lineRule="auto"/>
    </w:pPr>
  </w:style>
  <w:style w:type="paragraph" w:styleId="26">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autoRedefine/>
    <w:qFormat/>
    <w:uiPriority w:val="99"/>
    <w:pPr>
      <w:spacing w:before="100" w:beforeAutospacing="1" w:after="100" w:afterAutospacing="1"/>
      <w:jc w:val="left"/>
    </w:pPr>
    <w:rPr>
      <w:kern w:val="0"/>
      <w:sz w:val="24"/>
    </w:rPr>
  </w:style>
  <w:style w:type="paragraph" w:styleId="29">
    <w:name w:val="Title"/>
    <w:basedOn w:val="1"/>
    <w:autoRedefine/>
    <w:qFormat/>
    <w:uiPriority w:val="0"/>
    <w:pPr>
      <w:jc w:val="center"/>
      <w:outlineLvl w:val="0"/>
    </w:pPr>
    <w:rPr>
      <w:rFonts w:ascii="Arial" w:hAnsi="Arial" w:cs="Arial"/>
      <w:b/>
      <w:bCs/>
      <w:sz w:val="32"/>
      <w:szCs w:val="32"/>
    </w:rPr>
  </w:style>
  <w:style w:type="paragraph" w:styleId="30">
    <w:name w:val="Body Text First Indent"/>
    <w:basedOn w:val="3"/>
    <w:next w:val="31"/>
    <w:autoRedefine/>
    <w:qFormat/>
    <w:uiPriority w:val="0"/>
    <w:pPr>
      <w:spacing w:line="360" w:lineRule="auto"/>
      <w:ind w:firstLine="420" w:firstLineChars="100"/>
    </w:pPr>
    <w:rPr>
      <w:szCs w:val="21"/>
    </w:rPr>
  </w:style>
  <w:style w:type="paragraph" w:styleId="31">
    <w:name w:val="Body Text First Indent 2"/>
    <w:basedOn w:val="14"/>
    <w:next w:val="10"/>
    <w:autoRedefine/>
    <w:qFormat/>
    <w:uiPriority w:val="0"/>
    <w:pPr>
      <w:ind w:firstLine="420" w:firstLineChars="200"/>
    </w:pPr>
  </w:style>
  <w:style w:type="table" w:styleId="33">
    <w:name w:val="Table Grid"/>
    <w:basedOn w:val="32"/>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0"/>
    <w:rPr>
      <w:b/>
      <w:bCs/>
      <w:szCs w:val="24"/>
    </w:rPr>
  </w:style>
  <w:style w:type="character" w:styleId="36">
    <w:name w:val="page number"/>
    <w:basedOn w:val="34"/>
    <w:autoRedefine/>
    <w:qFormat/>
    <w:uiPriority w:val="0"/>
  </w:style>
  <w:style w:type="character" w:styleId="37">
    <w:name w:val="FollowedHyperlink"/>
    <w:autoRedefine/>
    <w:qFormat/>
    <w:uiPriority w:val="0"/>
    <w:rPr>
      <w:color w:val="333333"/>
      <w:szCs w:val="24"/>
      <w:u w:val="none"/>
    </w:rPr>
  </w:style>
  <w:style w:type="character" w:styleId="38">
    <w:name w:val="Emphasis"/>
    <w:basedOn w:val="34"/>
    <w:autoRedefine/>
    <w:qFormat/>
    <w:uiPriority w:val="0"/>
  </w:style>
  <w:style w:type="character" w:styleId="39">
    <w:name w:val="HTML Definition"/>
    <w:basedOn w:val="34"/>
    <w:autoRedefine/>
    <w:qFormat/>
    <w:uiPriority w:val="0"/>
  </w:style>
  <w:style w:type="character" w:styleId="40">
    <w:name w:val="HTML Typewriter"/>
    <w:basedOn w:val="34"/>
    <w:autoRedefine/>
    <w:qFormat/>
    <w:uiPriority w:val="0"/>
    <w:rPr>
      <w:rFonts w:hint="default" w:ascii="monospace" w:hAnsi="monospace" w:eastAsia="monospace" w:cs="monospace"/>
      <w:sz w:val="20"/>
    </w:rPr>
  </w:style>
  <w:style w:type="character" w:styleId="41">
    <w:name w:val="HTML Acronym"/>
    <w:basedOn w:val="34"/>
    <w:autoRedefine/>
    <w:qFormat/>
    <w:uiPriority w:val="0"/>
  </w:style>
  <w:style w:type="character" w:styleId="42">
    <w:name w:val="HTML Variable"/>
    <w:basedOn w:val="34"/>
    <w:autoRedefine/>
    <w:qFormat/>
    <w:uiPriority w:val="0"/>
  </w:style>
  <w:style w:type="character" w:styleId="43">
    <w:name w:val="Hyperlink"/>
    <w:basedOn w:val="34"/>
    <w:autoRedefine/>
    <w:qFormat/>
    <w:uiPriority w:val="0"/>
    <w:rPr>
      <w:color w:val="333333"/>
      <w:szCs w:val="24"/>
      <w:u w:val="none"/>
    </w:rPr>
  </w:style>
  <w:style w:type="character" w:styleId="44">
    <w:name w:val="HTML Code"/>
    <w:basedOn w:val="34"/>
    <w:autoRedefine/>
    <w:qFormat/>
    <w:uiPriority w:val="0"/>
    <w:rPr>
      <w:rFonts w:ascii="monospace" w:hAnsi="monospace" w:eastAsia="monospace" w:cs="monospace"/>
      <w:sz w:val="20"/>
    </w:rPr>
  </w:style>
  <w:style w:type="character" w:styleId="45">
    <w:name w:val="HTML Cite"/>
    <w:basedOn w:val="34"/>
    <w:autoRedefine/>
    <w:qFormat/>
    <w:uiPriority w:val="0"/>
  </w:style>
  <w:style w:type="character" w:styleId="46">
    <w:name w:val="HTML Keyboard"/>
    <w:basedOn w:val="34"/>
    <w:autoRedefine/>
    <w:qFormat/>
    <w:uiPriority w:val="0"/>
    <w:rPr>
      <w:rFonts w:hint="default" w:ascii="monospace" w:hAnsi="monospace" w:eastAsia="monospace" w:cs="monospace"/>
      <w:sz w:val="20"/>
    </w:rPr>
  </w:style>
  <w:style w:type="character" w:styleId="47">
    <w:name w:val="HTML Sample"/>
    <w:basedOn w:val="34"/>
    <w:autoRedefine/>
    <w:qFormat/>
    <w:uiPriority w:val="0"/>
    <w:rPr>
      <w:rFonts w:hint="default" w:ascii="monospace" w:hAnsi="monospace" w:eastAsia="monospace" w:cs="monospace"/>
    </w:rPr>
  </w:style>
  <w:style w:type="paragraph" w:customStyle="1" w:styleId="48">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49">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0">
    <w:name w:val="No Spacing1"/>
    <w:basedOn w:val="1"/>
    <w:autoRedefine/>
    <w:qFormat/>
    <w:uiPriority w:val="0"/>
    <w:pPr>
      <w:spacing w:line="400" w:lineRule="exact"/>
    </w:pPr>
    <w:rPr>
      <w:sz w:val="24"/>
    </w:rPr>
  </w:style>
  <w:style w:type="paragraph" w:customStyle="1" w:styleId="51">
    <w:name w:val="大标题"/>
    <w:basedOn w:val="1"/>
    <w:next w:val="31"/>
    <w:autoRedefine/>
    <w:qFormat/>
    <w:uiPriority w:val="0"/>
    <w:pPr>
      <w:jc w:val="center"/>
    </w:pPr>
    <w:rPr>
      <w:rFonts w:ascii="Arial" w:hAnsi="Arial"/>
      <w:b/>
      <w:sz w:val="28"/>
    </w:rPr>
  </w:style>
  <w:style w:type="paragraph" w:customStyle="1" w:styleId="52">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3">
    <w:name w:val="Char"/>
    <w:basedOn w:val="1"/>
    <w:autoRedefine/>
    <w:qFormat/>
    <w:uiPriority w:val="0"/>
  </w:style>
  <w:style w:type="paragraph" w:customStyle="1" w:styleId="54">
    <w:name w:val="正文缩进1"/>
    <w:basedOn w:val="1"/>
    <w:autoRedefine/>
    <w:qFormat/>
    <w:uiPriority w:val="0"/>
    <w:pPr>
      <w:widowControl/>
      <w:ind w:firstLine="420"/>
      <w:jc w:val="left"/>
    </w:pPr>
    <w:rPr>
      <w:kern w:val="0"/>
      <w:szCs w:val="20"/>
    </w:rPr>
  </w:style>
  <w:style w:type="paragraph" w:customStyle="1" w:styleId="55">
    <w:name w:val="列出段落2"/>
    <w:basedOn w:val="1"/>
    <w:autoRedefine/>
    <w:qFormat/>
    <w:uiPriority w:val="34"/>
    <w:pPr>
      <w:ind w:firstLine="420" w:firstLineChars="200"/>
    </w:pPr>
  </w:style>
  <w:style w:type="paragraph" w:customStyle="1" w:styleId="56">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7">
    <w:name w:val="1"/>
    <w:basedOn w:val="1"/>
    <w:autoRedefine/>
    <w:qFormat/>
    <w:uiPriority w:val="0"/>
    <w:pPr>
      <w:widowControl/>
      <w:spacing w:beforeAutospacing="1" w:afterAutospacing="1"/>
      <w:jc w:val="left"/>
    </w:pPr>
    <w:rPr>
      <w:rFonts w:ascii="宋体" w:hAnsi="宋体" w:cs="宋体"/>
      <w:kern w:val="0"/>
      <w:sz w:val="24"/>
    </w:rPr>
  </w:style>
  <w:style w:type="paragraph" w:styleId="58">
    <w:name w:val="No Spacing"/>
    <w:autoRedefine/>
    <w:qFormat/>
    <w:uiPriority w:val="1"/>
    <w:rPr>
      <w:rFonts w:ascii="Calibri" w:hAnsi="Calibri" w:eastAsia="宋体" w:cs="Times New Roman"/>
      <w:sz w:val="22"/>
      <w:szCs w:val="22"/>
      <w:lang w:val="en-US" w:eastAsia="zh-CN" w:bidi="ar-SA"/>
    </w:rPr>
  </w:style>
  <w:style w:type="paragraph" w:customStyle="1" w:styleId="59">
    <w:name w:val="_Style 2"/>
    <w:basedOn w:val="1"/>
    <w:autoRedefine/>
    <w:qFormat/>
    <w:uiPriority w:val="34"/>
    <w:pPr>
      <w:ind w:firstLine="420" w:firstLineChars="200"/>
    </w:pPr>
    <w:rPr>
      <w:rFonts w:ascii="Calibri" w:hAnsi="Calibri"/>
    </w:rPr>
  </w:style>
  <w:style w:type="paragraph" w:customStyle="1" w:styleId="60">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1">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2">
    <w:name w:val="Char1"/>
    <w:basedOn w:val="1"/>
    <w:autoRedefine/>
    <w:qFormat/>
    <w:uiPriority w:val="0"/>
  </w:style>
  <w:style w:type="paragraph" w:customStyle="1" w:styleId="63">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4">
    <w:name w:val="Table Paragraph"/>
    <w:basedOn w:val="1"/>
    <w:autoRedefine/>
    <w:qFormat/>
    <w:uiPriority w:val="1"/>
    <w:pPr>
      <w:jc w:val="left"/>
    </w:pPr>
    <w:rPr>
      <w:rFonts w:ascii="宋体" w:hAnsi="宋体" w:cs="宋体"/>
      <w:kern w:val="0"/>
      <w:sz w:val="22"/>
      <w:szCs w:val="22"/>
      <w:lang w:eastAsia="en-US"/>
    </w:rPr>
  </w:style>
  <w:style w:type="paragraph" w:customStyle="1" w:styleId="65">
    <w:name w:val="无间隔1"/>
    <w:basedOn w:val="1"/>
    <w:autoRedefine/>
    <w:qFormat/>
    <w:uiPriority w:val="1"/>
    <w:pPr>
      <w:spacing w:line="400" w:lineRule="exact"/>
    </w:pPr>
    <w:rPr>
      <w:sz w:val="24"/>
    </w:rPr>
  </w:style>
  <w:style w:type="paragraph" w:customStyle="1" w:styleId="66">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7">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68">
    <w:name w:val="列出段落1"/>
    <w:basedOn w:val="1"/>
    <w:autoRedefine/>
    <w:qFormat/>
    <w:uiPriority w:val="34"/>
    <w:pPr>
      <w:ind w:firstLine="420" w:firstLineChars="200"/>
    </w:pPr>
  </w:style>
  <w:style w:type="paragraph" w:customStyle="1" w:styleId="69">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0">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1">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列出段落11"/>
    <w:basedOn w:val="1"/>
    <w:autoRedefine/>
    <w:qFormat/>
    <w:uiPriority w:val="0"/>
    <w:pPr>
      <w:ind w:firstLine="420" w:firstLineChars="200"/>
    </w:pPr>
    <w:rPr>
      <w:rFonts w:ascii="Calibri" w:hAnsi="Calibri"/>
      <w:szCs w:val="22"/>
    </w:rPr>
  </w:style>
  <w:style w:type="character" w:customStyle="1" w:styleId="73">
    <w:name w:val="正文文本 Char"/>
    <w:basedOn w:val="34"/>
    <w:link w:val="3"/>
    <w:autoRedefine/>
    <w:qFormat/>
    <w:uiPriority w:val="0"/>
  </w:style>
  <w:style w:type="character" w:customStyle="1" w:styleId="74">
    <w:name w:val="apple-converted-space"/>
    <w:basedOn w:val="34"/>
    <w:qFormat/>
    <w:uiPriority w:val="0"/>
  </w:style>
  <w:style w:type="character" w:customStyle="1" w:styleId="75">
    <w:name w:val="文档结构图 Char"/>
    <w:link w:val="11"/>
    <w:autoRedefine/>
    <w:qFormat/>
    <w:uiPriority w:val="0"/>
    <w:rPr>
      <w:rFonts w:ascii="宋体"/>
      <w:kern w:val="2"/>
      <w:sz w:val="18"/>
      <w:szCs w:val="18"/>
    </w:rPr>
  </w:style>
  <w:style w:type="character" w:customStyle="1" w:styleId="76">
    <w:name w:val="不明显强调1"/>
    <w:autoRedefine/>
    <w:qFormat/>
    <w:uiPriority w:val="19"/>
    <w:rPr>
      <w:i/>
      <w:iCs/>
      <w:color w:val="7F7F7F"/>
      <w:szCs w:val="24"/>
    </w:rPr>
  </w:style>
  <w:style w:type="character" w:customStyle="1" w:styleId="77">
    <w:name w:val="font71"/>
    <w:qFormat/>
    <w:uiPriority w:val="0"/>
    <w:rPr>
      <w:rFonts w:hint="eastAsia" w:ascii="宋体" w:hAnsi="宋体" w:eastAsia="宋体" w:cs="宋体"/>
      <w:color w:val="000000"/>
      <w:sz w:val="28"/>
      <w:szCs w:val="28"/>
      <w:u w:val="none"/>
    </w:rPr>
  </w:style>
  <w:style w:type="character" w:customStyle="1" w:styleId="78">
    <w:name w:val="font21"/>
    <w:autoRedefine/>
    <w:qFormat/>
    <w:uiPriority w:val="0"/>
    <w:rPr>
      <w:rFonts w:hint="default" w:ascii="Calibri" w:hAnsi="Calibri" w:cs="Calibri"/>
      <w:color w:val="000000"/>
      <w:sz w:val="28"/>
      <w:szCs w:val="28"/>
      <w:u w:val="none"/>
    </w:rPr>
  </w:style>
  <w:style w:type="character" w:customStyle="1" w:styleId="79">
    <w:name w:val="17"/>
    <w:autoRedefine/>
    <w:qFormat/>
    <w:uiPriority w:val="0"/>
    <w:rPr>
      <w:rFonts w:hint="eastAsia" w:ascii="宋体" w:hAnsi="宋体" w:eastAsia="宋体"/>
      <w:color w:val="000000"/>
    </w:rPr>
  </w:style>
  <w:style w:type="character" w:customStyle="1" w:styleId="80">
    <w:name w:val="font91"/>
    <w:qFormat/>
    <w:uiPriority w:val="0"/>
    <w:rPr>
      <w:rFonts w:hint="eastAsia" w:ascii="宋体" w:hAnsi="宋体" w:eastAsia="宋体" w:cs="宋体"/>
      <w:color w:val="FF0000"/>
      <w:sz w:val="28"/>
      <w:szCs w:val="28"/>
      <w:u w:val="none"/>
    </w:rPr>
  </w:style>
  <w:style w:type="paragraph" w:customStyle="1" w:styleId="81">
    <w:name w:val="p"/>
    <w:basedOn w:val="1"/>
    <w:autoRedefine/>
    <w:qFormat/>
    <w:uiPriority w:val="0"/>
    <w:pPr>
      <w:widowControl/>
      <w:spacing w:line="432" w:lineRule="auto"/>
      <w:jc w:val="left"/>
    </w:pPr>
    <w:rPr>
      <w:rFonts w:ascii="宋体" w:hAnsi="宋体" w:cs="宋体"/>
      <w:kern w:val="0"/>
      <w:sz w:val="24"/>
    </w:rPr>
  </w:style>
  <w:style w:type="paragraph" w:customStyle="1" w:styleId="82">
    <w:name w:val="WPSOffice手动目录 1"/>
    <w:autoRedefine/>
    <w:qFormat/>
    <w:uiPriority w:val="0"/>
    <w:rPr>
      <w:rFonts w:ascii="Times New Roman" w:hAnsi="Times New Roman" w:eastAsia="宋体" w:cs="Times New Roman"/>
      <w:lang w:val="en-US" w:eastAsia="zh-CN" w:bidi="ar-SA"/>
    </w:rPr>
  </w:style>
  <w:style w:type="paragraph" w:customStyle="1" w:styleId="83">
    <w:name w:val="*正文_1"/>
    <w:basedOn w:val="1"/>
    <w:next w:val="1"/>
    <w:qFormat/>
    <w:uiPriority w:val="0"/>
    <w:pPr>
      <w:widowControl/>
      <w:ind w:firstLine="482"/>
    </w:pPr>
    <w:rPr>
      <w:rFonts w:ascii="微软雅黑" w:hAnsi="微软雅黑" w:eastAsia="微软雅黑"/>
      <w:kern w:val="0"/>
      <w:szCs w:val="20"/>
    </w:rPr>
  </w:style>
  <w:style w:type="paragraph" w:customStyle="1" w:styleId="84">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5">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6">
    <w:name w:val="列表段落1"/>
    <w:basedOn w:val="1"/>
    <w:autoRedefine/>
    <w:qFormat/>
    <w:uiPriority w:val="34"/>
    <w:pPr>
      <w:widowControl/>
      <w:ind w:firstLine="420"/>
      <w:jc w:val="left"/>
    </w:pPr>
    <w:rPr>
      <w:kern w:val="0"/>
    </w:rPr>
  </w:style>
  <w:style w:type="paragraph" w:styleId="87">
    <w:name w:val="List Paragraph"/>
    <w:basedOn w:val="1"/>
    <w:autoRedefine/>
    <w:qFormat/>
    <w:uiPriority w:val="34"/>
    <w:pPr>
      <w:ind w:firstLine="420" w:firstLineChars="200"/>
    </w:pPr>
  </w:style>
  <w:style w:type="character" w:customStyle="1" w:styleId="88">
    <w:name w:val="hover18"/>
    <w:basedOn w:val="34"/>
    <w:autoRedefine/>
    <w:qFormat/>
    <w:uiPriority w:val="0"/>
  </w:style>
  <w:style w:type="table" w:customStyle="1" w:styleId="89">
    <w:name w:val="Table Normal"/>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20731</Words>
  <Characters>21695</Characters>
  <Lines>50</Lines>
  <Paragraphs>68</Paragraphs>
  <TotalTime>0</TotalTime>
  <ScaleCrop>false</ScaleCrop>
  <LinksUpToDate>false</LinksUpToDate>
  <CharactersWithSpaces>22703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梧桐叶落</cp:lastModifiedBy>
  <cp:lastPrinted>2021-09-30T00:46:00Z</cp:lastPrinted>
  <dcterms:modified xsi:type="dcterms:W3CDTF">2023-12-22T03:06:47Z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6B4FDCA957CB4E82998C2E32247B97ED_13</vt:lpwstr>
  </property>
</Properties>
</file>