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4"/>
          <w:szCs w:val="44"/>
          <w:lang w:val="en-US"/>
        </w:rPr>
      </w:pPr>
      <w:r>
        <w:rPr>
          <w:rFonts w:hint="eastAsia" w:cs="宋体"/>
          <w:b/>
          <w:bCs/>
          <w:sz w:val="44"/>
          <w:szCs w:val="44"/>
          <w:lang w:val="en-US" w:eastAsia="zh-CN"/>
        </w:rPr>
        <w:t>驻马店市中心医院妇儿院区消防自动报警系统维护保养及消防设施维修常用配件采购</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ascii="宋体" w:hAnsi="宋体" w:eastAsia="宋体"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ascii="宋体" w:hAnsi="宋体" w:eastAsia="宋体" w:cs="宋体"/>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eastAsia="宋体" w:cs="宋体"/>
          <w:b/>
          <w:bCs/>
          <w:color w:val="000000" w:themeColor="text1"/>
          <w:spacing w:val="40"/>
          <w:sz w:val="34"/>
          <w:szCs w:val="34"/>
          <w:lang w:val="en-US" w:eastAsia="zh-CN"/>
          <w14:textFill>
            <w14:solidFill>
              <w14:schemeClr w14:val="tx1"/>
            </w14:solidFill>
          </w14:textFill>
        </w:rPr>
        <w:t>04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hint="eastAsia" w:ascii="宋体" w:hAnsi="宋体" w:eastAsia="宋体" w:cs="宋体"/>
          <w:bCs/>
          <w:color w:val="auto"/>
          <w:sz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目录</w:t>
      </w:r>
    </w:p>
    <w:p>
      <w:pPr>
        <w:pStyle w:val="52"/>
        <w:rPr>
          <w:rFonts w:hint="eastAsia" w:ascii="宋体" w:hAnsi="宋体" w:eastAsia="宋体" w:cs="宋体"/>
          <w:color w:val="auto"/>
          <w:highlight w:val="none"/>
        </w:rPr>
      </w:pP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第三章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4</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3"/>
        <w:tabs>
          <w:tab w:val="right" w:leader="dot" w:pos="8958"/>
        </w:tabs>
        <w:snapToGrid w:val="0"/>
        <w:spacing w:line="48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第六章  </w:t>
      </w:r>
      <w:r>
        <w:rPr>
          <w:rFonts w:hint="eastAsia" w:ascii="宋体" w:hAnsi="宋体" w:eastAsia="宋体" w:cs="宋体"/>
          <w:color w:val="auto"/>
          <w:szCs w:val="21"/>
          <w:highlight w:val="none"/>
          <w:lang w:eastAsia="zh-CN"/>
        </w:rPr>
        <w:t>响应性文件</w:t>
      </w:r>
      <w:r>
        <w:rPr>
          <w:rFonts w:hint="eastAsia" w:ascii="宋体" w:hAnsi="宋体" w:eastAsia="宋体" w:cs="宋体"/>
          <w:color w:val="auto"/>
          <w:szCs w:val="21"/>
          <w:highlight w:val="none"/>
        </w:rPr>
        <w:t>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23</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2"/>
        <w:tabs>
          <w:tab w:val="right" w:leader="dot" w:pos="8300"/>
        </w:tabs>
        <w:snapToGrid w:val="0"/>
        <w:spacing w:line="48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spacing w:line="440" w:lineRule="exact"/>
        <w:rPr>
          <w:rFonts w:hint="eastAsia" w:ascii="宋体" w:hAnsi="宋体" w:eastAsia="宋体" w:cs="宋体"/>
          <w:b/>
          <w:color w:val="auto"/>
          <w:sz w:val="32"/>
          <w:szCs w:val="32"/>
          <w:highlight w:val="none"/>
        </w:rPr>
      </w:pPr>
    </w:p>
    <w:p>
      <w:pPr>
        <w:spacing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驻马店市中心医院妇儿院区消防自动报警系统维护保养及消防设施维修常用配件采购</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rPr>
        <w:t xml:space="preserve"> </w:t>
      </w:r>
      <w:r>
        <w:rPr>
          <w:rFonts w:hint="eastAsia" w:ascii="宋体" w:hAnsi="宋体" w:cs="宋体"/>
          <w:color w:val="auto"/>
          <w:sz w:val="24"/>
          <w:szCs w:val="28"/>
          <w:u w:val="single"/>
          <w:lang w:val="en-US" w:eastAsia="zh-CN"/>
        </w:rPr>
        <w:t xml:space="preserve"> 妇儿院区安防系统维护保养及安防设施维修常用配件采购 </w:t>
      </w:r>
      <w:r>
        <w:rPr>
          <w:rFonts w:hint="eastAsia" w:ascii="宋体" w:hAnsi="宋体" w:eastAsia="宋体" w:cs="宋体"/>
          <w:color w:val="auto"/>
          <w:sz w:val="24"/>
          <w:szCs w:val="28"/>
          <w:u w:val="single"/>
          <w:lang w:val="en-US" w:eastAsia="zh-CN"/>
        </w:rPr>
        <w:t xml:space="preserve"> </w:t>
      </w:r>
      <w:r>
        <w:rPr>
          <w:rFonts w:hint="eastAsia" w:ascii="宋体" w:hAnsi="宋体" w:eastAsia="宋体" w:cs="宋体"/>
          <w:i w:val="0"/>
          <w:iCs w:val="0"/>
          <w:color w:val="auto"/>
          <w:sz w:val="24"/>
          <w:szCs w:val="28"/>
          <w:u w:val="none"/>
          <w:lang w:val="en-US" w:eastAsia="zh-CN"/>
        </w:rPr>
        <w:t>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8"/>
          <w:lang w:eastAsia="zh-CN"/>
        </w:rPr>
        <w:t>驻马店市中心医院妇儿院区消防自动报警系统维护保养及消防设施维修常用配件采购</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3"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sz w:val="24"/>
          <w:szCs w:val="24"/>
          <w:highlight w:val="none"/>
          <w:shd w:val="clear" w:color="auto" w:fill="FFFFFF"/>
          <w:lang w:val="en-US" w:eastAsia="zh-CN"/>
        </w:rPr>
        <w:t>消防维保</w:t>
      </w:r>
      <w:r>
        <w:rPr>
          <w:rFonts w:hint="eastAsia" w:ascii="宋体" w:hAnsi="宋体" w:cs="宋体"/>
          <w:color w:val="auto"/>
          <w:sz w:val="24"/>
          <w:szCs w:val="24"/>
          <w:highlight w:val="none"/>
          <w:shd w:val="clear" w:color="auto" w:fill="FFFFFF"/>
          <w:lang w:val="en-US" w:eastAsia="zh-CN"/>
        </w:rPr>
        <w:t>：</w:t>
      </w:r>
      <w:r>
        <w:rPr>
          <w:rFonts w:hint="eastAsia" w:ascii="宋体" w:hAnsi="宋体" w:cs="宋体"/>
          <w:color w:val="auto"/>
          <w:kern w:val="0"/>
          <w:sz w:val="24"/>
          <w:szCs w:val="24"/>
          <w:highlight w:val="none"/>
          <w:u w:val="none"/>
          <w:lang w:val="en-US" w:eastAsia="zh-CN"/>
        </w:rPr>
        <w:t>19万</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消防设施维修常用配件</w:t>
      </w:r>
      <w:r>
        <w:rPr>
          <w:rFonts w:hint="eastAsia" w:ascii="宋体" w:hAnsi="宋体" w:cs="宋体"/>
          <w:color w:val="auto"/>
          <w:sz w:val="24"/>
          <w:szCs w:val="24"/>
          <w:highlight w:val="none"/>
          <w:shd w:val="clear" w:color="auto" w:fill="FFFFFF"/>
          <w:lang w:val="en-US" w:eastAsia="zh-CN"/>
        </w:rPr>
        <w:t>：30万元（据实结算）</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line="40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eastAsia="宋体" w:cs="宋体"/>
          <w:color w:val="auto"/>
          <w:sz w:val="24"/>
          <w:szCs w:val="24"/>
          <w:highlight w:val="none"/>
          <w:shd w:val="clear" w:color="auto" w:fill="FFFFFF"/>
          <w:lang w:val="en-US" w:eastAsia="zh-CN"/>
        </w:rPr>
        <w:t>服务地点：采购人指定地点；</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bookmarkStart w:id="4" w:name="_Toc26079"/>
      <w:bookmarkStart w:id="5" w:name="_Toc21071"/>
      <w:bookmarkStart w:id="6" w:name="_Toc27913"/>
      <w:bookmarkStart w:id="7" w:name="_Toc19521"/>
      <w:bookmarkStart w:id="8" w:name="_Toc24040"/>
      <w:r>
        <w:rPr>
          <w:rFonts w:hint="eastAsia" w:ascii="宋体" w:hAnsi="宋体" w:eastAsia="宋体" w:cs="宋体"/>
          <w:color w:val="auto"/>
          <w:sz w:val="24"/>
          <w:szCs w:val="24"/>
          <w:highlight w:val="none"/>
          <w:shd w:val="clear" w:color="auto" w:fill="FFFFFF"/>
        </w:rPr>
        <w:t>5、合同履行期限：</w:t>
      </w:r>
      <w:r>
        <w:rPr>
          <w:rFonts w:hint="eastAsia" w:ascii="宋体" w:hAnsi="宋体" w:eastAsia="宋体" w:cs="宋体"/>
          <w:color w:val="auto"/>
          <w:sz w:val="24"/>
          <w:szCs w:val="24"/>
          <w:highlight w:val="none"/>
          <w:shd w:val="clear" w:color="auto" w:fill="FFFFFF"/>
          <w:lang w:val="en-US" w:eastAsia="zh-CN"/>
        </w:rPr>
        <w:t>一年；</w:t>
      </w:r>
    </w:p>
    <w:p>
      <w:pPr>
        <w:keepNext w:val="0"/>
        <w:keepLines w:val="0"/>
        <w:pageBreakBefore w:val="0"/>
        <w:widowControl/>
        <w:tabs>
          <w:tab w:val="left" w:pos="840"/>
        </w:tabs>
        <w:kinsoku/>
        <w:overflowPunct/>
        <w:topLinePunct w:val="0"/>
        <w:bidi w:val="0"/>
        <w:snapToGrid w:val="0"/>
        <w:spacing w:line="40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4"/>
      <w:bookmarkEnd w:id="5"/>
      <w:bookmarkEnd w:id="6"/>
      <w:bookmarkEnd w:id="7"/>
      <w:bookmarkEnd w:id="8"/>
      <w:r>
        <w:rPr>
          <w:rFonts w:hint="eastAsia" w:ascii="宋体" w:hAnsi="宋体" w:eastAsia="宋体" w:cs="宋体"/>
          <w:color w:val="auto"/>
          <w:sz w:val="24"/>
          <w:szCs w:val="24"/>
          <w:highlight w:val="none"/>
          <w:shd w:val="clear" w:color="auto" w:fill="FFFFFF"/>
          <w:lang w:eastAsia="zh-CN"/>
        </w:rPr>
        <w:t>服务</w:t>
      </w:r>
      <w:r>
        <w:rPr>
          <w:rFonts w:hint="eastAsia" w:ascii="宋体" w:hAnsi="宋体" w:eastAsia="宋体" w:cs="宋体"/>
          <w:color w:val="auto"/>
          <w:sz w:val="24"/>
          <w:szCs w:val="24"/>
          <w:highlight w:val="none"/>
          <w:shd w:val="clear" w:color="auto" w:fill="FFFFFF"/>
        </w:rPr>
        <w:t>要求：</w:t>
      </w:r>
      <w:r>
        <w:rPr>
          <w:rFonts w:hint="eastAsia" w:ascii="宋体" w:hAnsi="宋体" w:eastAsia="宋体" w:cs="宋体"/>
          <w:color w:val="auto"/>
          <w:sz w:val="24"/>
          <w:szCs w:val="24"/>
          <w:highlight w:val="none"/>
          <w:shd w:val="clear" w:color="auto" w:fill="FFFFFF"/>
          <w:lang w:eastAsia="zh-CN"/>
        </w:rPr>
        <w:t>合格（以采购人要求为准）。</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9" w:name="_Toc23626"/>
      <w:bookmarkStart w:id="10" w:name="_Toc18607"/>
      <w:bookmarkStart w:id="11" w:name="_Toc27704"/>
      <w:bookmarkStart w:id="12" w:name="_Toc16639"/>
      <w:r>
        <w:rPr>
          <w:rFonts w:hint="eastAsia" w:ascii="宋体" w:hAnsi="宋体" w:eastAsia="宋体" w:cs="宋体"/>
          <w:b/>
          <w:bCs/>
          <w:color w:val="auto"/>
          <w:kern w:val="2"/>
          <w:sz w:val="24"/>
          <w:szCs w:val="24"/>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kern w:val="2"/>
          <w:sz w:val="24"/>
          <w:szCs w:val="32"/>
          <w:highlight w:val="none"/>
          <w:lang w:val="en-US" w:eastAsia="zh-CN" w:bidi="ar-SA"/>
        </w:rPr>
        <w:t>6</w:t>
      </w:r>
      <w:r>
        <w:rPr>
          <w:rFonts w:hint="eastAsia" w:ascii="宋体" w:hAnsi="宋体" w:eastAsia="宋体" w:cs="宋体"/>
          <w:color w:val="auto"/>
          <w:sz w:val="24"/>
          <w:szCs w:val="28"/>
          <w:highlight w:val="none"/>
          <w:lang w:val="en-US" w:eastAsia="zh-CN"/>
        </w:rPr>
        <w:t>、</w:t>
      </w:r>
      <w:r>
        <w:rPr>
          <w:rFonts w:hint="eastAsia" w:ascii="宋体" w:hAnsi="宋体" w:eastAsia="宋体" w:cs="宋体"/>
          <w:color w:val="auto"/>
          <w:sz w:val="24"/>
          <w:szCs w:val="28"/>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0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7、不接受联合体投标。</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auto"/>
          <w:kern w:val="2"/>
          <w:sz w:val="24"/>
          <w:szCs w:val="32"/>
          <w:lang w:val="en-US" w:eastAsia="zh-CN" w:bidi="ar-SA"/>
        </w:rPr>
      </w:pPr>
      <w:bookmarkStart w:id="13" w:name="_Toc7823"/>
      <w:bookmarkStart w:id="14" w:name="_Toc9562"/>
      <w:bookmarkStart w:id="15" w:name="_Toc30971"/>
      <w:bookmarkStart w:id="16" w:name="_Toc23395"/>
      <w:bookmarkStart w:id="17" w:name="_Toc30643"/>
      <w:r>
        <w:rPr>
          <w:rFonts w:hint="eastAsia" w:ascii="宋体" w:hAnsi="宋体" w:eastAsia="宋体" w:cs="宋体"/>
          <w:b/>
          <w:bCs/>
          <w:color w:val="auto"/>
          <w:kern w:val="2"/>
          <w:sz w:val="24"/>
          <w:szCs w:val="32"/>
          <w:lang w:val="en-US" w:eastAsia="zh-CN" w:bidi="ar-SA"/>
        </w:rPr>
        <w:t>三、获取采购文件</w:t>
      </w:r>
      <w:bookmarkEnd w:id="13"/>
      <w:bookmarkEnd w:id="14"/>
      <w:bookmarkEnd w:id="15"/>
      <w:bookmarkEnd w:id="16"/>
      <w:bookmarkEnd w:id="17"/>
    </w:p>
    <w:p>
      <w:pPr>
        <w:keepNext w:val="0"/>
        <w:keepLines w:val="0"/>
        <w:pageBreakBefore w:val="0"/>
        <w:widowControl/>
        <w:kinsoku/>
        <w:overflowPunct/>
        <w:topLinePunct w:val="0"/>
        <w:bidi w:val="0"/>
        <w:adjustRightInd w:val="0"/>
        <w:snapToGrid w:val="0"/>
        <w:spacing w:line="400" w:lineRule="exact"/>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24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日-202</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eastAsia="宋体" w:cs="宋体"/>
          <w:color w:val="000000" w:themeColor="text1"/>
          <w:sz w:val="24"/>
          <w:szCs w:val="24"/>
          <w:highlight w:val="none"/>
          <w:shd w:val="clear" w:color="auto" w:fill="FFFFFF"/>
          <w:lang w:val="en-US" w:eastAsia="zh-CN"/>
          <w14:textFill>
            <w14:solidFill>
              <w14:schemeClr w14:val="tx1"/>
            </w14:solidFill>
          </w14:textFill>
        </w:rPr>
        <w:t>04</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月</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26</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日</w:t>
      </w:r>
      <w:r>
        <w:rPr>
          <w:rFonts w:hint="eastAsia" w:ascii="宋体" w:hAnsi="宋体" w:eastAsia="宋体" w:cs="宋体"/>
          <w:color w:val="auto"/>
          <w:sz w:val="24"/>
          <w:szCs w:val="24"/>
          <w:highlight w:val="none"/>
          <w:shd w:val="clear" w:color="auto" w:fill="FFFFFF"/>
        </w:rPr>
        <w:t>，上</w:t>
      </w:r>
      <w:r>
        <w:rPr>
          <w:rFonts w:hint="eastAsia" w:ascii="宋体" w:hAnsi="宋体" w:eastAsia="宋体" w:cs="宋体"/>
          <w:color w:val="auto"/>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报名费用：200元。</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2.凡报名成功的供应商无故不来参与投标的列入我院黑名单，一年内不得参与我院任何采购活动。成交供应商缴纳相应服务费。 </w:t>
      </w:r>
    </w:p>
    <w:p>
      <w:pPr>
        <w:keepNext w:val="0"/>
        <w:keepLines w:val="0"/>
        <w:pageBreakBefore w:val="0"/>
        <w:widowControl/>
        <w:kinsoku/>
        <w:wordWrap w:val="0"/>
        <w:overflowPunct/>
        <w:topLinePunct w:val="0"/>
        <w:bidi w:val="0"/>
        <w:snapToGrid w:val="0"/>
        <w:spacing w:before="0" w:beforeAutospacing="0" w:after="0" w:afterAutospacing="0" w:line="400" w:lineRule="exact"/>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3269714460@qq.com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400" w:lineRule="exact"/>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18" w:name="_Toc15111"/>
      <w:bookmarkStart w:id="19" w:name="_Toc15135"/>
      <w:bookmarkStart w:id="20" w:name="_Toc25869"/>
      <w:bookmarkStart w:id="21" w:name="_Toc10738"/>
      <w:bookmarkStart w:id="22" w:name="_Toc27480"/>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18"/>
      <w:bookmarkEnd w:id="19"/>
      <w:bookmarkEnd w:id="20"/>
      <w:bookmarkEnd w:id="21"/>
      <w:bookmarkEnd w:id="22"/>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0287"/>
      <w:bookmarkStart w:id="24" w:name="_Toc30918"/>
      <w:bookmarkStart w:id="25" w:name="_Toc29784"/>
      <w:bookmarkStart w:id="26" w:name="_Toc6523"/>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3"/>
      <w:bookmarkEnd w:id="24"/>
      <w:bookmarkEnd w:id="25"/>
      <w:bookmarkEnd w:id="26"/>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bookmarkStart w:id="27" w:name="_Toc35393626"/>
      <w:bookmarkStart w:id="28" w:name="_Toc35393795"/>
    </w:p>
    <w:bookmarkEnd w:id="27"/>
    <w:bookmarkEnd w:id="28"/>
    <w:p>
      <w:pPr>
        <w:keepNext w:val="0"/>
        <w:keepLines w:val="0"/>
        <w:pageBreakBefore w:val="0"/>
        <w:widowControl/>
        <w:kinsoku/>
        <w:overflowPunct/>
        <w:topLinePunct w:val="0"/>
        <w:bidi w:val="0"/>
        <w:snapToGrid w:val="0"/>
        <w:spacing w:before="0" w:after="0" w:line="400" w:lineRule="exact"/>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9" w:name="_Toc3604"/>
      <w:bookmarkStart w:id="30" w:name="_Toc24274"/>
      <w:bookmarkStart w:id="31" w:name="_Toc31928"/>
      <w:bookmarkStart w:id="32" w:name="_Toc27370"/>
      <w:bookmarkStart w:id="33" w:name="_Toc16291"/>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七、</w:t>
      </w:r>
      <w:bookmarkEnd w:id="29"/>
      <w:bookmarkEnd w:id="30"/>
      <w:bookmarkEnd w:id="31"/>
      <w:bookmarkEnd w:id="32"/>
      <w:bookmarkEnd w:id="33"/>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报名联系人1：张先生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联系电话：0396-2838319   15518321111</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报名联系人2：庞先生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联系电话：18272909999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400" w:lineRule="exact"/>
        <w:ind w:firstLine="480" w:firstLineChars="200"/>
        <w:jc w:val="left"/>
        <w:textAlignment w:val="auto"/>
        <w:rPr>
          <w:rFonts w:hint="eastAsia" w:ascii="宋体" w:hAnsi="宋体" w:eastAsia="宋体" w:cs="宋体"/>
          <w:color w:val="000000" w:themeColor="text1"/>
          <w:sz w:val="24"/>
          <w:szCs w:val="28"/>
          <w:lang w:val="en-US" w:eastAsia="zh-CN"/>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pStyle w:val="28"/>
        <w:keepNext w:val="0"/>
        <w:keepLines w:val="0"/>
        <w:pageBreakBefore w:val="0"/>
        <w:widowControl/>
        <w:kinsoku/>
        <w:overflowPunct/>
        <w:topLinePunct w:val="0"/>
        <w:bidi w:val="0"/>
        <w:snapToGrid w:val="0"/>
        <w:spacing w:before="0" w:beforeAutospacing="0" w:after="0" w:afterAutospacing="0" w:line="360" w:lineRule="auto"/>
        <w:ind w:firstLine="480" w:firstLineChars="200"/>
        <w:jc w:val="center"/>
        <w:textAlignment w:val="auto"/>
        <w:rPr>
          <w:rFonts w:hint="eastAsia" w:ascii="宋体" w:hAnsi="宋体" w:eastAsia="宋体" w:cs="宋体"/>
          <w:b/>
          <w:color w:val="auto"/>
          <w:sz w:val="32"/>
          <w:szCs w:val="32"/>
          <w:highlight w:val="none"/>
        </w:rPr>
      </w:pPr>
      <w:r>
        <w:rPr>
          <w:rFonts w:hint="eastAsia" w:ascii="宋体" w:hAnsi="宋体" w:eastAsia="宋体" w:cs="宋体"/>
          <w:color w:val="auto"/>
          <w:kern w:val="0"/>
          <w:sz w:val="24"/>
          <w:szCs w:val="24"/>
          <w:shd w:val="clear" w:color="auto" w:fill="FFFFFF"/>
          <w:lang w:val="en-US" w:eastAsia="zh-CN" w:bidi="ar-SA"/>
        </w:rPr>
        <w:t xml:space="preserve">                                               2023年</w:t>
      </w:r>
      <w:r>
        <w:rPr>
          <w:rFonts w:hint="eastAsia" w:ascii="宋体" w:hAnsi="宋体" w:eastAsia="宋体" w:cs="宋体"/>
          <w:color w:val="auto"/>
          <w:kern w:val="0"/>
          <w:sz w:val="24"/>
          <w:szCs w:val="24"/>
          <w:highlight w:val="none"/>
          <w:shd w:val="clear" w:color="auto" w:fill="FFFFFF"/>
          <w:lang w:val="en-US" w:eastAsia="zh-CN" w:bidi="ar-SA"/>
        </w:rPr>
        <w:t>04月</w:t>
      </w:r>
      <w:r>
        <w:rPr>
          <w:rFonts w:hint="eastAsia" w:ascii="宋体" w:hAnsi="宋体" w:cs="宋体"/>
          <w:color w:val="auto"/>
          <w:kern w:val="0"/>
          <w:sz w:val="24"/>
          <w:szCs w:val="24"/>
          <w:highlight w:val="none"/>
          <w:shd w:val="clear" w:color="auto" w:fill="FFFFFF"/>
          <w:lang w:val="en-US" w:eastAsia="zh-CN" w:bidi="ar-SA"/>
        </w:rPr>
        <w:t>23</w:t>
      </w:r>
      <w:r>
        <w:rPr>
          <w:rFonts w:hint="eastAsia" w:ascii="宋体" w:hAnsi="宋体" w:eastAsia="宋体" w:cs="宋体"/>
          <w:color w:val="auto"/>
          <w:kern w:val="0"/>
          <w:sz w:val="24"/>
          <w:szCs w:val="24"/>
          <w:highlight w:val="none"/>
          <w:shd w:val="clear" w:color="auto" w:fill="FFFFFF"/>
          <w:lang w:val="en-US" w:eastAsia="zh-CN" w:bidi="ar-SA"/>
        </w:rPr>
        <w:t>日</w:t>
      </w:r>
      <w:bookmarkStart w:id="34" w:name="_Toc25063"/>
      <w:bookmarkStart w:id="35" w:name="_Toc23793"/>
      <w:bookmarkStart w:id="36" w:name="_Toc29890"/>
    </w:p>
    <w:p>
      <w:pPr>
        <w:widowControl/>
        <w:spacing w:line="360" w:lineRule="auto"/>
        <w:ind w:firstLine="643" w:firstLineChars="200"/>
        <w:jc w:val="center"/>
        <w:outlineLvl w:val="0"/>
        <w:rPr>
          <w:rFonts w:hint="eastAsia" w:ascii="宋体" w:hAnsi="宋体" w:eastAsia="宋体" w:cs="宋体"/>
          <w:b/>
          <w:color w:val="auto"/>
          <w:sz w:val="32"/>
          <w:szCs w:val="32"/>
          <w:highlight w:val="none"/>
        </w:rPr>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pPr>
    </w:p>
    <w:p>
      <w:pPr>
        <w:widowControl/>
        <w:spacing w:line="360" w:lineRule="auto"/>
        <w:ind w:firstLine="643" w:firstLineChars="200"/>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34"/>
      <w:bookmarkStart w:id="37" w:name="_Toc31536"/>
      <w:bookmarkStart w:id="38" w:name="_Toc9989"/>
      <w:bookmarkStart w:id="39" w:name="_Toc23610"/>
    </w:p>
    <w:bookmarkEnd w:id="35"/>
    <w:bookmarkEnd w:id="36"/>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bookmarkStart w:id="40" w:name="_Toc14504"/>
      <w:r>
        <w:rPr>
          <w:rFonts w:hint="eastAsia" w:ascii="宋体" w:hAnsi="宋体" w:eastAsia="宋体" w:cs="宋体"/>
          <w:b/>
          <w:bCs/>
          <w:kern w:val="2"/>
          <w:sz w:val="24"/>
          <w:szCs w:val="24"/>
          <w:lang w:val="en-US" w:eastAsia="zh-CN" w:bidi="ar-SA"/>
        </w:rPr>
        <w:t>一、项目名称、数量</w:t>
      </w:r>
      <w:r>
        <w:rPr>
          <w:rFonts w:hint="eastAsia" w:ascii="宋体" w:hAnsi="宋体" w:eastAsia="宋体" w:cs="宋体"/>
          <w:kern w:val="2"/>
          <w:sz w:val="24"/>
          <w:szCs w:val="24"/>
          <w:lang w:val="en-US" w:eastAsia="zh-CN" w:bidi="ar-SA"/>
        </w:rPr>
        <w:t>：</w:t>
      </w:r>
      <w:r>
        <w:rPr>
          <w:rFonts w:hint="eastAsia" w:cs="宋体"/>
          <w:color w:val="auto"/>
          <w:sz w:val="24"/>
          <w:szCs w:val="28"/>
          <w:lang w:eastAsia="zh-CN"/>
        </w:rPr>
        <w:t>驻马店市中心医院妇儿院区消防自动报警系统维护保养及消防设施维修常用配件采购；</w:t>
      </w:r>
      <w:r>
        <w:rPr>
          <w:rFonts w:hint="eastAsia" w:ascii="宋体" w:hAnsi="宋体" w:eastAsia="宋体" w:cs="宋体"/>
          <w:kern w:val="2"/>
          <w:sz w:val="24"/>
          <w:szCs w:val="24"/>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二、项目用途说明：</w:t>
      </w:r>
      <w:r>
        <w:rPr>
          <w:rFonts w:hint="eastAsia" w:ascii="宋体" w:hAnsi="宋体" w:eastAsia="宋体" w:cs="宋体"/>
          <w:b w:val="0"/>
          <w:bCs w:val="0"/>
          <w:kern w:val="2"/>
          <w:sz w:val="24"/>
          <w:szCs w:val="24"/>
          <w:lang w:val="en-US" w:eastAsia="zh-CN" w:bidi="ar-SA"/>
        </w:rPr>
        <w:t>保障医院安防系统处于良好状态</w:t>
      </w:r>
      <w:r>
        <w:rPr>
          <w:rFonts w:hint="eastAsia"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 xml:space="preserve"> </w:t>
      </w:r>
      <w:r>
        <w:rPr>
          <w:rFonts w:hint="eastAsia" w:ascii="宋体" w:hAnsi="宋体" w:eastAsia="宋体" w:cs="宋体"/>
          <w:kern w:val="2"/>
          <w:sz w:val="24"/>
          <w:szCs w:val="24"/>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三、配置规格、附件及零配件（包括专用工具）：</w:t>
      </w:r>
    </w:p>
    <w:tbl>
      <w:tblPr>
        <w:tblStyle w:val="3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263"/>
        <w:gridCol w:w="2445"/>
        <w:gridCol w:w="225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226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项目名称</w:t>
            </w:r>
          </w:p>
        </w:tc>
        <w:tc>
          <w:tcPr>
            <w:tcW w:w="2445"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数量或规模</w:t>
            </w:r>
          </w:p>
        </w:tc>
        <w:tc>
          <w:tcPr>
            <w:tcW w:w="2250"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资金预算</w:t>
            </w:r>
          </w:p>
        </w:tc>
        <w:tc>
          <w:tcPr>
            <w:tcW w:w="1287"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2"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宋体" w:hAnsi="宋体" w:eastAsia="宋体" w:cs="宋体"/>
                <w:b w:val="0"/>
                <w:bCs w:val="0"/>
                <w:sz w:val="24"/>
                <w:szCs w:val="24"/>
                <w:lang w:val="en-US" w:eastAsia="zh-CN"/>
              </w:rPr>
            </w:pPr>
            <w:r>
              <w:rPr>
                <w:rFonts w:hint="eastAsia" w:ascii="宋体" w:hAnsi="宋体"/>
                <w:sz w:val="24"/>
                <w:szCs w:val="24"/>
              </w:rPr>
              <w:t>1</w:t>
            </w:r>
          </w:p>
        </w:tc>
        <w:tc>
          <w:tcPr>
            <w:tcW w:w="2263" w:type="dxa"/>
            <w:tcBorders>
              <w:top w:val="single" w:color="auto" w:sz="4" w:space="0"/>
              <w:left w:val="nil"/>
              <w:bottom w:val="single" w:color="auto" w:sz="4" w:space="0"/>
              <w:right w:val="single" w:color="auto" w:sz="4" w:space="0"/>
            </w:tcBorders>
            <w:vAlign w:val="center"/>
          </w:tcPr>
          <w:p>
            <w:pPr>
              <w:pStyle w:val="13"/>
              <w:ind w:left="34" w:leftChars="16"/>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妇儿院区消防自动报警系统维护保养及消防设施维修常用配件采购</w:t>
            </w:r>
          </w:p>
        </w:tc>
        <w:tc>
          <w:tcPr>
            <w:tcW w:w="2445" w:type="dxa"/>
            <w:tcBorders>
              <w:top w:val="single" w:color="auto" w:sz="4" w:space="0"/>
              <w:left w:val="nil"/>
              <w:bottom w:val="single" w:color="auto" w:sz="4" w:space="0"/>
              <w:right w:val="single" w:color="auto" w:sz="4" w:space="0"/>
            </w:tcBorders>
            <w:vAlign w:val="center"/>
          </w:tcPr>
          <w:p>
            <w:pPr>
              <w:pStyle w:val="13"/>
              <w:ind w:left="34" w:leftChars="16"/>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门诊楼、住院楼、规培中心、锅炉房、制氧中心、污水处理中心等共计11.2万平方米。</w:t>
            </w:r>
          </w:p>
        </w:tc>
        <w:tc>
          <w:tcPr>
            <w:tcW w:w="2250" w:type="dxa"/>
            <w:tcBorders>
              <w:top w:val="single" w:color="auto" w:sz="4" w:space="0"/>
              <w:left w:val="nil"/>
              <w:bottom w:val="single" w:color="auto" w:sz="4" w:space="0"/>
              <w:right w:val="single" w:color="auto" w:sz="4" w:space="0"/>
            </w:tcBorders>
            <w:vAlign w:val="center"/>
          </w:tcPr>
          <w:p>
            <w:pPr>
              <w:pStyle w:val="13"/>
              <w:ind w:left="34" w:leftChars="16"/>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消防维保费用为每年19万。</w:t>
            </w:r>
          </w:p>
          <w:p>
            <w:pPr>
              <w:pStyle w:val="13"/>
              <w:ind w:left="34" w:leftChars="16"/>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消防设施维修常用配件费用每年30万元（据实结算）。</w:t>
            </w:r>
          </w:p>
        </w:tc>
        <w:tc>
          <w:tcPr>
            <w:tcW w:w="1287"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b w:val="0"/>
                <w:bCs w:val="0"/>
                <w:sz w:val="24"/>
                <w:szCs w:val="24"/>
                <w:lang w:val="en-US" w:eastAsia="zh-CN"/>
              </w:rPr>
            </w:pPr>
            <w:r>
              <w:rPr>
                <w:rFonts w:hint="eastAsia" w:ascii="宋体" w:hAnsi="宋体"/>
              </w:rPr>
              <w:t>自筹</w:t>
            </w:r>
          </w:p>
        </w:tc>
      </w:tr>
    </w:tbl>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firstLine="480" w:firstLineChars="200"/>
        <w:jc w:val="both"/>
        <w:rPr>
          <w:rFonts w:hint="eastAsia" w:ascii="宋体" w:hAnsi="宋体" w:eastAsia="宋体" w:cs="宋体"/>
          <w:b w:val="0"/>
          <w:bCs w:val="0"/>
          <w:kern w:val="2"/>
          <w:sz w:val="24"/>
          <w:szCs w:val="24"/>
          <w:lang w:val="en-US" w:eastAsia="zh-CN" w:bidi="ar-SA"/>
        </w:rPr>
      </w:pP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须确保提供的服务所有配套件的完整性。消防设备、设施在使用过程中，因严重损坏至无法修复需要更换部件时，</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需向采购人主管部门提出，经采购人同意后，再行更换。易损易耗件（应急灯、疏散指示灯、消防栓玻璃、闭门器）由采购人采购，中标人免费安装。每月2000元以下的维修及配件费用由中标方承担。另需中标人支付第三方造价公司造价咨询费2000元。</w:t>
      </w:r>
    </w:p>
    <w:p>
      <w:pPr>
        <w:pStyle w:val="13"/>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详细技术要求、参数及产品资料等：</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供应商拟派驻本项目的人员（1人以上）需持有中级技能等级以上建（构）筑物消防员职业资格证书/消防设施操作员证书），提供职业资格证书，8小时驻场服务,8小时之外，2小时内到现场解决问题。重大问题2小时内有响应，48小时内解决。供应商应提供2019年以来建筑消防设施维保合同3份及以上。</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消防自动报警系统维护保养费，19万元/年。</w:t>
      </w:r>
    </w:p>
    <w:p>
      <w:pPr>
        <w:numPr>
          <w:ilvl w:val="0"/>
          <w:numId w:val="2"/>
        </w:num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消防设施维修常用配件费用，30万元/年，（实际支出据实结算）；常用配件报价需含税、人工、运输、拆装等一切费用。</w:t>
      </w:r>
    </w:p>
    <w:tbl>
      <w:tblPr>
        <w:tblStyle w:val="32"/>
        <w:tblW w:w="4892" w:type="pct"/>
        <w:tblInd w:w="91" w:type="dxa"/>
        <w:tblLayout w:type="fixed"/>
        <w:tblCellMar>
          <w:top w:w="0" w:type="dxa"/>
          <w:left w:w="108" w:type="dxa"/>
          <w:bottom w:w="0" w:type="dxa"/>
          <w:right w:w="108" w:type="dxa"/>
        </w:tblCellMar>
      </w:tblPr>
      <w:tblGrid>
        <w:gridCol w:w="666"/>
        <w:gridCol w:w="49"/>
        <w:gridCol w:w="1691"/>
        <w:gridCol w:w="1792"/>
        <w:gridCol w:w="1494"/>
        <w:gridCol w:w="895"/>
        <w:gridCol w:w="1047"/>
        <w:gridCol w:w="1343"/>
      </w:tblGrid>
      <w:tr>
        <w:tblPrEx>
          <w:tblCellMar>
            <w:top w:w="0" w:type="dxa"/>
            <w:left w:w="108" w:type="dxa"/>
            <w:bottom w:w="0" w:type="dxa"/>
            <w:right w:w="108" w:type="dxa"/>
          </w:tblCellMar>
        </w:tblPrEx>
        <w:trPr>
          <w:trHeight w:val="772"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名称</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品牌</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拦标价（元）</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年使用量</w:t>
            </w:r>
          </w:p>
        </w:tc>
      </w:tr>
      <w:tr>
        <w:tblPrEx>
          <w:tblCellMar>
            <w:top w:w="0" w:type="dxa"/>
            <w:left w:w="108" w:type="dxa"/>
            <w:bottom w:w="0" w:type="dxa"/>
            <w:right w:w="108" w:type="dxa"/>
          </w:tblCellMar>
        </w:tblPrEx>
        <w:trPr>
          <w:trHeight w:val="331"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火灾自动报警系统</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智能型感烟探测器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104.76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120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手动报警按钮</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109.61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120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消火栓按钮</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108.78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火灾声光警报器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144.53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消防广播吸顶音响</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76.8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输入/输出模块</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157.14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输入模块</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157.14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火灾显示盘</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450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消防电话分机</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186.24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消防端子箱</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总线隔离器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124.16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常用规格端子箱</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手动报警按钮(带电话插孔)</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109.61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金属模块箱</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145.5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应急启、停按钮</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消防警铃</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116.4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广播模块（输出模块）</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189.15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阻燃型铜芯线ZR-RVS-2*1.5</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12.998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200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FF0000"/>
                <w:kern w:val="0"/>
                <w:sz w:val="24"/>
                <w:szCs w:val="24"/>
              </w:rPr>
            </w:pPr>
            <w:r>
              <w:rPr>
                <w:rFonts w:hint="eastAsia" w:ascii="宋体" w:hAnsi="宋体" w:cs="宋体"/>
                <w:color w:val="000000"/>
                <w:kern w:val="0"/>
                <w:sz w:val="22"/>
                <w:lang w:bidi="ar"/>
              </w:rPr>
              <w:t>24V继电器（带底座）</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38.8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风口执行器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189.15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排烟防火阀执行器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189.15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电源盘</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2399.78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报警主机回路板</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2330.91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消防电话主机</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2408.51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ascii="宋体" w:hAnsi="宋体" w:cs="宋体"/>
                <w:color w:val="000000"/>
                <w:kern w:val="0"/>
                <w:sz w:val="22"/>
              </w:rPr>
              <w:t>5</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消防广播主机</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2718.91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ascii="宋体" w:hAnsi="宋体" w:cs="宋体"/>
                <w:color w:val="000000"/>
                <w:kern w:val="0"/>
                <w:sz w:val="22"/>
              </w:rPr>
              <w:t>2</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消防广播功放</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1398.55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ascii="宋体" w:hAnsi="宋体" w:cs="宋体"/>
                <w:color w:val="000000"/>
                <w:kern w:val="0"/>
                <w:sz w:val="22"/>
              </w:rPr>
              <w:t>1</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消防主机备用电池</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组</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1241.6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气体灭火主机备用电池</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组</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582</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29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液位探测器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套</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776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30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消防手持电话</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62.08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气体灭火系统</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可燃气体报警控制器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4116.00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可燃气体探测器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342.97</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智能型感温探测器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气体灭火控制器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2394.68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气体喷洒火灾声光报警器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114.89</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952"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紧急启停按钮及气体灭火控制器功能</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可燃气体报警控制器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4116.00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31"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电气火灾监控系统、消防设备电源监控系统</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电源监控探测器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388.00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火灾监控探测器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388.00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5</w:t>
            </w:r>
          </w:p>
        </w:tc>
      </w:tr>
      <w:tr>
        <w:tblPrEx>
          <w:tblCellMar>
            <w:top w:w="0" w:type="dxa"/>
            <w:left w:w="108" w:type="dxa"/>
            <w:bottom w:w="0" w:type="dxa"/>
            <w:right w:w="108" w:type="dxa"/>
          </w:tblCellMar>
        </w:tblPrEx>
        <w:trPr>
          <w:trHeight w:val="331"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消火栓系统</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DN25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24.50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44.10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78.40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133.28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角铁</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40*4</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19.40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压力表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（1.6MP）</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块</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77.60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电接点压力表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块</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105.73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表弯</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21.34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流量开关</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200.00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沟槽蝶阀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233.03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沟槽蝶阀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330.53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卡箍闸阀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174.53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软密封闸阀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314.93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软密封闸阀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497.25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24.50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软密封闸阀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848.25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法兰片</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副</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49.73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法兰片</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副</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74.10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法兰片</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副</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117.00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法兰片</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副</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144.30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消声止回阀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191.10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消声止回阀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276.36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立式止回阀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174.44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立式止回阀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DN32</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188.16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卧式止回阀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250.88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卧式止回阀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191.10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卡箍</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27.44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卡箍</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29.40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卡箍</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87.22</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片</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74.48</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法兰</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片</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117.60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机械三通</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55.40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正三通</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60.26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弯头</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52.49</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正三通</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99.14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弯头</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92.34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弯头</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39.85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稳压泵</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（1.5KW）</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台</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1606.19</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消防水泵接合器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SQS150-B地上式</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组</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1455.00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管道保温</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混凝土墙打孔眼</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160.00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自动排气阀（配套截止阀）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120.00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屋顶实验消火栓</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588.89</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室内消火栓</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588.89</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水流指示器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套</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268.71</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85</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信号蝶阀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套</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317.22</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86</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减压阀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780.50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87</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安全泄压阀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760.00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88</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球阀</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40.00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89</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流量计</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szCs w:val="24"/>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692.00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90</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橡胶软接头</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150.44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91</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橡胶软接头</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84.96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92</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Y型过滤器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368.75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93</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Y型过滤器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DN100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212.86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71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94</w:t>
            </w:r>
          </w:p>
        </w:tc>
        <w:tc>
          <w:tcPr>
            <w:tcW w:w="169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Y型过滤器</w:t>
            </w:r>
          </w:p>
        </w:tc>
        <w:tc>
          <w:tcPr>
            <w:tcW w:w="17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cs="宋体"/>
                <w:color w:val="000000"/>
                <w:kern w:val="0"/>
                <w:sz w:val="22"/>
                <w:lang w:bidi="ar"/>
              </w:rPr>
              <w:t>DN250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color w:val="000000"/>
                <w:kern w:val="0"/>
                <w:sz w:val="24"/>
                <w:szCs w:val="24"/>
              </w:rPr>
            </w:pPr>
            <w:r>
              <w:rPr>
                <w:rFonts w:hint="eastAsia" w:ascii="宋体" w:hAnsi="宋体" w:cs="宋体"/>
                <w:color w:val="000000"/>
                <w:kern w:val="0"/>
                <w:sz w:val="22"/>
                <w:lang w:bidi="ar"/>
              </w:rPr>
              <w:t>669.64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自动喷水系统</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24.50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DN32</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35.28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DN40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38.22</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98</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DN50</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41.16</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99</w:t>
            </w:r>
          </w:p>
        </w:tc>
        <w:tc>
          <w:tcPr>
            <w:tcW w:w="1740" w:type="dxa"/>
            <w:gridSpan w:val="2"/>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DN65</w:t>
            </w:r>
          </w:p>
        </w:tc>
        <w:tc>
          <w:tcPr>
            <w:tcW w:w="1494"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44.10</w:t>
            </w:r>
          </w:p>
        </w:tc>
        <w:tc>
          <w:tcPr>
            <w:tcW w:w="13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DN80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59.78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101</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78.40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镀锌钢管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133.28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角铁</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40*4</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19.40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喷淋头</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27.16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60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隐蔽式喷淋头</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31.04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p>
        </w:tc>
      </w:tr>
      <w:tr>
        <w:tblPrEx>
          <w:tblCellMar>
            <w:top w:w="0" w:type="dxa"/>
            <w:left w:w="108" w:type="dxa"/>
            <w:bottom w:w="0" w:type="dxa"/>
            <w:right w:w="108" w:type="dxa"/>
          </w:tblCellMar>
        </w:tblPrEx>
        <w:trPr>
          <w:trHeight w:val="64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压力表</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（1.6MP）</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块</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77.60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水流指示器</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套</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261.90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108</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信号蝶阀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套</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320.10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109</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报警阀压力开关</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131.92</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120</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湿式报警阀组</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台</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1920.60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121</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报警阀水力警铃</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190.00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报警阀延迟器</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120.00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减压阀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780.80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安全泄压阀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761.28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表弯</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21.47</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表阀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24.11</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球阀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40.02</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沟槽蝶阀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233.26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129</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沟槽蝶阀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330.86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130</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卡箍闸阀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ND65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174.70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131</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软密封闸阀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315.25</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软密封闸阀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497.76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法兰片</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DN65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副</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49.98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法兰片</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副</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74.48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法兰片</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副</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117.60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消声止回阀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190.71</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消声止回阀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275.80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138</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立式止回阀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174.08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139</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立式止回阀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DN32</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187.78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140</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卧式止回阀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DN65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250.37</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141</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卧式止回阀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190.71</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卡箍</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DN65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27.38</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卡箍</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29.34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卡箍</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87.04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法兰</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片</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74.33</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法兰</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片</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117.36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机械三通</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DN100*65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55.75</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148</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正三通</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60.64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149</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弯头</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52.81</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150</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弯头</w:t>
            </w:r>
          </w:p>
        </w:tc>
        <w:tc>
          <w:tcPr>
            <w:tcW w:w="17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DN65</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40.10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641"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151</w:t>
            </w:r>
          </w:p>
        </w:tc>
        <w:tc>
          <w:tcPr>
            <w:tcW w:w="1740" w:type="dxa"/>
            <w:gridSpan w:val="2"/>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稳压泵</w:t>
            </w:r>
          </w:p>
        </w:tc>
        <w:tc>
          <w:tcPr>
            <w:tcW w:w="17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（1.5KW）</w:t>
            </w:r>
          </w:p>
        </w:tc>
        <w:tc>
          <w:tcPr>
            <w:tcW w:w="1494"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台</w:t>
            </w:r>
          </w:p>
        </w:tc>
        <w:tc>
          <w:tcPr>
            <w:tcW w:w="104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1455.00</w:t>
            </w:r>
          </w:p>
        </w:tc>
        <w:tc>
          <w:tcPr>
            <w:tcW w:w="134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管道保温</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米</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40.00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混凝土墙打孔眼</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DN125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160.00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自动排气阀（配套截止阀）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106.54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末端试水装置</w:t>
            </w:r>
          </w:p>
        </w:tc>
        <w:tc>
          <w:tcPr>
            <w:tcW w:w="1792"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277.45</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156</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橡胶软接头</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150.44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157</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橡胶软接头</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221.24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158</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橡胶软接头</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247.20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159</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不锈钢金属软管</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295.00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160</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电磁阀</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340.00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952"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161</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自动扫描射水高空水炮</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ZDMS0.6/5S-LA231</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3509.65</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162</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减压孔板</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210</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163</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Y型过滤器</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368.75</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31"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164</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Y型过滤器</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DN100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212.86</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50" w:hRule="atLeast"/>
        </w:trPr>
        <w:tc>
          <w:tcPr>
            <w:tcW w:w="66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165</w:t>
            </w:r>
          </w:p>
        </w:tc>
        <w:tc>
          <w:tcPr>
            <w:tcW w:w="1740" w:type="dxa"/>
            <w:gridSpan w:val="2"/>
            <w:tcBorders>
              <w:top w:val="nil"/>
              <w:left w:val="nil"/>
              <w:bottom w:val="single" w:color="auto" w:sz="4" w:space="0"/>
              <w:right w:val="nil"/>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Y型过滤器</w:t>
            </w:r>
          </w:p>
        </w:tc>
        <w:tc>
          <w:tcPr>
            <w:tcW w:w="1792"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DN250</w:t>
            </w:r>
          </w:p>
        </w:tc>
        <w:tc>
          <w:tcPr>
            <w:tcW w:w="1494"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669.64</w:t>
            </w:r>
          </w:p>
        </w:tc>
        <w:tc>
          <w:tcPr>
            <w:tcW w:w="13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CellMar>
            <w:top w:w="0" w:type="dxa"/>
            <w:left w:w="108" w:type="dxa"/>
            <w:bottom w:w="0" w:type="dxa"/>
            <w:right w:w="108" w:type="dxa"/>
          </w:tblCellMar>
        </w:tblPrEx>
        <w:trPr>
          <w:trHeight w:val="350"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应急照明系统</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166</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格栅式双管荧光灯</w:t>
            </w:r>
          </w:p>
        </w:tc>
        <w:tc>
          <w:tcPr>
            <w:tcW w:w="179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2x18W,T5三基色,配电子镇流器</w:t>
            </w: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145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167</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接线盒</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5</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val="en-US" w:eastAsia="zh-CN"/>
              </w:rPr>
            </w:pPr>
            <w:r>
              <w:rPr>
                <w:rFonts w:hint="eastAsia" w:ascii="宋体" w:hAnsi="宋体" w:cs="宋体"/>
                <w:color w:val="000000"/>
                <w:kern w:val="0"/>
                <w:sz w:val="22"/>
                <w:lang w:val="en-US" w:eastAsia="zh-CN"/>
              </w:rPr>
              <w:t>1</w:t>
            </w:r>
          </w:p>
        </w:tc>
      </w:tr>
      <w:tr>
        <w:tblPrEx>
          <w:tblCellMar>
            <w:top w:w="0" w:type="dxa"/>
            <w:left w:w="108" w:type="dxa"/>
            <w:bottom w:w="0" w:type="dxa"/>
            <w:right w:w="108" w:type="dxa"/>
          </w:tblCellMar>
        </w:tblPrEx>
        <w:trPr>
          <w:trHeight w:val="350"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lang w:val="en-US" w:eastAsia="zh-CN"/>
              </w:rPr>
              <w:t>防火门系统</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168</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闭门器</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125.27</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50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169</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电控锁</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195.64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170</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出入门按钮</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41.82</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171</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单门控制器</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150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172</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双门控制器</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220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173</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防火门</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平方</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480</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174</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闭门器</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125.27</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6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175</w:t>
            </w:r>
          </w:p>
        </w:tc>
        <w:tc>
          <w:tcPr>
            <w:tcW w:w="174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电控锁</w:t>
            </w:r>
          </w:p>
        </w:tc>
        <w:tc>
          <w:tcPr>
            <w:tcW w:w="179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kern w:val="0"/>
                <w:sz w:val="22"/>
                <w:lang w:bidi="ar"/>
              </w:rPr>
            </w:pPr>
          </w:p>
        </w:tc>
        <w:tc>
          <w:tcPr>
            <w:tcW w:w="1494"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w:t>
            </w:r>
          </w:p>
        </w:tc>
        <w:tc>
          <w:tcPr>
            <w:tcW w:w="895"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只</w:t>
            </w:r>
          </w:p>
        </w:tc>
        <w:tc>
          <w:tcPr>
            <w:tcW w:w="104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195.64</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lang w:val="en-US" w:eastAsia="zh-CN"/>
              </w:rPr>
            </w:pPr>
            <w:r>
              <w:rPr>
                <w:rFonts w:hint="eastAsia" w:ascii="宋体" w:hAnsi="宋体" w:cs="宋体"/>
                <w:color w:val="000000"/>
                <w:kern w:val="0"/>
                <w:sz w:val="22"/>
              </w:rPr>
              <w:t>1</w:t>
            </w:r>
            <w:r>
              <w:rPr>
                <w:rFonts w:ascii="宋体" w:hAnsi="宋体" w:cs="宋体"/>
                <w:color w:val="000000"/>
                <w:kern w:val="0"/>
                <w:sz w:val="22"/>
              </w:rPr>
              <w:t>0</w:t>
            </w:r>
          </w:p>
        </w:tc>
      </w:tr>
      <w:tr>
        <w:tblPrEx>
          <w:tblCellMar>
            <w:top w:w="0" w:type="dxa"/>
            <w:left w:w="108" w:type="dxa"/>
            <w:bottom w:w="0" w:type="dxa"/>
            <w:right w:w="108" w:type="dxa"/>
          </w:tblCellMar>
        </w:tblPrEx>
        <w:trPr>
          <w:trHeight w:val="350" w:hRule="atLeast"/>
        </w:trPr>
        <w:tc>
          <w:tcPr>
            <w:tcW w:w="8977" w:type="dxa"/>
            <w:gridSpan w:val="8"/>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注：1、我院目前使用消防自动报警主机品牌为海湾和北大青鸟，配件应与我院消防联动设施兼容，能确保正常使用。</w:t>
            </w:r>
          </w:p>
          <w:p>
            <w:pPr>
              <w:widowControl/>
              <w:jc w:val="center"/>
              <w:rPr>
                <w:rFonts w:hint="eastAsia" w:ascii="宋体" w:hAnsi="宋体" w:cs="宋体"/>
                <w:color w:val="000000"/>
                <w:kern w:val="0"/>
                <w:sz w:val="22"/>
              </w:rPr>
            </w:pPr>
            <w:r>
              <w:rPr>
                <w:rFonts w:hint="eastAsia" w:ascii="宋体" w:hAnsi="宋体" w:cs="宋体"/>
                <w:color w:val="000000"/>
                <w:kern w:val="0"/>
                <w:sz w:val="22"/>
              </w:rPr>
              <w:t>2、消防设施常用配件报价费用包含辅料、税费、运输、人工、调试、安装等所有费用合计报价。</w:t>
            </w:r>
          </w:p>
        </w:tc>
      </w:tr>
    </w:tbl>
    <w:p>
      <w:pPr>
        <w:pStyle w:val="13"/>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售后服务条件及交货日期（或工期）：</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1、服务内容：</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1）服务范围主要包括院区火灾自动报警系统、自动喷水系统、室内消火栓系统及其他消防设备设施等维保服务；</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2）每月定期对消防设施进行保养维修；</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3）每月定期对采购人消防设施操作人员进行业务知识培训；</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4）每月对消防设施设备进行一次检测，上传小蜜蜂；</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5）对院区消防系统出现问题提供技术解决方案。</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2、服务要求：</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必须按照国家相关规范规定的要求进行采购人消防设施设备的维护保养，协助采购人及时解决存在的问题。</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必须保证采购人消防设施设备正常运转，如有故障需快速解决。</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必须保证采购人消防设施操作人员能够独立操作所有设施设备。</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必须保证消防部门每次检查合格，如有问题</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需及时整改，并承担全部相关责任。</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5) </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必须保证所出具的报告符合国家法律法规规定及公安消防部门的相关要求。</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6) </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对所有消防设施每年不少于2次防腐、防锈、清洁保养。</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3、其他要求</w:t>
      </w:r>
      <w:r>
        <w:rPr>
          <w:rFonts w:hint="eastAsia" w:cs="宋体"/>
          <w:b/>
          <w:bCs/>
          <w:kern w:val="2"/>
          <w:sz w:val="24"/>
          <w:szCs w:val="24"/>
          <w:lang w:val="en-US" w:eastAsia="zh-CN" w:bidi="ar-SA"/>
        </w:rPr>
        <w:t>：</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成交签订合同后应对采购人的整个消防设施系统进行全面的运行检测，如有检测不合格项目，应配合采购人制订整改方案，并加以整改完善后，进入正常维保阶段。</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应负责整理、完善、规范采购人关于建筑消防设施管理的相关制度，建立维修保养资料档案。</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进场人员应遵守采购人的管理制度，在不违背国家现行消防技术规范的基础上，充分尊重采购人的意见，与采购人密切协调配合，确保维修保养质量和施工安全。</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在对隐蔽工程进行维修保养时，应尽量保护原设施，若不可避免要对原设施进行改动，由双方共同协商解决。</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5）采购人消防值班人员如有变动，</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应派专业技术人员对新上岗人员进行岗前培训，详细介绍系统的组成、操作要领、注意事项和检查、维护保养方法，使值班人员正确和熟练操作设备，发生火灾时懂得处理方法。</w:t>
      </w:r>
    </w:p>
    <w:p>
      <w:pPr>
        <w:pStyle w:val="13"/>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jc w:val="left"/>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6）</w:t>
      </w:r>
      <w:r>
        <w:rPr>
          <w:rFonts w:hint="eastAsia" w:cs="宋体"/>
          <w:b w:val="0"/>
          <w:bCs w:val="0"/>
          <w:kern w:val="2"/>
          <w:sz w:val="24"/>
          <w:szCs w:val="24"/>
          <w:lang w:val="en-US" w:eastAsia="zh-CN" w:bidi="ar-SA"/>
        </w:rPr>
        <w:t>供应商</w:t>
      </w:r>
      <w:r>
        <w:rPr>
          <w:rFonts w:hint="eastAsia" w:ascii="宋体" w:hAnsi="宋体" w:eastAsia="宋体" w:cs="宋体"/>
          <w:b w:val="0"/>
          <w:bCs w:val="0"/>
          <w:kern w:val="2"/>
          <w:sz w:val="24"/>
          <w:szCs w:val="24"/>
          <w:lang w:val="en-US" w:eastAsia="zh-CN" w:bidi="ar-SA"/>
        </w:rPr>
        <w:t>应严格执行正常维修保养制度，定期对采购人的消防设施进行巡查和维修保养，对故障及时排除。毎次维修保养后，乙方应向采购人提供一份由乙方技术人员签名认可的维修保养记录，并由采购人指定相应代表人认可签字；维修保养记录存入档案。</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2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2"/>
        <w:gridCol w:w="6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合同签订时间</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自成交通知书发出之日起三十个日历日内。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服务地点</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合同履行期限</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验   收</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244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售后技术服务要求、售后服务保障要求</w:t>
            </w:r>
          </w:p>
        </w:tc>
        <w:tc>
          <w:tcPr>
            <w:tcW w:w="6811"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中标人须提供后期服务保障和技术支持。</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采购人对项目的特殊要求及说明</w:t>
      </w:r>
    </w:p>
    <w:tbl>
      <w:tblPr>
        <w:tblStyle w:val="32"/>
        <w:tblW w:w="92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2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采购人的特殊要求及说明理由</w:t>
            </w:r>
          </w:p>
        </w:tc>
        <w:tc>
          <w:tcPr>
            <w:tcW w:w="7244"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napToGrid w:val="0"/>
              <w:spacing w:line="360" w:lineRule="auto"/>
              <w:rPr>
                <w:rFonts w:hint="eastAsia" w:ascii="宋体" w:hAnsi="宋体" w:eastAsia="宋体" w:cs="宋体"/>
                <w:sz w:val="24"/>
                <w:szCs w:val="24"/>
              </w:rPr>
            </w:pPr>
            <w:r>
              <w:rPr>
                <w:rFonts w:hint="eastAsia" w:ascii="宋体" w:hAnsi="宋体" w:eastAsia="宋体" w:cs="宋体"/>
                <w:sz w:val="24"/>
                <w:szCs w:val="24"/>
              </w:rPr>
              <w:t>不接受联合体投标，不允许转包和分包。</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2、授权评标委员会确定一名中标人并推荐两名中标候选人。</w:t>
            </w:r>
          </w:p>
          <w:p>
            <w:pPr>
              <w:widowControl/>
              <w:snapToGrid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3、供应商应根据采购文件的要求提供技术响应表、商务响应表等内容以对采购文件作出响应。</w:t>
            </w:r>
          </w:p>
        </w:tc>
      </w:tr>
    </w:tbl>
    <w:p>
      <w:pPr>
        <w:jc w:val="both"/>
        <w:rPr>
          <w:rFonts w:hint="eastAsia" w:ascii="宋体" w:hAnsi="宋体" w:eastAsia="宋体" w:cs="宋体"/>
          <w:b/>
          <w:bCs/>
          <w:color w:val="auto"/>
          <w:sz w:val="32"/>
          <w:szCs w:val="32"/>
          <w:highlight w:val="none"/>
        </w:rPr>
        <w:sectPr>
          <w:pgSz w:w="11906" w:h="16838"/>
          <w:pgMar w:top="1417" w:right="1474" w:bottom="1417" w:left="1474" w:header="851" w:footer="624" w:gutter="0"/>
          <w:pgNumType w:fmt="decimal"/>
          <w:cols w:space="720" w:num="1"/>
          <w:docGrid w:type="lines" w:linePitch="319" w:charSpace="0"/>
        </w:sectPr>
      </w:pP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第三章  </w:t>
      </w:r>
      <w:r>
        <w:rPr>
          <w:rFonts w:hint="eastAsia" w:ascii="宋体" w:hAnsi="宋体" w:eastAsia="宋体" w:cs="宋体"/>
          <w:b/>
          <w:bCs/>
          <w:color w:val="auto"/>
          <w:sz w:val="32"/>
          <w:szCs w:val="32"/>
          <w:highlight w:val="none"/>
          <w:lang w:eastAsia="zh-CN"/>
        </w:rPr>
        <w:t>供应商</w:t>
      </w:r>
      <w:r>
        <w:rPr>
          <w:rFonts w:hint="eastAsia" w:ascii="宋体" w:hAnsi="宋体" w:eastAsia="宋体" w:cs="宋体"/>
          <w:b/>
          <w:bCs/>
          <w:color w:val="auto"/>
          <w:sz w:val="32"/>
          <w:szCs w:val="32"/>
          <w:highlight w:val="none"/>
        </w:rPr>
        <w:t>须知</w:t>
      </w:r>
      <w:bookmarkEnd w:id="40"/>
    </w:p>
    <w:p>
      <w:pPr>
        <w:snapToGrid w:val="0"/>
        <w:spacing w:beforeLines="5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须知前附表</w:t>
      </w:r>
    </w:p>
    <w:tbl>
      <w:tblPr>
        <w:tblStyle w:val="32"/>
        <w:tblW w:w="9239" w:type="dxa"/>
        <w:jc w:val="center"/>
        <w:tblLayout w:type="fixed"/>
        <w:tblCellMar>
          <w:top w:w="0" w:type="dxa"/>
          <w:left w:w="0" w:type="dxa"/>
          <w:bottom w:w="0" w:type="dxa"/>
          <w:right w:w="0" w:type="dxa"/>
        </w:tblCellMar>
      </w:tblPr>
      <w:tblGrid>
        <w:gridCol w:w="869"/>
        <w:gridCol w:w="8370"/>
      </w:tblGrid>
      <w:tr>
        <w:tblPrEx>
          <w:tblCellMar>
            <w:top w:w="0" w:type="dxa"/>
            <w:left w:w="0" w:type="dxa"/>
            <w:bottom w:w="0" w:type="dxa"/>
            <w:right w:w="0" w:type="dxa"/>
          </w:tblCellMar>
        </w:tblPrEx>
        <w:trPr>
          <w:trHeight w:val="523" w:hRule="atLeast"/>
          <w:jc w:val="center"/>
        </w:trPr>
        <w:tc>
          <w:tcPr>
            <w:tcW w:w="869"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370"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143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outlineLvl w:val="0"/>
              <w:rPr>
                <w:rFonts w:hint="eastAsia" w:ascii="宋体" w:hAnsi="宋体" w:eastAsia="宋体" w:cs="宋体"/>
                <w:sz w:val="24"/>
                <w:szCs w:val="24"/>
              </w:rPr>
            </w:pPr>
            <w:r>
              <w:rPr>
                <w:rFonts w:hint="eastAsia" w:ascii="宋体" w:hAnsi="宋体" w:eastAsia="宋体" w:cs="宋体"/>
                <w:color w:val="auto"/>
                <w:sz w:val="24"/>
                <w:szCs w:val="24"/>
                <w:highlight w:val="none"/>
              </w:rPr>
              <w:t>1.1项目名称：</w:t>
            </w:r>
            <w:r>
              <w:rPr>
                <w:rFonts w:hint="eastAsia" w:ascii="宋体" w:hAnsi="宋体" w:cs="宋体"/>
                <w:color w:val="auto"/>
                <w:sz w:val="24"/>
                <w:szCs w:val="24"/>
                <w:highlight w:val="none"/>
                <w:lang w:val="en-US" w:eastAsia="zh-CN"/>
              </w:rPr>
              <w:t>驻马店市中心医院妇儿院区消防自动报警系统维护保养及消防设施维修常用配件采购</w:t>
            </w:r>
          </w:p>
          <w:p>
            <w:pPr>
              <w:widowControl/>
              <w:snapToGrid w:val="0"/>
              <w:spacing w:line="360" w:lineRule="auto"/>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1.2采购人名称：驻马店市中心医院</w:t>
            </w:r>
          </w:p>
          <w:p>
            <w:pPr>
              <w:widowControl/>
              <w:snapToGrid w:val="0"/>
              <w:spacing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1903"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消防维保：</w:t>
            </w:r>
            <w:r>
              <w:rPr>
                <w:rFonts w:hint="eastAsia" w:ascii="宋体" w:hAnsi="宋体" w:cs="宋体"/>
                <w:color w:val="auto"/>
                <w:kern w:val="0"/>
                <w:sz w:val="24"/>
                <w:szCs w:val="24"/>
                <w:highlight w:val="none"/>
                <w:lang w:val="en-US" w:eastAsia="zh-CN"/>
              </w:rPr>
              <w:t>19</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消防设施维修常用配件：</w:t>
            </w:r>
            <w:r>
              <w:rPr>
                <w:rFonts w:hint="eastAsia" w:ascii="宋体" w:hAnsi="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lang w:val="en-US" w:eastAsia="zh-CN"/>
              </w:rPr>
              <w:t>万元（据实结算）</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lang w:eastAsia="zh-CN"/>
              </w:rPr>
              <w:t>响应性文件</w:t>
            </w:r>
            <w:r>
              <w:rPr>
                <w:rFonts w:hint="eastAsia" w:ascii="宋体" w:hAnsi="宋体" w:eastAsia="宋体" w:cs="宋体"/>
                <w:sz w:val="24"/>
                <w:szCs w:val="24"/>
              </w:rPr>
              <w:t>组成：纸质</w:t>
            </w:r>
            <w:r>
              <w:rPr>
                <w:rFonts w:hint="eastAsia" w:ascii="宋体" w:hAnsi="宋体" w:eastAsia="宋体" w:cs="宋体"/>
                <w:sz w:val="24"/>
                <w:szCs w:val="24"/>
                <w:lang w:eastAsia="zh-CN"/>
              </w:rPr>
              <w:t>响应性文件</w:t>
            </w:r>
            <w:r>
              <w:rPr>
                <w:rFonts w:hint="eastAsia" w:ascii="宋体" w:hAnsi="宋体" w:eastAsia="宋体" w:cs="宋体"/>
                <w:sz w:val="24"/>
                <w:szCs w:val="24"/>
              </w:rPr>
              <w:t>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96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1468"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公告及</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通知书：由采购人授权</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确定一名</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并推荐两名</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70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986"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lang w:val="en-US" w:eastAsia="zh-CN"/>
              </w:rPr>
              <w:t>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是合同的组成部分,有效期至合同完全履行止。 </w:t>
            </w:r>
          </w:p>
        </w:tc>
      </w:tr>
      <w:tr>
        <w:tblPrEx>
          <w:tblCellMar>
            <w:top w:w="0" w:type="dxa"/>
            <w:left w:w="0" w:type="dxa"/>
            <w:bottom w:w="0" w:type="dxa"/>
            <w:right w:w="0" w:type="dxa"/>
          </w:tblCellMar>
        </w:tblPrEx>
        <w:trPr>
          <w:trHeight w:val="704"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1951"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3399"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3902" w:hRule="atLeast"/>
          <w:jc w:val="center"/>
        </w:trPr>
        <w:tc>
          <w:tcPr>
            <w:tcW w:w="869"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370"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000000" w:themeColor="text1"/>
          <w:kern w:val="0"/>
          <w:sz w:val="24"/>
          <w:szCs w:val="24"/>
          <w:highlight w:val="none"/>
          <w14:textFill>
            <w14:solidFill>
              <w14:schemeClr w14:val="tx1"/>
            </w14:solidFill>
          </w14:textFill>
        </w:rPr>
        <w:t>公告中所叙述项目的服务采购。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rPr>
        <w:t>2.1 “采购人</w:t>
      </w:r>
      <w:r>
        <w:rPr>
          <w:rFonts w:hint="eastAsia" w:ascii="宋体" w:hAnsi="宋体" w:eastAsia="宋体" w:cs="宋体"/>
          <w:color w:val="000000" w:themeColor="text1"/>
          <w:kern w:val="0"/>
          <w:sz w:val="24"/>
          <w:szCs w:val="24"/>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”系指</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领取</w:t>
      </w:r>
      <w:r>
        <w:rPr>
          <w:rFonts w:hint="eastAsia" w:ascii="宋体" w:hAnsi="宋体" w:eastAsia="宋体" w:cs="宋体"/>
          <w:color w:val="000000" w:themeColor="text1"/>
          <w:kern w:val="0"/>
          <w:sz w:val="24"/>
          <w:szCs w:val="24"/>
          <w:highlight w:val="none"/>
          <w14:textFill>
            <w14:solidFill>
              <w14:schemeClr w14:val="tx1"/>
            </w14:solidFill>
          </w14:textFill>
        </w:rPr>
        <w:t>了本</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文件，且已经提交本次</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代表”系指代表</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参加本次</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活动的</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供应商</w:t>
      </w:r>
      <w:r>
        <w:rPr>
          <w:rFonts w:hint="eastAsia" w:ascii="宋体" w:hAnsi="宋体" w:eastAsia="宋体" w:cs="宋体"/>
          <w:color w:val="000000" w:themeColor="text1"/>
          <w:kern w:val="0"/>
          <w:sz w:val="24"/>
          <w:szCs w:val="24"/>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消防维保：</w:t>
      </w:r>
      <w:r>
        <w:rPr>
          <w:rFonts w:hint="eastAsia" w:ascii="宋体" w:hAnsi="宋体" w:cs="宋体"/>
          <w:b/>
          <w:bCs/>
          <w:color w:val="auto"/>
          <w:kern w:val="0"/>
          <w:sz w:val="24"/>
          <w:szCs w:val="24"/>
          <w:highlight w:val="none"/>
          <w:lang w:val="en-US" w:eastAsia="zh-CN"/>
        </w:rPr>
        <w:t>19</w:t>
      </w:r>
      <w:bookmarkStart w:id="91" w:name="_GoBack"/>
      <w:bookmarkEnd w:id="91"/>
      <w:r>
        <w:rPr>
          <w:rFonts w:hint="eastAsia" w:ascii="宋体" w:hAnsi="宋体" w:eastAsia="宋体" w:cs="宋体"/>
          <w:b/>
          <w:bCs/>
          <w:color w:val="auto"/>
          <w:kern w:val="0"/>
          <w:sz w:val="24"/>
          <w:szCs w:val="24"/>
          <w:highlight w:val="none"/>
          <w:lang w:val="en-US" w:eastAsia="zh-CN"/>
        </w:rPr>
        <w:t>万</w:t>
      </w:r>
      <w:r>
        <w:rPr>
          <w:rFonts w:hint="eastAsia" w:ascii="宋体" w:hAnsi="宋体" w:eastAsia="宋体" w:cs="宋体"/>
          <w:b/>
          <w:bCs/>
          <w:color w:val="auto"/>
          <w:kern w:val="0"/>
          <w:sz w:val="24"/>
          <w:szCs w:val="24"/>
          <w:highlight w:val="none"/>
        </w:rPr>
        <w:t>元</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rPr>
        <w:t>消防设施维修常用配件采购：</w:t>
      </w:r>
      <w:r>
        <w:rPr>
          <w:rFonts w:hint="eastAsia" w:ascii="宋体" w:hAnsi="宋体" w:cs="宋体"/>
          <w:b/>
          <w:bCs/>
          <w:color w:val="auto"/>
          <w:kern w:val="0"/>
          <w:sz w:val="24"/>
          <w:szCs w:val="24"/>
          <w:highlight w:val="none"/>
          <w:lang w:val="en-US" w:eastAsia="zh-CN"/>
        </w:rPr>
        <w:t>30</w:t>
      </w:r>
      <w:r>
        <w:rPr>
          <w:rFonts w:hint="eastAsia" w:ascii="宋体" w:hAnsi="宋体" w:eastAsia="宋体" w:cs="宋体"/>
          <w:b/>
          <w:bCs/>
          <w:color w:val="auto"/>
          <w:kern w:val="0"/>
          <w:sz w:val="24"/>
          <w:szCs w:val="24"/>
          <w:highlight w:val="none"/>
          <w:lang w:val="en-US" w:eastAsia="zh-CN"/>
        </w:rPr>
        <w:t>万元（据实结算）</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供应商应提供2021年度或2022年度经审计的财务报告或者其基本开户银行出具的资信证明；采购活动前近三个月内或</w:t>
      </w:r>
      <w:r>
        <w:rPr>
          <w:rFonts w:hint="eastAsia" w:ascii="宋体" w:hAnsi="宋体" w:eastAsia="宋体" w:cs="宋体"/>
          <w:color w:val="auto"/>
          <w:kern w:val="2"/>
          <w:sz w:val="24"/>
          <w:szCs w:val="32"/>
          <w:lang w:val="en-US" w:eastAsia="zh-CN" w:bidi="ar-SA"/>
        </w:rPr>
        <w:t>上个季度任一个月</w:t>
      </w:r>
      <w:r>
        <w:rPr>
          <w:rFonts w:hint="eastAsia" w:ascii="宋体" w:hAnsi="宋体" w:eastAsia="宋体" w:cs="宋体"/>
          <w:color w:val="auto"/>
          <w:sz w:val="24"/>
          <w:szCs w:val="24"/>
          <w:lang w:val="en-US" w:eastAsia="zh-CN"/>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4.5 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9.1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代表只能接受一个</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或者其法定代表人、董事、监事、高级管理人员因经营活动中的违法行为受到行政处罚，但警告和罚款额在人民币3万元以下的行政处罚除外；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w:t>
      </w:r>
      <w:r>
        <w:rPr>
          <w:rFonts w:hint="eastAsia" w:ascii="宋体" w:hAnsi="宋体" w:eastAsia="宋体" w:cs="宋体"/>
          <w:b/>
          <w:bCs/>
          <w:color w:val="auto"/>
          <w:kern w:val="0"/>
          <w:sz w:val="24"/>
          <w:szCs w:val="24"/>
          <w:highlight w:val="none"/>
          <w:lang w:eastAsia="zh-CN"/>
        </w:rPr>
        <w:t>供应商</w:t>
      </w:r>
      <w:r>
        <w:rPr>
          <w:rFonts w:hint="eastAsia" w:ascii="宋体" w:hAnsi="宋体" w:eastAsia="宋体" w:cs="宋体"/>
          <w:b/>
          <w:bCs/>
          <w:color w:val="auto"/>
          <w:kern w:val="0"/>
          <w:sz w:val="24"/>
          <w:szCs w:val="24"/>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二、</w:t>
      </w:r>
      <w:r>
        <w:rPr>
          <w:rFonts w:hint="eastAsia" w:ascii="宋体" w:hAnsi="宋体" w:eastAsia="宋体" w:cs="宋体"/>
          <w:b/>
          <w:bCs/>
          <w:color w:val="auto"/>
          <w:kern w:val="0"/>
          <w:sz w:val="28"/>
          <w:szCs w:val="28"/>
          <w:highlight w:val="none"/>
          <w:lang w:val="en-US" w:eastAsia="zh-CN"/>
        </w:rPr>
        <w:t>采购</w:t>
      </w:r>
      <w:r>
        <w:rPr>
          <w:rFonts w:hint="eastAsia" w:ascii="宋体" w:hAnsi="宋体" w:eastAsia="宋体" w:cs="宋体"/>
          <w:b/>
          <w:bCs/>
          <w:color w:val="auto"/>
          <w:kern w:val="0"/>
          <w:sz w:val="28"/>
          <w:szCs w:val="28"/>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采购合同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通知所有潜在供应商</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rPr>
        <w:t>三、</w:t>
      </w:r>
      <w:r>
        <w:rPr>
          <w:rFonts w:hint="eastAsia" w:ascii="宋体" w:hAnsi="宋体" w:eastAsia="宋体" w:cs="宋体"/>
          <w:b/>
          <w:bCs/>
          <w:color w:val="auto"/>
          <w:kern w:val="0"/>
          <w:sz w:val="28"/>
          <w:szCs w:val="28"/>
          <w:highlight w:val="none"/>
          <w:lang w:eastAsia="zh-CN"/>
        </w:rPr>
        <w:t>响应性文件</w:t>
      </w:r>
      <w:r>
        <w:rPr>
          <w:rFonts w:hint="eastAsia" w:ascii="宋体" w:hAnsi="宋体" w:eastAsia="宋体" w:cs="宋体"/>
          <w:b/>
          <w:bCs/>
          <w:color w:val="auto"/>
          <w:kern w:val="0"/>
          <w:sz w:val="28"/>
          <w:szCs w:val="28"/>
          <w:highlight w:val="none"/>
        </w:rPr>
        <w:t>的编制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资格要求、技术要求、商务要求和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格式中对投标的要求），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14.2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应完整签署</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的语言和计量单位</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以及</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公章。必要时</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供应商承诺书</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供应商信用承诺函</w:t>
      </w:r>
    </w:p>
    <w:p>
      <w:pPr>
        <w:pStyle w:val="31"/>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被拒绝。</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同意延长有效期，</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可以拒绝上述要求。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答复不明确或者逾期未答复的，均视为拒绝上述要求。对于接受该要求的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，既不要求也不允许其修改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lang w:eastAsia="zh-CN"/>
        </w:rPr>
        <w:t>供应商</w:t>
      </w:r>
      <w:r>
        <w:rPr>
          <w:rFonts w:hint="eastAsia" w:ascii="宋体" w:hAnsi="宋体" w:eastAsia="宋体" w:cs="宋体"/>
          <w:color w:val="auto"/>
          <w:spacing w:val="10"/>
          <w:kern w:val="0"/>
          <w:sz w:val="24"/>
          <w:szCs w:val="24"/>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明的价格在政府采购合同执行过程中是固定不变的，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在开标一览表和</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19.投标保证金</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详见采购公告</w:t>
      </w:r>
      <w:r>
        <w:rPr>
          <w:rFonts w:hint="eastAsia" w:ascii="宋体" w:hAnsi="宋体" w:eastAsia="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应按第六章“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格式”进行编写，如有必要，可以增加附页，作为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但不得随意改变响应文件格式，否则，评标委员会有权予以废标</w:t>
      </w:r>
      <w:r>
        <w:rPr>
          <w:rFonts w:hint="eastAsia" w:ascii="宋体" w:hAnsi="宋体" w:eastAsia="宋体" w:cs="宋体"/>
          <w:color w:val="auto"/>
          <w:kern w:val="0"/>
          <w:sz w:val="24"/>
          <w:szCs w:val="24"/>
          <w:highlight w:val="none"/>
        </w:rPr>
        <w:t>。其中，投标报价一览表在满足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r>
        <w:rPr>
          <w:rFonts w:hint="eastAsia" w:ascii="宋体" w:hAnsi="宋体" w:eastAsia="宋体" w:cs="宋体"/>
          <w:color w:val="000000" w:themeColor="text1"/>
          <w:kern w:val="0"/>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 xml:space="preserve">.2 </w:t>
      </w:r>
      <w:r>
        <w:rPr>
          <w:rFonts w:hint="eastAsia" w:ascii="宋体" w:hAnsi="宋体" w:eastAsia="宋体" w:cs="宋体"/>
          <w:color w:val="000000" w:themeColor="text1"/>
          <w:kern w:val="0"/>
          <w:sz w:val="24"/>
          <w:szCs w:val="24"/>
          <w:highlight w:val="none"/>
          <w:lang w:eastAsia="zh-CN"/>
          <w14:textFill>
            <w14:solidFill>
              <w14:schemeClr w14:val="tx1"/>
            </w14:solidFill>
          </w14:textFill>
        </w:rPr>
        <w:t>响应性文件</w:t>
      </w:r>
      <w:r>
        <w:rPr>
          <w:rFonts w:hint="eastAsia" w:ascii="宋体" w:hAnsi="宋体" w:eastAsia="宋体" w:cs="宋体"/>
          <w:color w:val="000000" w:themeColor="text1"/>
          <w:kern w:val="0"/>
          <w:sz w:val="24"/>
          <w:szCs w:val="24"/>
          <w:highlight w:val="none"/>
          <w14:textFill>
            <w14:solidFill>
              <w14:schemeClr w14:val="tx1"/>
            </w14:solidFill>
          </w14:textFill>
        </w:rPr>
        <w:t>应当对</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kern w:val="0"/>
          <w:sz w:val="24"/>
          <w:szCs w:val="24"/>
          <w:highlight w:val="none"/>
          <w14:textFill>
            <w14:solidFill>
              <w14:schemeClr w14:val="tx1"/>
            </w14:solidFill>
          </w14:textFill>
        </w:rPr>
        <w:t>文件有关服务期、投标有效期、</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服务</w:t>
      </w:r>
      <w:r>
        <w:rPr>
          <w:rFonts w:hint="eastAsia" w:ascii="宋体" w:hAnsi="宋体" w:eastAsia="宋体" w:cs="宋体"/>
          <w:color w:val="000000" w:themeColor="text1"/>
          <w:kern w:val="0"/>
          <w:sz w:val="24"/>
          <w:szCs w:val="24"/>
          <w:highlight w:val="none"/>
          <w14:textFill>
            <w14:solidFill>
              <w14:schemeClr w14:val="tx1"/>
            </w14:solidFill>
          </w14:textFill>
        </w:rPr>
        <w:t>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应用不褪色的材料书写或打印，并由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的法定代表人盖章或盖单位公章；</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应尽量避免涂改、行间插字或删除，如果出现上述情况，改动之处应加盖单位公章或由</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的法定代表人盖章确认。签字或盖章的具体要求见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份数见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的具体装订要求见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8"/>
          <w:szCs w:val="28"/>
          <w:highlight w:val="none"/>
        </w:rPr>
        <w:t>四、</w:t>
      </w:r>
      <w:r>
        <w:rPr>
          <w:rFonts w:hint="eastAsia" w:ascii="宋体" w:hAnsi="宋体" w:eastAsia="宋体" w:cs="宋体"/>
          <w:b/>
          <w:color w:val="auto"/>
          <w:kern w:val="0"/>
          <w:sz w:val="28"/>
          <w:szCs w:val="28"/>
          <w:highlight w:val="none"/>
          <w:lang w:eastAsia="zh-CN"/>
        </w:rPr>
        <w:t>响应性文件</w:t>
      </w:r>
      <w:r>
        <w:rPr>
          <w:rFonts w:hint="eastAsia" w:ascii="宋体" w:hAnsi="宋体" w:eastAsia="宋体" w:cs="宋体"/>
          <w:b/>
          <w:color w:val="auto"/>
          <w:kern w:val="0"/>
          <w:sz w:val="28"/>
          <w:szCs w:val="28"/>
          <w:highlight w:val="none"/>
        </w:rPr>
        <w:t>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21.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的密封、标记</w:t>
      </w:r>
    </w:p>
    <w:p>
      <w:pPr>
        <w:keepNext w:val="0"/>
        <w:keepLines w:val="0"/>
        <w:pageBreakBefore w:val="0"/>
        <w:kinsoku/>
        <w:wordWrap/>
        <w:overflowPunct/>
        <w:topLinePunct w:val="0"/>
        <w:autoSpaceDE/>
        <w:autoSpaceDN/>
        <w:bidi w:val="0"/>
        <w:adjustRightInd/>
        <w:spacing w:line="360" w:lineRule="auto"/>
        <w:ind w:firstLine="484" w:firstLineChars="202"/>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w:t>
      </w:r>
      <w:r>
        <w:rPr>
          <w:rFonts w:hint="eastAsia" w:ascii="宋体" w:hAnsi="宋体" w:eastAsia="宋体" w:cs="宋体"/>
          <w:color w:val="auto"/>
          <w:sz w:val="24"/>
          <w:szCs w:val="24"/>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 xml:space="preserve">21.2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的封套上应清楚地标记“正本”或“副本”字样，封套上应写明的其他内容见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.2项要求密封和加写标记的响应性文件，采购人不予受理。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22.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应在规定的投标截止时间前</w:t>
      </w:r>
      <w:r>
        <w:rPr>
          <w:rFonts w:hint="eastAsia" w:ascii="宋体" w:hAnsi="宋体" w:eastAsia="宋体" w:cs="宋体"/>
          <w:color w:val="auto"/>
          <w:kern w:val="0"/>
          <w:sz w:val="24"/>
          <w:szCs w:val="24"/>
          <w:highlight w:val="none"/>
          <w:lang w:eastAsia="zh-CN"/>
        </w:rPr>
        <w:t>递交响应性文件</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递交</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的地点：见</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须知前附表另有规定外，</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所递交的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 xml:space="preserve">23. </w:t>
      </w:r>
      <w:r>
        <w:rPr>
          <w:rFonts w:hint="eastAsia" w:ascii="宋体" w:hAnsi="宋体" w:eastAsia="宋体" w:cs="宋体"/>
          <w:b/>
          <w:color w:val="auto"/>
          <w:kern w:val="0"/>
          <w:sz w:val="24"/>
          <w:szCs w:val="24"/>
          <w:highlight w:val="none"/>
          <w:lang w:eastAsia="zh-CN"/>
        </w:rPr>
        <w:t>响应性文件</w:t>
      </w:r>
      <w:r>
        <w:rPr>
          <w:rFonts w:hint="eastAsia" w:ascii="宋体" w:hAnsi="宋体" w:eastAsia="宋体" w:cs="宋体"/>
          <w:b/>
          <w:color w:val="auto"/>
          <w:kern w:val="0"/>
          <w:sz w:val="24"/>
          <w:szCs w:val="24"/>
          <w:highlight w:val="none"/>
        </w:rPr>
        <w:t>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23.1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在投标截止时间前，可以对所提交的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23.2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在投标截止期后不得修改、撤回</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在投标截止期后修改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的，其投标将被拒绝。</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w:t>
      </w:r>
      <w:r>
        <w:rPr>
          <w:rFonts w:hint="eastAsia" w:ascii="宋体" w:hAnsi="宋体" w:eastAsia="宋体" w:cs="宋体"/>
          <w:b/>
          <w:bCs/>
          <w:color w:val="auto"/>
          <w:kern w:val="0"/>
          <w:sz w:val="24"/>
          <w:szCs w:val="24"/>
          <w:highlight w:val="none"/>
          <w:lang w:eastAsia="zh-CN"/>
        </w:rPr>
        <w:t>评标委员会</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.1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成员要依法独立评审，并对评审意见承担个人责任。</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lang w:eastAsia="zh-CN"/>
        </w:rPr>
        <w:t>响应性文件</w:t>
      </w:r>
      <w:r>
        <w:rPr>
          <w:rFonts w:hint="eastAsia" w:ascii="宋体" w:hAnsi="宋体" w:eastAsia="宋体" w:cs="宋体"/>
          <w:b/>
          <w:bCs/>
          <w:color w:val="auto"/>
          <w:sz w:val="24"/>
          <w:szCs w:val="24"/>
          <w:highlight w:val="none"/>
        </w:rPr>
        <w:t>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进行检查，以确定</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 </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开标一览表（报价表）内容与</w:t>
      </w:r>
      <w:r>
        <w:rPr>
          <w:rFonts w:hint="eastAsia" w:ascii="宋体" w:hAnsi="宋体" w:eastAsia="宋体" w:cs="宋体"/>
          <w:color w:val="auto"/>
          <w:sz w:val="24"/>
          <w:szCs w:val="24"/>
          <w:highlight w:val="none"/>
          <w:shd w:val="clear" w:color="auto" w:fill="FFFFFF"/>
          <w:lang w:eastAsia="zh-CN"/>
        </w:rPr>
        <w:t>响应性文件</w:t>
      </w:r>
      <w:r>
        <w:rPr>
          <w:rFonts w:hint="eastAsia" w:ascii="宋体" w:hAnsi="宋体" w:eastAsia="宋体" w:cs="宋体"/>
          <w:color w:val="auto"/>
          <w:sz w:val="24"/>
          <w:szCs w:val="24"/>
          <w:highlight w:val="none"/>
          <w:shd w:val="clear" w:color="auto" w:fill="FFFFFF"/>
        </w:rPr>
        <w:t>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确认后产生约束力，</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详细评估之前，采购人将依据</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提交的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应提交的证明文件所述的资格标准对</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进行资格审查,以确定其是否具备投标资格。如果</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应在规定的时限内提供。</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将从</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将不进行评估，其投标被作为无效投标。凡有下列情况之一者，</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w:t>
      </w:r>
      <w:r>
        <w:rPr>
          <w:rFonts w:hint="eastAsia" w:ascii="宋体" w:hAnsi="宋体" w:eastAsia="宋体" w:cs="宋体"/>
          <w:color w:val="000000" w:themeColor="text1"/>
          <w:sz w:val="24"/>
          <w:szCs w:val="24"/>
          <w:highlight w:val="none"/>
          <w14:textFill>
            <w14:solidFill>
              <w14:schemeClr w14:val="tx1"/>
            </w14:solidFill>
          </w14:textFill>
        </w:rPr>
        <w:t>有效期、</w:t>
      </w:r>
      <w:r>
        <w:rPr>
          <w:rFonts w:hint="eastAsia" w:ascii="宋体" w:hAnsi="宋体" w:eastAsia="宋体" w:cs="宋体"/>
          <w:color w:val="000000" w:themeColor="text1"/>
          <w:sz w:val="24"/>
          <w:szCs w:val="24"/>
          <w:highlight w:val="none"/>
          <w:lang w:val="en-US" w:eastAsia="zh-CN"/>
          <w14:textFill>
            <w14:solidFill>
              <w14:schemeClr w14:val="tx1"/>
            </w14:solidFill>
          </w14:textFill>
        </w:rPr>
        <w:t>合同履行期限</w:t>
      </w:r>
      <w:r>
        <w:rPr>
          <w:rFonts w:hint="eastAsia" w:ascii="宋体" w:hAnsi="宋体" w:eastAsia="宋体" w:cs="宋体"/>
          <w:color w:val="000000" w:themeColor="text1"/>
          <w:sz w:val="24"/>
          <w:szCs w:val="24"/>
          <w:highlight w:val="none"/>
          <w14:textFill>
            <w14:solidFill>
              <w14:schemeClr w14:val="tx1"/>
            </w14:solidFill>
          </w14:textFill>
        </w:rPr>
        <w:t>、质保期等不</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的关键内容字迹模糊、无法辨认,或</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决定投标的响应性只根据</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发现</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有下列情形之一的，视为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 xml:space="preserve">.5.9 </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响应性文件</w:t>
      </w:r>
      <w:r>
        <w:rPr>
          <w:rFonts w:hint="eastAsia" w:ascii="宋体" w:hAnsi="宋体" w:eastAsia="宋体" w:cs="宋体"/>
          <w:b/>
          <w:bCs/>
          <w:color w:val="auto"/>
          <w:kern w:val="0"/>
          <w:sz w:val="24"/>
          <w:szCs w:val="24"/>
          <w:highlight w:val="none"/>
        </w:rPr>
        <w:t>的澄清</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中含义不明确、同类问题表述不一致或者有明显文字和计算错误的内容，</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可以书面形式要求</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作出必要的澄清。</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的澄清应当在</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规定的时间内以书面形式作出，由其</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代表签字。但澄清事项不得超出</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的范围，不得实质性改变</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的内容，不得通过澄清等方式对</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实行差别对待。</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不得接受</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 xml:space="preserve">.1 </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认为</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的报价明显低于其他通过符合性审查</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的报价，有可能影响产品质量或者不能诚信履约的，应当要求其在评标现场合理的时间内提供书面说明，必要时提交相关证明材料；</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不能证明其报价合理性的，</w:t>
      </w:r>
      <w:r>
        <w:rPr>
          <w:rFonts w:hint="eastAsia" w:ascii="宋体" w:hAnsi="宋体" w:eastAsia="宋体" w:cs="宋体"/>
          <w:color w:val="auto"/>
          <w:sz w:val="24"/>
          <w:szCs w:val="24"/>
          <w:highlight w:val="none"/>
          <w:lang w:eastAsia="zh-CN"/>
        </w:rPr>
        <w:t>评标委员会</w:t>
      </w:r>
      <w:r>
        <w:rPr>
          <w:rFonts w:hint="eastAsia" w:ascii="宋体" w:hAnsi="宋体" w:eastAsia="宋体" w:cs="宋体"/>
          <w:color w:val="auto"/>
          <w:sz w:val="24"/>
          <w:szCs w:val="24"/>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的保证。</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bCs/>
          <w:color w:val="auto"/>
          <w:kern w:val="0"/>
          <w:sz w:val="24"/>
          <w:szCs w:val="24"/>
          <w:highlight w:val="none"/>
        </w:rPr>
        <w:t>（或</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bookmarkStart w:id="41"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1"/>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的评标方法。</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w:t>
      </w:r>
      <w:r>
        <w:rPr>
          <w:rFonts w:hint="eastAsia" w:ascii="宋体" w:hAnsi="宋体" w:eastAsia="宋体" w:cs="宋体"/>
          <w:color w:val="auto"/>
          <w:sz w:val="24"/>
          <w:szCs w:val="24"/>
          <w:highlight w:val="none"/>
          <w:lang w:eastAsia="zh-CN"/>
        </w:rPr>
        <w:t>响应性文件</w:t>
      </w:r>
      <w:r>
        <w:rPr>
          <w:rFonts w:hint="eastAsia" w:ascii="宋体" w:hAnsi="宋体" w:eastAsia="宋体" w:cs="宋体"/>
          <w:color w:val="auto"/>
          <w:sz w:val="24"/>
          <w:szCs w:val="24"/>
          <w:highlight w:val="none"/>
        </w:rPr>
        <w:t>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为排名第一的</w:t>
      </w:r>
      <w:r>
        <w:rPr>
          <w:rFonts w:hint="eastAsia" w:ascii="宋体" w:hAnsi="宋体" w:eastAsia="宋体" w:cs="宋体"/>
          <w:color w:val="auto"/>
          <w:sz w:val="24"/>
          <w:szCs w:val="24"/>
          <w:highlight w:val="none"/>
          <w:lang w:eastAsia="zh-CN"/>
        </w:rPr>
        <w:t>中标候选人</w:t>
      </w:r>
      <w:r>
        <w:rPr>
          <w:rFonts w:hint="eastAsia" w:ascii="宋体" w:hAnsi="宋体" w:eastAsia="宋体" w:cs="宋体"/>
          <w:color w:val="auto"/>
          <w:sz w:val="24"/>
          <w:szCs w:val="24"/>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w:t>
      </w:r>
      <w:r>
        <w:rPr>
          <w:rFonts w:hint="eastAsia" w:ascii="宋体" w:hAnsi="宋体" w:eastAsia="宋体" w:cs="宋体"/>
          <w:b/>
          <w:bCs/>
          <w:color w:val="auto"/>
          <w:kern w:val="0"/>
          <w:sz w:val="24"/>
          <w:szCs w:val="24"/>
          <w:highlight w:val="none"/>
          <w:lang w:eastAsia="zh-CN"/>
        </w:rPr>
        <w:t>中标人</w:t>
      </w:r>
      <w:r>
        <w:rPr>
          <w:rFonts w:hint="eastAsia" w:ascii="宋体" w:hAnsi="宋体" w:eastAsia="宋体" w:cs="宋体"/>
          <w:b/>
          <w:bCs/>
          <w:color w:val="auto"/>
          <w:kern w:val="0"/>
          <w:sz w:val="24"/>
          <w:szCs w:val="24"/>
          <w:highlight w:val="none"/>
        </w:rPr>
        <w:t>和</w:t>
      </w:r>
      <w:r>
        <w:rPr>
          <w:rFonts w:hint="eastAsia" w:ascii="宋体" w:hAnsi="宋体" w:eastAsia="宋体" w:cs="宋体"/>
          <w:b/>
          <w:bCs/>
          <w:color w:val="auto"/>
          <w:kern w:val="0"/>
          <w:sz w:val="24"/>
          <w:szCs w:val="24"/>
          <w:highlight w:val="none"/>
          <w:lang w:eastAsia="zh-CN"/>
        </w:rPr>
        <w:t>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w:t>
      </w:r>
      <w:r>
        <w:rPr>
          <w:rFonts w:hint="eastAsia" w:ascii="宋体" w:hAnsi="宋体" w:eastAsia="宋体" w:cs="宋体"/>
          <w:bCs/>
          <w:color w:val="auto"/>
          <w:kern w:val="0"/>
          <w:sz w:val="24"/>
          <w:szCs w:val="24"/>
          <w:highlight w:val="none"/>
          <w:lang w:eastAsia="zh-CN"/>
        </w:rPr>
        <w:t>评标委员会</w:t>
      </w:r>
      <w:r>
        <w:rPr>
          <w:rFonts w:hint="eastAsia" w:ascii="宋体" w:hAnsi="宋体" w:eastAsia="宋体" w:cs="宋体"/>
          <w:bCs/>
          <w:color w:val="auto"/>
          <w:kern w:val="0"/>
          <w:sz w:val="24"/>
          <w:szCs w:val="24"/>
          <w:highlight w:val="none"/>
        </w:rPr>
        <w:t>确定一名</w:t>
      </w:r>
      <w:r>
        <w:rPr>
          <w:rFonts w:hint="eastAsia" w:ascii="宋体" w:hAnsi="宋体" w:eastAsia="宋体" w:cs="宋体"/>
          <w:bCs/>
          <w:color w:val="auto"/>
          <w:kern w:val="0"/>
          <w:sz w:val="24"/>
          <w:szCs w:val="24"/>
          <w:highlight w:val="none"/>
          <w:lang w:eastAsia="zh-CN"/>
        </w:rPr>
        <w:t>中标人</w:t>
      </w:r>
      <w:r>
        <w:rPr>
          <w:rFonts w:hint="eastAsia" w:ascii="宋体" w:hAnsi="宋体" w:eastAsia="宋体" w:cs="宋体"/>
          <w:bCs/>
          <w:color w:val="auto"/>
          <w:kern w:val="0"/>
          <w:sz w:val="24"/>
          <w:szCs w:val="24"/>
          <w:highlight w:val="none"/>
        </w:rPr>
        <w:t>并推荐两名</w:t>
      </w:r>
      <w:r>
        <w:rPr>
          <w:rFonts w:hint="eastAsia" w:ascii="宋体" w:hAnsi="宋体" w:eastAsia="宋体" w:cs="宋体"/>
          <w:bCs/>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通知书及</w:t>
      </w:r>
      <w:r>
        <w:rPr>
          <w:rFonts w:hint="eastAsia" w:ascii="宋体" w:hAnsi="宋体" w:eastAsia="宋体" w:cs="宋体"/>
          <w:b/>
          <w:bCs/>
          <w:color w:val="auto"/>
          <w:kern w:val="0"/>
          <w:sz w:val="24"/>
          <w:szCs w:val="24"/>
          <w:highlight w:val="none"/>
          <w:lang w:eastAsia="zh-CN"/>
        </w:rPr>
        <w:t>成交</w:t>
      </w:r>
      <w:r>
        <w:rPr>
          <w:rFonts w:hint="eastAsia" w:ascii="宋体" w:hAnsi="宋体" w:eastAsia="宋体" w:cs="宋体"/>
          <w:b/>
          <w:bCs/>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发出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在规定的时间内不领取</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通知书的，视为</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后自动放弃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在有效报价中报价最低,非不可抗力放弃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通知书对采购人和</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具有同等法律效力。</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通知书发出后，采购人改变</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结果，或者</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通知书将作为签订合同的依据。合同签订后，</w:t>
      </w:r>
      <w:r>
        <w:rPr>
          <w:rFonts w:hint="eastAsia" w:ascii="宋体" w:hAnsi="宋体" w:eastAsia="宋体" w:cs="宋体"/>
          <w:bCs/>
          <w:color w:val="auto"/>
          <w:kern w:val="0"/>
          <w:sz w:val="24"/>
          <w:szCs w:val="24"/>
          <w:highlight w:val="none"/>
          <w:lang w:eastAsia="zh-CN"/>
        </w:rPr>
        <w:t>成交</w:t>
      </w:r>
      <w:r>
        <w:rPr>
          <w:rFonts w:hint="eastAsia" w:ascii="宋体" w:hAnsi="宋体" w:eastAsia="宋体" w:cs="宋体"/>
          <w:bCs/>
          <w:color w:val="auto"/>
          <w:kern w:val="0"/>
          <w:sz w:val="24"/>
          <w:szCs w:val="24"/>
          <w:highlight w:val="none"/>
        </w:rPr>
        <w:t>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w:t>
      </w:r>
      <w:r>
        <w:rPr>
          <w:rFonts w:hint="eastAsia" w:ascii="宋体" w:hAnsi="宋体" w:eastAsia="宋体" w:cs="宋体"/>
          <w:bCs/>
          <w:color w:val="auto"/>
          <w:kern w:val="0"/>
          <w:sz w:val="24"/>
          <w:szCs w:val="24"/>
          <w:highlight w:val="none"/>
          <w:lang w:eastAsia="zh-CN"/>
        </w:rPr>
        <w:t>供应商</w:t>
      </w:r>
      <w:r>
        <w:rPr>
          <w:rFonts w:hint="eastAsia" w:ascii="宋体" w:hAnsi="宋体" w:eastAsia="宋体" w:cs="宋体"/>
          <w:bCs/>
          <w:color w:val="auto"/>
          <w:kern w:val="0"/>
          <w:sz w:val="24"/>
          <w:szCs w:val="24"/>
          <w:highlight w:val="none"/>
        </w:rPr>
        <w:t>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不足3家或通过资格性检查或符合性检查的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不足3家的，除采购任务取消情形外，按照以下方式处理：</w:t>
      </w:r>
    </w:p>
    <w:p>
      <w:pPr>
        <w:keepNext w:val="0"/>
        <w:keepLines w:val="0"/>
        <w:pageBreakBefore w:val="0"/>
        <w:numPr>
          <w:ilvl w:val="0"/>
          <w:numId w:val="4"/>
        </w:numPr>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u w:val="single"/>
        </w:rPr>
      </w:pPr>
      <w:bookmarkStart w:id="42"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通知书发出之日起，在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w:t>
      </w:r>
      <w:r>
        <w:rPr>
          <w:rFonts w:hint="eastAsia" w:ascii="宋体" w:hAnsi="宋体" w:eastAsia="宋体" w:cs="宋体"/>
          <w:color w:val="auto"/>
          <w:kern w:val="0"/>
          <w:sz w:val="24"/>
          <w:szCs w:val="24"/>
          <w:highlight w:val="none"/>
          <w:lang w:eastAsia="zh-CN"/>
        </w:rPr>
        <w:t>中标人响应性文件</w:t>
      </w:r>
      <w:r>
        <w:rPr>
          <w:rFonts w:hint="eastAsia" w:ascii="宋体" w:hAnsi="宋体" w:eastAsia="宋体" w:cs="宋体"/>
          <w:color w:val="auto"/>
          <w:kern w:val="0"/>
          <w:sz w:val="24"/>
          <w:szCs w:val="24"/>
          <w:highlight w:val="none"/>
        </w:rPr>
        <w:t>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响应性文件</w:t>
      </w:r>
      <w:r>
        <w:rPr>
          <w:rFonts w:hint="eastAsia" w:ascii="宋体" w:hAnsi="宋体" w:eastAsia="宋体" w:cs="宋体"/>
          <w:color w:val="auto"/>
          <w:kern w:val="0"/>
          <w:sz w:val="24"/>
          <w:szCs w:val="24"/>
          <w:highlight w:val="none"/>
        </w:rPr>
        <w:t>、补充或修改的文件及澄清或承诺文件等，均为双方签订合同的组成部分，并与合同一并作为本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.3 </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放弃</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结果的违法行为等情形，不符合</w:t>
      </w:r>
      <w:r>
        <w:rPr>
          <w:rFonts w:hint="eastAsia" w:ascii="宋体" w:hAnsi="宋体" w:eastAsia="宋体" w:cs="宋体"/>
          <w:color w:val="auto"/>
          <w:kern w:val="0"/>
          <w:sz w:val="24"/>
          <w:szCs w:val="24"/>
          <w:highlight w:val="none"/>
          <w:lang w:eastAsia="zh-CN"/>
        </w:rPr>
        <w:t>成交</w:t>
      </w:r>
      <w:r>
        <w:rPr>
          <w:rFonts w:hint="eastAsia" w:ascii="宋体" w:hAnsi="宋体" w:eastAsia="宋体" w:cs="宋体"/>
          <w:color w:val="auto"/>
          <w:kern w:val="0"/>
          <w:sz w:val="24"/>
          <w:szCs w:val="24"/>
          <w:highlight w:val="none"/>
        </w:rPr>
        <w:t>条件的，采购人可以按照</w:t>
      </w:r>
      <w:r>
        <w:rPr>
          <w:rFonts w:hint="eastAsia" w:ascii="宋体" w:hAnsi="宋体" w:eastAsia="宋体" w:cs="宋体"/>
          <w:color w:val="auto"/>
          <w:kern w:val="0"/>
          <w:sz w:val="24"/>
          <w:szCs w:val="24"/>
          <w:highlight w:val="none"/>
          <w:lang w:eastAsia="zh-CN"/>
        </w:rPr>
        <w:t>评标委员会</w:t>
      </w:r>
      <w:r>
        <w:rPr>
          <w:rFonts w:hint="eastAsia" w:ascii="宋体" w:hAnsi="宋体" w:eastAsia="宋体" w:cs="宋体"/>
          <w:color w:val="auto"/>
          <w:kern w:val="0"/>
          <w:sz w:val="24"/>
          <w:szCs w:val="24"/>
          <w:highlight w:val="none"/>
        </w:rPr>
        <w:t>提出的</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名单排序依次确定其他</w:t>
      </w:r>
      <w:r>
        <w:rPr>
          <w:rFonts w:hint="eastAsia" w:ascii="宋体" w:hAnsi="宋体" w:eastAsia="宋体" w:cs="宋体"/>
          <w:color w:val="auto"/>
          <w:kern w:val="0"/>
          <w:sz w:val="24"/>
          <w:szCs w:val="24"/>
          <w:highlight w:val="none"/>
          <w:lang w:eastAsia="zh-CN"/>
        </w:rPr>
        <w:t>中标候选人</w:t>
      </w:r>
      <w:r>
        <w:rPr>
          <w:rFonts w:hint="eastAsia" w:ascii="宋体" w:hAnsi="宋体" w:eastAsia="宋体" w:cs="宋体"/>
          <w:color w:val="auto"/>
          <w:kern w:val="0"/>
          <w:sz w:val="24"/>
          <w:szCs w:val="24"/>
          <w:highlight w:val="none"/>
        </w:rPr>
        <w:t>为</w:t>
      </w:r>
      <w:r>
        <w:rPr>
          <w:rFonts w:hint="eastAsia" w:ascii="宋体" w:hAnsi="宋体" w:eastAsia="宋体" w:cs="宋体"/>
          <w:color w:val="auto"/>
          <w:kern w:val="0"/>
          <w:sz w:val="24"/>
          <w:szCs w:val="24"/>
          <w:highlight w:val="none"/>
          <w:lang w:eastAsia="zh-CN"/>
        </w:rPr>
        <w:t>中标人</w:t>
      </w:r>
      <w:r>
        <w:rPr>
          <w:rFonts w:hint="eastAsia" w:ascii="宋体" w:hAnsi="宋体" w:eastAsia="宋体" w:cs="宋体"/>
          <w:color w:val="auto"/>
          <w:kern w:val="0"/>
          <w:sz w:val="24"/>
          <w:szCs w:val="24"/>
          <w:highlight w:val="none"/>
        </w:rPr>
        <w:t>，也可以重新招标。</w:t>
      </w:r>
    </w:p>
    <w:bookmarkEnd w:id="42"/>
    <w:p>
      <w:pPr>
        <w:rPr>
          <w:rFonts w:hint="eastAsia" w:ascii="宋体" w:hAnsi="宋体" w:eastAsia="宋体" w:cs="宋体"/>
          <w:color w:val="auto"/>
          <w:highlight w:val="none"/>
        </w:rPr>
      </w:pPr>
      <w:bookmarkStart w:id="43" w:name="_Toc4700"/>
      <w:bookmarkStart w:id="44" w:name="_Toc16669"/>
      <w:r>
        <w:rPr>
          <w:rFonts w:hint="eastAsia" w:ascii="宋体" w:hAnsi="宋体" w:eastAsia="宋体" w:cs="宋体"/>
          <w:color w:val="auto"/>
          <w:highlight w:val="none"/>
        </w:rPr>
        <w:br w:type="page"/>
      </w:r>
    </w:p>
    <w:p>
      <w:pPr>
        <w:rPr>
          <w:rFonts w:hint="eastAsia" w:ascii="宋体" w:hAnsi="宋体" w:eastAsia="宋体" w:cs="宋体"/>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color w:val="auto"/>
          <w:kern w:val="0"/>
          <w:sz w:val="24"/>
          <w:highlight w:val="none"/>
        </w:rPr>
      </w:pPr>
      <w:bookmarkStart w:id="45" w:name="_Toc9022"/>
      <w:r>
        <w:rPr>
          <w:rFonts w:hint="eastAsia" w:ascii="宋体" w:hAnsi="宋体" w:eastAsia="宋体" w:cs="宋体"/>
          <w:b/>
          <w:bCs/>
          <w:color w:val="auto"/>
          <w:kern w:val="0"/>
          <w:sz w:val="32"/>
          <w:szCs w:val="32"/>
          <w:highlight w:val="none"/>
        </w:rPr>
        <w:t>第四章  评标办法及评分标准</w:t>
      </w:r>
      <w:bookmarkEnd w:id="43"/>
      <w:bookmarkEnd w:id="45"/>
    </w:p>
    <w:p>
      <w:pPr>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评标委员会</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eastAsia="zh-CN"/>
        </w:rPr>
        <w:t>响应性文件</w:t>
      </w:r>
      <w:r>
        <w:rPr>
          <w:rFonts w:hint="eastAsia" w:ascii="宋体" w:hAnsi="宋体" w:eastAsia="宋体" w:cs="宋体"/>
          <w:b w:val="0"/>
          <w:bCs w:val="0"/>
          <w:color w:val="auto"/>
          <w:sz w:val="24"/>
          <w:szCs w:val="24"/>
          <w:highlight w:val="none"/>
        </w:rPr>
        <w:t>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w:t>
      </w:r>
      <w:r>
        <w:rPr>
          <w:rFonts w:hint="eastAsia" w:ascii="宋体" w:hAnsi="宋体" w:eastAsia="宋体" w:cs="宋体"/>
          <w:b w:val="0"/>
          <w:bCs w:val="0"/>
          <w:color w:val="auto"/>
          <w:sz w:val="24"/>
          <w:szCs w:val="24"/>
          <w:highlight w:val="none"/>
          <w:lang w:eastAsia="zh-CN"/>
        </w:rPr>
        <w:t>供应商</w:t>
      </w:r>
      <w:r>
        <w:rPr>
          <w:rFonts w:hint="eastAsia" w:ascii="宋体" w:hAnsi="宋体" w:eastAsia="宋体" w:cs="宋体"/>
          <w:b w:val="0"/>
          <w:bCs w:val="0"/>
          <w:color w:val="auto"/>
          <w:sz w:val="24"/>
          <w:szCs w:val="24"/>
          <w:highlight w:val="none"/>
        </w:rPr>
        <w:t>为第一</w:t>
      </w:r>
      <w:r>
        <w:rPr>
          <w:rFonts w:hint="eastAsia" w:ascii="宋体" w:hAnsi="宋体" w:eastAsia="宋体" w:cs="宋体"/>
          <w:b w:val="0"/>
          <w:bCs w:val="0"/>
          <w:color w:val="auto"/>
          <w:sz w:val="24"/>
          <w:szCs w:val="24"/>
          <w:highlight w:val="none"/>
          <w:lang w:eastAsia="zh-CN"/>
        </w:rPr>
        <w:t>中标候选人</w:t>
      </w:r>
      <w:r>
        <w:rPr>
          <w:rFonts w:hint="eastAsia" w:ascii="宋体" w:hAnsi="宋体" w:eastAsia="宋体" w:cs="宋体"/>
          <w:b w:val="0"/>
          <w:bCs w:val="0"/>
          <w:color w:val="auto"/>
          <w:sz w:val="24"/>
          <w:szCs w:val="24"/>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5"/>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980"/>
        <w:gridCol w:w="6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404" w:type="dxa"/>
            <w:vMerge w:val="restart"/>
            <w:noWrap w:val="0"/>
            <w:vAlign w:val="center"/>
          </w:tcPr>
          <w:p>
            <w:pPr>
              <w:keepNext w:val="0"/>
              <w:keepLines w:val="0"/>
              <w:pageBreakBefore w:val="0"/>
              <w:kinsoku/>
              <w:wordWrap/>
              <w:overflowPunct/>
              <w:topLinePunct w:val="0"/>
              <w:bidi w:val="0"/>
              <w:snapToGrid w:val="0"/>
              <w:spacing w:line="360" w:lineRule="auto"/>
              <w:ind w:left="210" w:hanging="210" w:hangingChars="1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1980" w:type="dxa"/>
            <w:noWrap w:val="0"/>
            <w:vAlign w:val="center"/>
          </w:tcPr>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安防统维护保养</w:t>
            </w:r>
            <w:r>
              <w:rPr>
                <w:rFonts w:hint="eastAsia" w:ascii="宋体" w:hAnsi="宋体" w:cs="宋体"/>
                <w:sz w:val="21"/>
                <w:szCs w:val="21"/>
                <w:lang w:val="en-US" w:eastAsia="zh-CN"/>
              </w:rPr>
              <w:t>报价得分（15分）</w:t>
            </w:r>
          </w:p>
        </w:tc>
        <w:tc>
          <w:tcPr>
            <w:tcW w:w="6098" w:type="dxa"/>
            <w:noWrap w:val="0"/>
            <w:vAlign w:val="center"/>
          </w:tcPr>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spacing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404" w:type="dxa"/>
            <w:vMerge w:val="continue"/>
            <w:noWrap w:val="0"/>
            <w:vAlign w:val="center"/>
          </w:tcPr>
          <w:p>
            <w:pPr>
              <w:spacing w:line="360" w:lineRule="auto"/>
              <w:rPr>
                <w:sz w:val="21"/>
                <w:szCs w:val="21"/>
              </w:rPr>
            </w:pPr>
          </w:p>
        </w:tc>
        <w:tc>
          <w:tcPr>
            <w:tcW w:w="1980" w:type="dxa"/>
            <w:noWrap w:val="0"/>
            <w:vAlign w:val="center"/>
          </w:tcPr>
          <w:p>
            <w:pPr>
              <w:pStyle w:val="4"/>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安防设施维修常用配件</w:t>
            </w:r>
            <w:r>
              <w:rPr>
                <w:rFonts w:hint="eastAsia" w:ascii="宋体" w:hAnsi="宋体" w:cs="宋体"/>
                <w:sz w:val="21"/>
                <w:szCs w:val="21"/>
                <w:lang w:val="en-US" w:eastAsia="zh-CN"/>
              </w:rPr>
              <w:t>报价得分（15分）</w:t>
            </w:r>
          </w:p>
          <w:p>
            <w:pPr>
              <w:spacing w:line="360" w:lineRule="auto"/>
              <w:rPr>
                <w:rFonts w:hint="eastAsia" w:ascii="宋体" w:hAnsi="宋体" w:eastAsia="宋体" w:cs="宋体"/>
                <w:b w:val="0"/>
                <w:bCs w:val="0"/>
                <w:color w:val="auto"/>
                <w:sz w:val="21"/>
                <w:szCs w:val="21"/>
                <w:highlight w:val="none"/>
              </w:rPr>
            </w:pPr>
          </w:p>
        </w:tc>
        <w:tc>
          <w:tcPr>
            <w:tcW w:w="6098" w:type="dxa"/>
            <w:noWrap w:val="0"/>
            <w:vAlign w:val="center"/>
          </w:tcPr>
          <w:p>
            <w:pPr>
              <w:pStyle w:val="4"/>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404"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lang w:eastAsia="zh-CN"/>
              </w:rPr>
              <w:t>分）</w:t>
            </w:r>
          </w:p>
        </w:tc>
        <w:tc>
          <w:tcPr>
            <w:tcW w:w="198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服务能力的响应程度(20分）</w:t>
            </w:r>
          </w:p>
        </w:tc>
        <w:tc>
          <w:tcPr>
            <w:tcW w:w="609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完全满足招标文件“第二章 采购需求</w:t>
            </w:r>
            <w:r>
              <w:rPr>
                <w:rFonts w:hint="eastAsia" w:ascii="宋体" w:hAnsi="宋体" w:eastAsia="宋体" w:cs="宋体"/>
                <w:b w:val="0"/>
                <w:bCs w:val="0"/>
                <w:color w:val="auto"/>
                <w:sz w:val="21"/>
                <w:szCs w:val="21"/>
                <w:highlight w:val="none"/>
                <w:lang w:val="en-US" w:eastAsia="zh-CN"/>
              </w:rPr>
              <w:t xml:space="preserve"> 二、技术要求</w:t>
            </w:r>
            <w:r>
              <w:rPr>
                <w:rFonts w:hint="eastAsia" w:ascii="宋体" w:hAnsi="宋体" w:eastAsia="宋体" w:cs="宋体"/>
                <w:b w:val="0"/>
                <w:bCs w:val="0"/>
                <w:color w:val="auto"/>
                <w:sz w:val="21"/>
                <w:szCs w:val="21"/>
                <w:highlight w:val="none"/>
              </w:rPr>
              <w:t>”得20分；每有一项不满足在20分的基础上扣除</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404"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p>
        </w:tc>
        <w:tc>
          <w:tcPr>
            <w:tcW w:w="198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服务方案（20分）</w:t>
            </w:r>
          </w:p>
        </w:tc>
        <w:tc>
          <w:tcPr>
            <w:tcW w:w="609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以上内容具体、完善、合理性程度强得14-20分，具体、完善、合理性程度一般得7-13分，具体、完善、合理性程度差得1-6分，缺项得0分。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04" w:type="dxa"/>
            <w:vMerge w:val="restart"/>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分)</w:t>
            </w:r>
          </w:p>
        </w:tc>
        <w:tc>
          <w:tcPr>
            <w:tcW w:w="198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1.拟投入团队情况（8分）</w:t>
            </w:r>
          </w:p>
        </w:tc>
        <w:tc>
          <w:tcPr>
            <w:tcW w:w="609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团队组织结构合理，人员分工及职责明确、持证上岗，完全满足采购需求的得8分；服务团队组织结构较合理，可以满足采购需求的得4分；人员分工及职责不明确或管理不完善，基本满足采购需求的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04" w:type="dxa"/>
            <w:vMerge w:val="continue"/>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p>
        </w:tc>
        <w:tc>
          <w:tcPr>
            <w:tcW w:w="1980" w:type="dxa"/>
            <w:tcBorders>
              <w:top w:val="single" w:color="auto" w:sz="4" w:space="0"/>
            </w:tcBorders>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09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sz w:val="21"/>
                <w:szCs w:val="21"/>
                <w:lang w:val="en-US" w:eastAsia="zh-CN"/>
              </w:rPr>
              <w:t>自2020年1月1日至今（近三年）已完成的类似维保项目业绩(以合同文件为准），每提供一份得2分，最多得6分。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404"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(16分)</w:t>
            </w:r>
          </w:p>
        </w:tc>
        <w:tc>
          <w:tcPr>
            <w:tcW w:w="1980" w:type="dxa"/>
            <w:noWrap w:val="0"/>
            <w:vAlign w:val="center"/>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培训方案、服务站点、服务响应及时性、服务承诺及增值服务等</w:t>
            </w:r>
          </w:p>
        </w:tc>
        <w:tc>
          <w:tcPr>
            <w:tcW w:w="6098" w:type="dxa"/>
            <w:noWrap w:val="0"/>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根据供应商在响应性文件中的服务站设立情况（提供专业技术人员联系方式和服务站地址、电话）、培训方案、服务及时率、服务到位程度、及保证技术措施落实到位的服务承诺及增值服务等内容；</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1"/>
                <w:szCs w:val="21"/>
                <w:highlight w:val="none"/>
                <w:lang w:val="en-US" w:eastAsia="zh-CN"/>
              </w:rPr>
              <w:t>以上内容具体、完善、合理性程度强得11-16分，具体、完善、合理性程度一般得5-10分，具体、完善、合理性程度差得1-4分，缺项得0分。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404" w:type="dxa"/>
            <w:noWrap w:val="0"/>
            <w:vAlign w:val="top"/>
          </w:tcPr>
          <w:p>
            <w:pPr>
              <w:keepNext w:val="0"/>
              <w:keepLines w:val="0"/>
              <w:pageBreakBefore w:val="0"/>
              <w:kinsoku/>
              <w:wordWrap/>
              <w:overflowPunct/>
              <w:topLinePunct w:val="0"/>
              <w:bidi w:val="0"/>
              <w:snapToGrid w:val="0"/>
              <w:spacing w:line="36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078" w:type="dxa"/>
            <w:gridSpan w:val="2"/>
            <w:noWrap w:val="0"/>
            <w:vAlign w:val="center"/>
          </w:tcPr>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评标委员会</w:t>
            </w:r>
            <w:r>
              <w:rPr>
                <w:rFonts w:hint="eastAsia" w:ascii="宋体" w:hAnsi="宋体" w:eastAsia="宋体" w:cs="宋体"/>
                <w:b w:val="0"/>
                <w:bCs w:val="0"/>
                <w:color w:val="auto"/>
                <w:sz w:val="21"/>
                <w:szCs w:val="21"/>
                <w:highlight w:val="none"/>
              </w:rPr>
              <w:t>成员评分=各项评分因素的汇总得分。</w:t>
            </w:r>
          </w:p>
          <w:p>
            <w:pPr>
              <w:keepNext w:val="0"/>
              <w:keepLines w:val="0"/>
              <w:pageBreakBefore w:val="0"/>
              <w:kinsoku/>
              <w:wordWrap/>
              <w:overflowPunct/>
              <w:topLinePunct w:val="0"/>
              <w:bidi w:val="0"/>
              <w:snapToGrid w:val="0"/>
              <w:spacing w:line="360" w:lineRule="auto"/>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w:t>
            </w:r>
            <w:r>
              <w:rPr>
                <w:rFonts w:hint="eastAsia" w:ascii="宋体" w:hAnsi="宋体" w:eastAsia="宋体" w:cs="宋体"/>
                <w:b w:val="0"/>
                <w:bCs w:val="0"/>
                <w:color w:val="auto"/>
                <w:sz w:val="21"/>
                <w:szCs w:val="21"/>
                <w:highlight w:val="none"/>
                <w:lang w:eastAsia="zh-CN"/>
              </w:rPr>
              <w:t>评标委员会</w:t>
            </w:r>
            <w:r>
              <w:rPr>
                <w:rFonts w:hint="eastAsia" w:ascii="宋体" w:hAnsi="宋体" w:eastAsia="宋体" w:cs="宋体"/>
                <w:b w:val="0"/>
                <w:bCs w:val="0"/>
                <w:color w:val="auto"/>
                <w:sz w:val="21"/>
                <w:szCs w:val="21"/>
                <w:highlight w:val="none"/>
              </w:rPr>
              <w:t>所有成员合计评分/</w:t>
            </w:r>
            <w:r>
              <w:rPr>
                <w:rFonts w:hint="eastAsia" w:ascii="宋体" w:hAnsi="宋体" w:eastAsia="宋体" w:cs="宋体"/>
                <w:b w:val="0"/>
                <w:bCs w:val="0"/>
                <w:color w:val="auto"/>
                <w:sz w:val="21"/>
                <w:szCs w:val="21"/>
                <w:highlight w:val="none"/>
                <w:lang w:eastAsia="zh-CN"/>
              </w:rPr>
              <w:t>评标委员会</w:t>
            </w:r>
            <w:r>
              <w:rPr>
                <w:rFonts w:hint="eastAsia" w:ascii="宋体" w:hAnsi="宋体" w:eastAsia="宋体" w:cs="宋体"/>
                <w:b w:val="0"/>
                <w:bCs w:val="0"/>
                <w:color w:val="auto"/>
                <w:sz w:val="21"/>
                <w:szCs w:val="21"/>
                <w:highlight w:val="none"/>
              </w:rPr>
              <w:t>组成人员数。</w:t>
            </w:r>
          </w:p>
        </w:tc>
      </w:tr>
    </w:tbl>
    <w:p>
      <w:pPr>
        <w:spacing w:line="500" w:lineRule="exact"/>
        <w:ind w:firstLine="420" w:firstLineChars="200"/>
        <w:rPr>
          <w:rFonts w:hint="eastAsia" w:ascii="宋体" w:hAnsi="宋体" w:eastAsia="宋体" w:cs="宋体"/>
          <w:color w:val="auto"/>
          <w:kern w:val="0"/>
          <w:szCs w:val="21"/>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br w:type="page"/>
      </w:r>
    </w:p>
    <w:bookmarkEnd w:id="44"/>
    <w:p>
      <w:pPr>
        <w:rPr>
          <w:rFonts w:hint="eastAsia" w:ascii="宋体" w:hAnsi="宋体" w:eastAsia="宋体" w:cs="宋体"/>
          <w:color w:val="auto"/>
          <w:highlight w:val="none"/>
        </w:rPr>
      </w:pPr>
      <w:bookmarkStart w:id="46" w:name="_Toc1947"/>
      <w:bookmarkStart w:id="47" w:name="_Toc1482"/>
      <w:bookmarkStart w:id="48" w:name="_Toc256519703"/>
      <w:bookmarkStart w:id="49" w:name="_Toc326786897"/>
    </w:p>
    <w:p>
      <w:pPr>
        <w:pStyle w:val="2"/>
        <w:snapToGrid w:val="0"/>
        <w:spacing w:before="0" w:after="0" w:line="480" w:lineRule="auto"/>
        <w:jc w:val="center"/>
        <w:rPr>
          <w:rFonts w:hint="eastAsia" w:ascii="宋体" w:hAnsi="宋体" w:eastAsia="宋体" w:cs="宋体"/>
          <w:color w:val="auto"/>
          <w:sz w:val="28"/>
          <w:szCs w:val="28"/>
          <w:highlight w:val="yellow"/>
        </w:rPr>
      </w:pPr>
      <w:bookmarkStart w:id="50" w:name="_Toc28988"/>
      <w:r>
        <w:rPr>
          <w:rFonts w:hint="eastAsia" w:ascii="宋体" w:hAnsi="宋体" w:eastAsia="宋体" w:cs="宋体"/>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以实际合同为准</w:t>
      </w:r>
      <w:r>
        <w:rPr>
          <w:rFonts w:hint="eastAsia" w:ascii="宋体" w:hAnsi="宋体" w:eastAsia="宋体" w:cs="宋体"/>
          <w:sz w:val="22"/>
          <w:szCs w:val="22"/>
          <w:lang w:eastAsia="zh-CN"/>
        </w:rPr>
        <w:t>）</w:t>
      </w:r>
    </w:p>
    <w:p>
      <w:pPr>
        <w:rPr>
          <w:rFonts w:hint="eastAsia" w:ascii="宋体" w:hAnsi="宋体" w:eastAsia="宋体" w:cs="宋体"/>
          <w:color w:val="auto"/>
          <w:sz w:val="32"/>
          <w:szCs w:val="32"/>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0"/>
        <w:rPr>
          <w:rFonts w:hint="eastAsia" w:ascii="宋体" w:hAnsi="宋体" w:eastAsia="宋体" w:cs="宋体"/>
        </w:rPr>
      </w:pPr>
    </w:p>
    <w:p>
      <w:pPr>
        <w:pStyle w:val="2"/>
        <w:jc w:val="center"/>
        <w:rPr>
          <w:rFonts w:hint="eastAsia" w:ascii="宋体" w:hAnsi="宋体" w:eastAsia="宋体" w:cs="宋体"/>
          <w:color w:val="auto"/>
          <w:kern w:val="0"/>
          <w:highlight w:val="none"/>
        </w:rPr>
      </w:pPr>
      <w:bookmarkStart w:id="51" w:name="_Toc2638"/>
      <w:r>
        <w:rPr>
          <w:rFonts w:hint="eastAsia" w:ascii="宋体" w:hAnsi="宋体" w:eastAsia="宋体" w:cs="宋体"/>
          <w:color w:val="auto"/>
          <w:sz w:val="32"/>
          <w:szCs w:val="32"/>
          <w:highlight w:val="none"/>
        </w:rPr>
        <w:t xml:space="preserve">第六章  </w:t>
      </w:r>
      <w:r>
        <w:rPr>
          <w:rFonts w:hint="eastAsia" w:ascii="宋体" w:hAnsi="宋体" w:eastAsia="宋体" w:cs="宋体"/>
          <w:color w:val="auto"/>
          <w:sz w:val="32"/>
          <w:szCs w:val="32"/>
          <w:highlight w:val="none"/>
          <w:lang w:eastAsia="zh-CN"/>
        </w:rPr>
        <w:t>响应性文件</w:t>
      </w:r>
      <w:r>
        <w:rPr>
          <w:rFonts w:hint="eastAsia" w:ascii="宋体" w:hAnsi="宋体" w:eastAsia="宋体" w:cs="宋体"/>
          <w:color w:val="auto"/>
          <w:sz w:val="32"/>
          <w:szCs w:val="32"/>
          <w:highlight w:val="none"/>
        </w:rPr>
        <w:t>格式</w:t>
      </w:r>
      <w:bookmarkEnd w:id="46"/>
      <w:bookmarkEnd w:id="47"/>
      <w:bookmarkEnd w:id="51"/>
    </w:p>
    <w:p>
      <w:pPr>
        <w:spacing w:line="440" w:lineRule="exact"/>
        <w:rPr>
          <w:rFonts w:hint="eastAsia" w:ascii="宋体" w:hAnsi="宋体" w:eastAsia="宋体" w:cs="宋体"/>
          <w:color w:val="auto"/>
          <w:sz w:val="24"/>
          <w:highlight w:val="none"/>
        </w:rPr>
      </w:pPr>
    </w:p>
    <w:p>
      <w:pPr>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widowControl/>
        <w:wordWrap w:val="0"/>
        <w:spacing w:line="460" w:lineRule="exact"/>
        <w:ind w:firstLine="480" w:firstLineChars="200"/>
        <w:jc w:val="left"/>
        <w:rPr>
          <w:rFonts w:hint="eastAsia" w:ascii="宋体" w:hAnsi="宋体" w:eastAsia="宋体" w:cs="宋体"/>
          <w:color w:val="auto"/>
          <w:kern w:val="0"/>
          <w:sz w:val="24"/>
          <w:highlight w:val="none"/>
        </w:rPr>
      </w:pPr>
    </w:p>
    <w:p>
      <w:pPr>
        <w:snapToGrid w:val="0"/>
        <w:spacing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w:t>
      </w:r>
      <w:r>
        <w:rPr>
          <w:rFonts w:hint="eastAsia" w:ascii="宋体" w:hAnsi="宋体" w:eastAsia="宋体" w:cs="宋体"/>
          <w:color w:val="auto"/>
          <w:sz w:val="24"/>
          <w:highlight w:val="none"/>
          <w:lang w:eastAsia="zh-CN"/>
        </w:rPr>
        <w:t>响应性文件</w:t>
      </w:r>
      <w:r>
        <w:rPr>
          <w:rFonts w:hint="eastAsia" w:ascii="宋体" w:hAnsi="宋体" w:eastAsia="宋体" w:cs="宋体"/>
          <w:color w:val="auto"/>
          <w:sz w:val="24"/>
          <w:highlight w:val="none"/>
        </w:rPr>
        <w:t>封面（格式）</w:t>
      </w:r>
      <w:bookmarkEnd w:id="53"/>
    </w:p>
    <w:p>
      <w:pPr>
        <w:snapToGrid w:val="0"/>
        <w:spacing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附件2 投标书（格式）</w:t>
      </w:r>
      <w:bookmarkEnd w:id="54"/>
    </w:p>
    <w:p>
      <w:pPr>
        <w:snapToGrid w:val="0"/>
        <w:spacing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附件3 开标一览表（格式）</w:t>
      </w:r>
      <w:bookmarkEnd w:id="55"/>
    </w:p>
    <w:p>
      <w:pPr>
        <w:snapToGrid w:val="0"/>
        <w:spacing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报价明细表（格式）</w:t>
      </w:r>
      <w:bookmarkEnd w:id="56"/>
    </w:p>
    <w:p>
      <w:pPr>
        <w:snapToGrid w:val="0"/>
        <w:spacing w:line="360" w:lineRule="auto"/>
        <w:ind w:firstLine="480" w:firstLineChars="200"/>
        <w:rPr>
          <w:rFonts w:hint="eastAsia" w:ascii="宋体" w:hAnsi="宋体" w:eastAsia="宋体" w:cs="宋体"/>
          <w:color w:val="auto"/>
          <w:sz w:val="24"/>
          <w:highlight w:val="none"/>
        </w:rPr>
      </w:pPr>
      <w:bookmarkStart w:id="57" w:name="_Toc28392"/>
      <w:bookmarkStart w:id="58" w:name="_Toc26231"/>
      <w:r>
        <w:rPr>
          <w:rFonts w:hint="eastAsia" w:ascii="宋体" w:hAnsi="宋体" w:eastAsia="宋体" w:cs="宋体"/>
          <w:color w:val="auto"/>
          <w:sz w:val="24"/>
          <w:highlight w:val="none"/>
        </w:rPr>
        <w:t>附件5</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bookmarkEnd w:id="57"/>
    </w:p>
    <w:p>
      <w:pPr>
        <w:snapToGrid w:val="0"/>
        <w:spacing w:line="360" w:lineRule="auto"/>
        <w:ind w:firstLine="480" w:firstLineChars="200"/>
        <w:rPr>
          <w:rFonts w:hint="eastAsia" w:ascii="宋体" w:hAnsi="宋体" w:eastAsia="宋体" w:cs="宋体"/>
          <w:color w:val="auto"/>
          <w:sz w:val="24"/>
          <w:highlight w:val="none"/>
          <w:lang w:val="en-US" w:eastAsia="zh-CN"/>
        </w:rPr>
      </w:pPr>
      <w:bookmarkStart w:id="59" w:name="_Toc6234"/>
      <w:r>
        <w:rPr>
          <w:rFonts w:hint="eastAsia" w:ascii="宋体" w:hAnsi="宋体" w:eastAsia="宋体" w:cs="宋体"/>
          <w:color w:val="auto"/>
          <w:sz w:val="24"/>
          <w:highlight w:val="none"/>
        </w:rPr>
        <w:t xml:space="preserve">附件6 </w:t>
      </w:r>
      <w:bookmarkEnd w:id="59"/>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8"/>
    </w:p>
    <w:p>
      <w:pPr>
        <w:snapToGrid w:val="0"/>
        <w:spacing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snapToGrid w:val="0"/>
        <w:spacing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snapToGrid w:val="0"/>
        <w:spacing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附件11 供应商信用承诺函（格式）</w:t>
      </w:r>
    </w:p>
    <w:p>
      <w:pPr>
        <w:pStyle w:val="30"/>
        <w:rPr>
          <w:rFonts w:hint="eastAsia" w:ascii="宋体" w:hAnsi="宋体" w:eastAsia="宋体" w:cs="宋体"/>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widowControl/>
        <w:wordWrap w:val="0"/>
        <w:snapToGrid w:val="0"/>
        <w:spacing w:line="460" w:lineRule="exact"/>
        <w:ind w:firstLine="482" w:firstLineChars="200"/>
        <w:jc w:val="center"/>
        <w:rPr>
          <w:rFonts w:hint="eastAsia" w:ascii="宋体" w:hAnsi="宋体" w:eastAsia="宋体" w:cs="宋体"/>
          <w:b/>
          <w:bCs/>
          <w:color w:val="auto"/>
          <w:kern w:val="0"/>
          <w:sz w:val="24"/>
          <w:highlight w:val="none"/>
        </w:rPr>
      </w:pPr>
    </w:p>
    <w:p>
      <w:pPr>
        <w:pStyle w:val="3"/>
        <w:rPr>
          <w:rFonts w:hint="eastAsia" w:ascii="宋体" w:hAnsi="宋体" w:eastAsia="宋体" w:cs="宋体"/>
          <w:b/>
          <w:bCs/>
          <w:color w:val="auto"/>
          <w:kern w:val="0"/>
          <w:sz w:val="24"/>
          <w:highlight w:val="none"/>
        </w:rPr>
      </w:pPr>
    </w:p>
    <w:p>
      <w:pPr>
        <w:pStyle w:val="4"/>
        <w:rPr>
          <w:rFonts w:hint="eastAsia" w:ascii="宋体" w:hAnsi="宋体" w:eastAsia="宋体" w:cs="宋体"/>
          <w:b/>
          <w:bCs/>
          <w:color w:val="auto"/>
          <w:highlight w:val="none"/>
        </w:rPr>
      </w:pPr>
    </w:p>
    <w:p>
      <w:pPr>
        <w:pStyle w:val="4"/>
        <w:rPr>
          <w:rFonts w:hint="eastAsia" w:ascii="宋体" w:hAnsi="宋体" w:eastAsia="宋体" w:cs="宋体"/>
          <w:b/>
          <w:bCs/>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5"/>
        <w:rPr>
          <w:rFonts w:hint="eastAsia" w:ascii="宋体" w:hAnsi="宋体" w:eastAsia="宋体" w:cs="宋体"/>
          <w:color w:val="auto"/>
          <w:highlight w:val="none"/>
        </w:rPr>
      </w:pPr>
    </w:p>
    <w:p>
      <w:pPr>
        <w:pStyle w:val="5"/>
        <w:rPr>
          <w:rFonts w:hint="eastAsia" w:ascii="宋体" w:hAnsi="宋体" w:eastAsia="宋体" w:cs="宋体"/>
          <w:color w:val="auto"/>
          <w:highlight w:val="none"/>
        </w:rPr>
      </w:pPr>
      <w:bookmarkStart w:id="63" w:name="_Toc31798"/>
      <w:bookmarkStart w:id="64" w:name="_Toc24743"/>
      <w:r>
        <w:rPr>
          <w:rFonts w:hint="eastAsia" w:ascii="宋体" w:hAnsi="宋体" w:eastAsia="宋体" w:cs="宋体"/>
          <w:color w:val="auto"/>
          <w:highlight w:val="none"/>
        </w:rPr>
        <w:t xml:space="preserve">附件1               </w:t>
      </w:r>
      <w:r>
        <w:rPr>
          <w:rFonts w:hint="eastAsia" w:ascii="宋体" w:hAnsi="宋体" w:eastAsia="宋体" w:cs="宋体"/>
          <w:color w:val="auto"/>
          <w:highlight w:val="none"/>
          <w:lang w:eastAsia="zh-CN"/>
        </w:rPr>
        <w:t>响应性文件</w:t>
      </w:r>
      <w:r>
        <w:rPr>
          <w:rFonts w:hint="eastAsia" w:ascii="宋体" w:hAnsi="宋体" w:eastAsia="宋体" w:cs="宋体"/>
          <w:color w:val="auto"/>
          <w:highlight w:val="none"/>
        </w:rPr>
        <w:t>封面（格式）</w:t>
      </w:r>
      <w:bookmarkEnd w:id="63"/>
      <w:bookmarkEnd w:id="64"/>
    </w:p>
    <w:p>
      <w:pPr>
        <w:widowControl/>
        <w:wordWrap w:val="0"/>
        <w:spacing w:line="460" w:lineRule="exact"/>
        <w:ind w:firstLine="482" w:firstLineChars="200"/>
        <w:jc w:val="center"/>
        <w:rPr>
          <w:rFonts w:hint="eastAsia" w:ascii="宋体" w:hAnsi="宋体" w:eastAsia="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lang w:eastAsia="zh-CN"/>
        </w:rPr>
      </w:pPr>
      <w:r>
        <w:rPr>
          <w:rFonts w:hint="eastAsia" w:ascii="宋体" w:hAnsi="宋体" w:eastAsia="宋体" w:cs="宋体"/>
          <w:b/>
          <w:color w:val="auto"/>
          <w:spacing w:val="90"/>
          <w:sz w:val="52"/>
          <w:szCs w:val="52"/>
          <w:highlight w:val="none"/>
          <w:lang w:eastAsia="zh-CN"/>
        </w:rPr>
        <w:t>响应性文件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hint="eastAsia" w:ascii="宋体" w:hAnsi="宋体" w:eastAsia="宋体" w:cs="宋体"/>
          <w:b/>
          <w:color w:val="auto"/>
          <w:kern w:val="0"/>
          <w:sz w:val="24"/>
          <w:highlight w:val="none"/>
        </w:rPr>
      </w:pPr>
    </w:p>
    <w:p>
      <w:pPr>
        <w:pStyle w:val="3"/>
        <w:rPr>
          <w:rFonts w:hint="eastAsia" w:ascii="宋体" w:hAnsi="宋体" w:eastAsia="宋体" w:cs="宋体"/>
          <w:b/>
          <w:color w:val="auto"/>
          <w:kern w:val="0"/>
          <w:sz w:val="24"/>
          <w:highlight w:val="none"/>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pStyle w:val="5"/>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               投  标  书（格式）</w:t>
      </w:r>
      <w:bookmarkEnd w:id="65"/>
      <w:bookmarkEnd w:id="66"/>
    </w:p>
    <w:p>
      <w:pPr>
        <w:widowControl/>
        <w:wordWrap w:val="0"/>
        <w:snapToGrid w:val="0"/>
        <w:spacing w:line="46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widowControl/>
        <w:wordWrap w:val="0"/>
        <w:spacing w:line="460" w:lineRule="exact"/>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eastAsia="zh-CN"/>
        </w:rPr>
        <w:t>供应商</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供应商及其投标产品和服务，我方就本次投标有关事项郑重声明并宣布同意如下：</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有效期内遵守本</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中的承诺且在此期限期满之前均具有约束力。如果我方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响应性文件</w:t>
      </w:r>
      <w:r>
        <w:rPr>
          <w:rFonts w:hint="eastAsia" w:ascii="宋体" w:hAnsi="宋体" w:eastAsia="宋体" w:cs="宋体"/>
          <w:color w:val="auto"/>
          <w:kern w:val="0"/>
          <w:szCs w:val="21"/>
          <w:highlight w:val="none"/>
        </w:rPr>
        <w:t>有效期与合同履行期相同。</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的保证。</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w:t>
      </w:r>
      <w:r>
        <w:rPr>
          <w:rFonts w:hint="eastAsia" w:ascii="宋体" w:hAnsi="宋体" w:eastAsia="宋体" w:cs="宋体"/>
          <w:color w:val="auto"/>
          <w:kern w:val="0"/>
          <w:szCs w:val="21"/>
          <w:highlight w:val="none"/>
          <w:lang w:eastAsia="zh-CN"/>
        </w:rPr>
        <w:t>评标委员会</w:t>
      </w:r>
      <w:r>
        <w:rPr>
          <w:rFonts w:hint="eastAsia" w:ascii="宋体" w:hAnsi="宋体" w:eastAsia="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通知书并缴纳服务费。否则，视为我方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后自动放弃</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资格，承担由此引起的一切后果。</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供应商，我方同意在领取</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通知书之日起日内，按照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w:t>
      </w:r>
      <w:r>
        <w:rPr>
          <w:rFonts w:hint="eastAsia" w:ascii="宋体" w:hAnsi="宋体" w:eastAsia="宋体" w:cs="宋体"/>
          <w:color w:val="auto"/>
          <w:kern w:val="0"/>
          <w:szCs w:val="21"/>
          <w:highlight w:val="none"/>
          <w:lang w:eastAsia="zh-CN"/>
        </w:rPr>
        <w:t>成交</w:t>
      </w:r>
      <w:r>
        <w:rPr>
          <w:rFonts w:hint="eastAsia" w:ascii="宋体" w:hAnsi="宋体" w:eastAsia="宋体" w:cs="宋体"/>
          <w:color w:val="auto"/>
          <w:kern w:val="0"/>
          <w:szCs w:val="21"/>
          <w:highlight w:val="none"/>
        </w:rPr>
        <w:t>后无正当理由不与采购人签订合同并承担相应法律责任。</w:t>
      </w:r>
    </w:p>
    <w:p>
      <w:pPr>
        <w:widowControl/>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widowControl/>
        <w:wordWrap w:val="0"/>
        <w:spacing w:line="460" w:lineRule="exact"/>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wordWrap w:val="0"/>
        <w:spacing w:line="460" w:lineRule="exact"/>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w:t>
      </w:r>
      <w:r>
        <w:rPr>
          <w:rFonts w:hint="eastAsia" w:ascii="宋体" w:hAnsi="宋体" w:eastAsia="宋体" w:cs="宋体"/>
          <w:color w:val="auto"/>
          <w:kern w:val="0"/>
          <w:szCs w:val="21"/>
          <w:highlight w:val="none"/>
          <w:lang w:val="en-US" w:eastAsia="zh-CN"/>
        </w:rPr>
        <w:t>签字或</w:t>
      </w:r>
      <w:r>
        <w:rPr>
          <w:rFonts w:hint="eastAsia" w:ascii="宋体" w:hAnsi="宋体" w:eastAsia="宋体" w:cs="宋体"/>
          <w:color w:val="auto"/>
          <w:kern w:val="0"/>
          <w:szCs w:val="21"/>
          <w:highlight w:val="none"/>
          <w:lang w:eastAsia="zh-CN"/>
        </w:rPr>
        <w:t>盖章</w:t>
      </w:r>
      <w:r>
        <w:rPr>
          <w:rFonts w:hint="eastAsia" w:ascii="宋体" w:hAnsi="宋体" w:eastAsia="宋体" w:cs="宋体"/>
          <w:color w:val="auto"/>
          <w:kern w:val="0"/>
          <w:szCs w:val="21"/>
          <w:highlight w:val="none"/>
        </w:rPr>
        <w:t xml:space="preserve">： </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：（全称并加盖公章）</w:t>
      </w:r>
    </w:p>
    <w:p>
      <w:pPr>
        <w:widowControl/>
        <w:wordWrap w:val="0"/>
        <w:spacing w:line="460" w:lineRule="exact"/>
        <w:ind w:firstLine="420" w:firstLineChars="200"/>
        <w:jc w:val="left"/>
        <w:rPr>
          <w:rFonts w:hint="eastAsia" w:ascii="宋体" w:hAnsi="宋体" w:eastAsia="宋体" w:cs="宋体"/>
          <w:color w:val="auto"/>
          <w:kern w:val="0"/>
          <w:szCs w:val="21"/>
          <w:highlight w:val="none"/>
        </w:rPr>
      </w:pPr>
    </w:p>
    <w:p>
      <w:pPr>
        <w:widowControl/>
        <w:snapToGrid w:val="0"/>
        <w:spacing w:line="460" w:lineRule="exact"/>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widowControl/>
        <w:wordWrap w:val="0"/>
        <w:snapToGrid w:val="0"/>
        <w:spacing w:before="50" w:after="50" w:line="480" w:lineRule="auto"/>
        <w:jc w:val="left"/>
        <w:rPr>
          <w:rFonts w:hint="eastAsia" w:ascii="宋体" w:hAnsi="宋体" w:eastAsia="宋体" w:cs="宋体"/>
          <w:b/>
          <w:color w:val="auto"/>
          <w:kern w:val="0"/>
          <w:sz w:val="24"/>
          <w:highlight w:val="none"/>
        </w:rPr>
      </w:pPr>
    </w:p>
    <w:p>
      <w:pPr>
        <w:spacing w:line="500" w:lineRule="exact"/>
        <w:jc w:val="center"/>
        <w:rPr>
          <w:rFonts w:hint="eastAsia" w:ascii="宋体" w:hAnsi="宋体" w:eastAsia="宋体" w:cs="宋体"/>
          <w:b/>
          <w:bCs/>
          <w:color w:val="auto"/>
          <w:sz w:val="24"/>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rPr>
          <w:rFonts w:hint="eastAsia" w:ascii="宋体" w:hAnsi="宋体" w:eastAsia="宋体" w:cs="宋体"/>
          <w:color w:val="auto"/>
          <w:highlight w:val="none"/>
        </w:rPr>
      </w:pPr>
    </w:p>
    <w:p>
      <w:pPr>
        <w:pStyle w:val="5"/>
        <w:spacing w:before="20" w:after="20"/>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               开标一览表</w:t>
      </w:r>
      <w:bookmarkEnd w:id="67"/>
    </w:p>
    <w:p>
      <w:pPr>
        <w:spacing w:line="239" w:lineRule="auto"/>
        <w:jc w:val="right"/>
        <w:rPr>
          <w:rFonts w:hint="eastAsia" w:ascii="宋体" w:hAnsi="宋体" w:eastAsia="宋体" w:cs="宋体"/>
          <w:color w:val="auto"/>
          <w:sz w:val="24"/>
          <w:highlight w:val="none"/>
          <w:lang w:val="en-US"/>
        </w:rPr>
      </w:pPr>
      <w:r>
        <w:rPr>
          <w:rFonts w:hint="eastAsia" w:ascii="宋体" w:hAnsi="宋体" w:eastAsia="宋体" w:cs="宋体"/>
          <w:color w:val="auto"/>
          <w:sz w:val="24"/>
          <w:highlight w:val="none"/>
        </w:rPr>
        <w:t>单位：人民币</w:t>
      </w:r>
      <w:r>
        <w:rPr>
          <w:rFonts w:hint="eastAsia" w:ascii="宋体" w:hAnsi="宋体" w:eastAsia="宋体" w:cs="宋体"/>
          <w:sz w:val="24"/>
          <w:lang w:val="en-US" w:eastAsia="zh-CN"/>
        </w:rPr>
        <w:t>元</w:t>
      </w:r>
    </w:p>
    <w:p>
      <w:pPr>
        <w:rPr>
          <w:rFonts w:hint="eastAsia" w:ascii="宋体" w:hAnsi="宋体" w:eastAsia="宋体" w:cs="宋体"/>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noWrap/>
            <w:vAlign w:val="center"/>
          </w:tcPr>
          <w:p>
            <w:pPr>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名称</w:t>
            </w:r>
          </w:p>
        </w:tc>
        <w:tc>
          <w:tcPr>
            <w:tcW w:w="7708" w:type="dxa"/>
            <w:noWrap/>
            <w:vAlign w:val="center"/>
          </w:tcPr>
          <w:p>
            <w:pP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rPr>
              <w:t>投标报价</w:t>
            </w:r>
          </w:p>
        </w:tc>
        <w:tc>
          <w:tcPr>
            <w:tcW w:w="7708" w:type="dxa"/>
            <w:noWrap/>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大写：        </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xml:space="preserve">小写：        </w:t>
            </w:r>
            <w:r>
              <w:rPr>
                <w:rFonts w:hint="eastAsia" w:ascii="宋体" w:hAnsi="宋体" w:eastAsia="宋体" w:cs="宋体"/>
                <w:sz w:val="24"/>
                <w:lang w:val="en-US" w:eastAsia="zh-CN"/>
              </w:rPr>
              <w:t>元</w:t>
            </w:r>
            <w:r>
              <w:rPr>
                <w:rFonts w:hint="eastAsia" w:ascii="宋体" w:hAnsi="宋体" w:eastAsia="宋体" w:cs="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en-US" w:eastAsia="zh-CN"/>
              </w:rPr>
              <w:t>服务</w:t>
            </w:r>
            <w:r>
              <w:rPr>
                <w:rFonts w:hint="eastAsia" w:ascii="宋体" w:hAnsi="宋体" w:eastAsia="宋体" w:cs="宋体"/>
                <w:color w:val="auto"/>
                <w:kern w:val="0"/>
                <w:szCs w:val="21"/>
                <w:highlight w:val="none"/>
              </w:rPr>
              <w:t>地点</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noWrap/>
            <w:vAlign w:val="center"/>
          </w:tcPr>
          <w:p>
            <w:pPr>
              <w:pStyle w:val="19"/>
              <w:ind w:left="0" w:leftChars="0"/>
              <w:rPr>
                <w:rFonts w:hint="eastAsia" w:ascii="宋体" w:hAnsi="宋体" w:eastAsia="宋体" w:cs="宋体"/>
                <w:color w:val="auto"/>
                <w:sz w:val="21"/>
                <w:szCs w:val="21"/>
                <w:highlight w:val="none"/>
              </w:rPr>
            </w:pPr>
          </w:p>
        </w:tc>
      </w:tr>
    </w:tbl>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代表签字或盖章，否则其投标作无效标处理。</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按格式填列，不得自行更改。否则引起的不利后果由</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承担。</w:t>
      </w:r>
    </w:p>
    <w:p>
      <w:pPr>
        <w:spacing w:line="360" w:lineRule="auto"/>
        <w:ind w:firstLine="420" w:firstLineChars="200"/>
        <w:jc w:val="center"/>
        <w:rPr>
          <w:rFonts w:hint="eastAsia" w:ascii="宋体" w:hAnsi="宋体" w:eastAsia="宋体" w:cs="宋体"/>
          <w:color w:val="auto"/>
          <w:szCs w:val="21"/>
          <w:highlight w:val="none"/>
        </w:rPr>
      </w:pPr>
      <w:bookmarkStart w:id="68" w:name="_Toc11620"/>
      <w:bookmarkStart w:id="69" w:name="_Toc20877"/>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（全称并加盖公章）：</w:t>
      </w:r>
      <w:bookmarkEnd w:id="68"/>
      <w:bookmarkEnd w:id="69"/>
    </w:p>
    <w:p>
      <w:pPr>
        <w:spacing w:line="360" w:lineRule="auto"/>
        <w:ind w:firstLine="420" w:firstLineChars="200"/>
        <w:jc w:val="center"/>
        <w:rPr>
          <w:rFonts w:hint="eastAsia" w:ascii="宋体" w:hAnsi="宋体" w:eastAsia="宋体" w:cs="宋体"/>
          <w:color w:val="auto"/>
          <w:szCs w:val="21"/>
          <w:highlight w:val="none"/>
          <w:u w:val="single"/>
        </w:rPr>
      </w:pPr>
      <w:bookmarkStart w:id="70" w:name="_Toc625"/>
      <w:bookmarkStart w:id="71" w:name="_Toc12222"/>
      <w:r>
        <w:rPr>
          <w:rFonts w:hint="eastAsia" w:ascii="宋体" w:hAnsi="宋体" w:eastAsia="宋体" w:cs="宋体"/>
          <w:color w:val="auto"/>
          <w:szCs w:val="21"/>
          <w:highlight w:val="none"/>
        </w:rPr>
        <w:t>法定代表人或其委托代理人（</w:t>
      </w:r>
      <w:r>
        <w:rPr>
          <w:rFonts w:hint="eastAsia" w:ascii="宋体" w:hAnsi="宋体" w:eastAsia="宋体" w:cs="宋体"/>
          <w:color w:val="auto"/>
          <w:szCs w:val="21"/>
          <w:highlight w:val="none"/>
          <w:lang w:val="en-US" w:eastAsia="zh-CN"/>
        </w:rPr>
        <w:t>签字或</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bookmarkEnd w:id="70"/>
      <w:bookmarkEnd w:id="71"/>
    </w:p>
    <w:p>
      <w:pPr>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highlight w:val="none"/>
        </w:rPr>
      </w:pPr>
      <w:bookmarkStart w:id="72" w:name="_Toc9950"/>
      <w:bookmarkStart w:id="73" w:name="_Toc1330"/>
      <w:r>
        <w:rPr>
          <w:rFonts w:hint="eastAsia" w:ascii="宋体" w:hAnsi="宋体" w:eastAsia="宋体" w:cs="宋体"/>
          <w:color w:val="auto"/>
          <w:szCs w:val="21"/>
          <w:highlight w:val="none"/>
        </w:rPr>
        <w:t>年  月  日</w:t>
      </w:r>
      <w:bookmarkEnd w:id="72"/>
      <w:bookmarkEnd w:id="73"/>
    </w:p>
    <w:p>
      <w:pPr>
        <w:rPr>
          <w:rFonts w:hint="eastAsia" w:ascii="宋体" w:hAnsi="宋体" w:eastAsia="宋体" w:cs="宋体"/>
          <w:color w:val="auto"/>
          <w:highlight w:val="none"/>
        </w:rPr>
      </w:pPr>
    </w:p>
    <w:bookmarkEnd w:id="48"/>
    <w:bookmarkEnd w:id="49"/>
    <w:p>
      <w:pPr>
        <w:spacing w:before="20" w:after="20"/>
        <w:outlineLvl w:val="9"/>
        <w:rPr>
          <w:rFonts w:hint="eastAsia" w:ascii="宋体" w:hAnsi="宋体" w:eastAsia="宋体" w:cs="宋体"/>
          <w:color w:val="000000" w:themeColor="text1"/>
          <w:highlight w:val="none"/>
          <w:lang w:eastAsia="zh-CN"/>
          <w14:textFill>
            <w14:solidFill>
              <w14:schemeClr w14:val="tx1"/>
            </w14:solidFill>
          </w14:textFill>
        </w:rPr>
      </w:pPr>
      <w:bookmarkStart w:id="74" w:name="_Toc22004"/>
      <w:bookmarkStart w:id="75" w:name="_Toc24984"/>
    </w:p>
    <w:p>
      <w:pPr>
        <w:outlineLvl w:val="9"/>
        <w:rPr>
          <w:rFonts w:hint="eastAsia" w:ascii="宋体" w:hAnsi="宋体" w:eastAsia="宋体" w:cs="宋体"/>
          <w:lang w:eastAsia="zh-CN"/>
        </w:rPr>
      </w:pP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5"/>
        <w:spacing w:before="20" w:after="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r>
              <w:rPr>
                <w:rFonts w:hint="eastAsia" w:ascii="宋体" w:hAnsi="宋体" w:eastAsia="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spacing w:val="20"/>
                <w:kern w:val="0"/>
                <w:sz w:val="24"/>
                <w:highlight w:val="none"/>
                <w14:textFill>
                  <w14:solidFill>
                    <w14:schemeClr w14:val="tx1"/>
                  </w14:solidFill>
                </w14:textFill>
              </w:rPr>
              <w:t>投标总价(</w:t>
            </w:r>
            <w:r>
              <w:rPr>
                <w:rFonts w:hint="eastAsia" w:ascii="宋体" w:hAnsi="宋体" w:eastAsia="宋体" w:cs="宋体"/>
                <w:color w:val="000000" w:themeColor="text1"/>
                <w:kern w:val="0"/>
                <w:sz w:val="24"/>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eastAsia="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rPr>
      </w:pPr>
    </w:p>
    <w:p>
      <w:pPr>
        <w:widowControl/>
        <w:wordWrap w:val="0"/>
        <w:spacing w:line="460" w:lineRule="exact"/>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代表</w:t>
      </w:r>
      <w:r>
        <w:rPr>
          <w:rFonts w:hint="eastAsia" w:ascii="宋体" w:hAnsi="宋体" w:eastAsia="宋体" w:cs="宋体"/>
          <w:color w:val="auto"/>
          <w:kern w:val="0"/>
          <w:sz w:val="24"/>
          <w:highlight w:val="none"/>
          <w:lang w:val="en-US" w:eastAsia="zh-CN"/>
        </w:rPr>
        <w:t>签字或</w:t>
      </w:r>
      <w:r>
        <w:rPr>
          <w:rFonts w:hint="eastAsia" w:ascii="宋体" w:hAnsi="宋体" w:eastAsia="宋体" w:cs="宋体"/>
          <w:color w:val="auto"/>
          <w:kern w:val="0"/>
          <w:sz w:val="24"/>
          <w:highlight w:val="none"/>
          <w:lang w:eastAsia="zh-CN"/>
        </w:rPr>
        <w:t>盖章</w:t>
      </w:r>
      <w:r>
        <w:rPr>
          <w:rFonts w:hint="eastAsia" w:ascii="宋体" w:hAnsi="宋体" w:eastAsia="宋体" w:cs="宋体"/>
          <w:color w:val="auto"/>
          <w:kern w:val="0"/>
          <w:sz w:val="24"/>
          <w:highlight w:val="none"/>
        </w:rPr>
        <w:t xml:space="preserve">： </w:t>
      </w:r>
    </w:p>
    <w:p>
      <w:pPr>
        <w:widowControl/>
        <w:wordWrap w:val="0"/>
        <w:snapToGrid w:val="0"/>
        <w:spacing w:line="460" w:lineRule="exact"/>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：（全称并加盖公章）</w:t>
      </w:r>
    </w:p>
    <w:p>
      <w:pPr>
        <w:widowControl/>
        <w:wordWrap w:val="0"/>
        <w:snapToGrid w:val="0"/>
        <w:spacing w:line="460" w:lineRule="exact"/>
        <w:ind w:firstLine="1040" w:firstLineChars="200"/>
        <w:jc w:val="left"/>
        <w:rPr>
          <w:rFonts w:hint="eastAsia" w:ascii="宋体" w:hAnsi="宋体" w:eastAsia="宋体" w:cs="宋体"/>
          <w:color w:val="auto"/>
          <w:kern w:val="0"/>
          <w:sz w:val="52"/>
          <w:szCs w:val="52"/>
          <w:highlight w:val="none"/>
          <w:u w:val="single"/>
        </w:rPr>
      </w:pPr>
    </w:p>
    <w:p>
      <w:pPr>
        <w:widowControl/>
        <w:wordWrap w:val="0"/>
        <w:spacing w:line="460" w:lineRule="exact"/>
        <w:ind w:firstLine="4800" w:firstLineChars="2000"/>
        <w:jc w:val="left"/>
        <w:rPr>
          <w:rFonts w:hint="eastAsia" w:ascii="宋体" w:hAnsi="宋体" w:eastAsia="宋体" w:cs="宋体"/>
          <w:color w:val="auto"/>
          <w:highlight w:val="none"/>
        </w:rPr>
      </w:pPr>
      <w:r>
        <w:rPr>
          <w:rFonts w:hint="eastAsia" w:ascii="宋体" w:hAnsi="宋体" w:eastAsia="宋体" w:cs="宋体"/>
          <w:color w:val="auto"/>
          <w:kern w:val="0"/>
          <w:sz w:val="24"/>
          <w:highlight w:val="none"/>
        </w:rPr>
        <w:t>年    月    日</w:t>
      </w:r>
    </w:p>
    <w:p>
      <w:pPr>
        <w:pStyle w:val="5"/>
        <w:rPr>
          <w:rFonts w:hint="eastAsia" w:ascii="宋体" w:hAnsi="宋体" w:eastAsia="宋体" w:cs="宋体"/>
          <w:color w:val="auto"/>
          <w:highlight w:val="none"/>
          <w:lang w:val="en-US" w:eastAsia="zh-CN"/>
        </w:rPr>
      </w:pPr>
      <w:r>
        <w:rPr>
          <w:rFonts w:hint="eastAsia" w:ascii="宋体" w:hAnsi="宋体" w:eastAsia="宋体" w:cs="宋体"/>
          <w:color w:val="auto"/>
          <w:highlight w:val="none"/>
        </w:rPr>
        <w:br w:type="page"/>
      </w:r>
      <w:bookmarkStart w:id="76" w:name="_Toc15804"/>
      <w:bookmarkStart w:id="77" w:name="_Toc226"/>
      <w:r>
        <w:rPr>
          <w:rFonts w:hint="eastAsia" w:ascii="宋体" w:hAnsi="宋体" w:eastAsia="宋体" w:cs="宋体"/>
          <w:color w:val="auto"/>
          <w:highlight w:val="none"/>
        </w:rPr>
        <w:t xml:space="preserve">附件5         </w:t>
      </w:r>
      <w:bookmarkEnd w:id="76"/>
      <w:bookmarkEnd w:id="77"/>
      <w:r>
        <w:rPr>
          <w:rFonts w:hint="eastAsia" w:ascii="宋体" w:hAnsi="宋体" w:eastAsia="宋体" w:cs="宋体"/>
          <w:color w:val="auto"/>
          <w:highlight w:val="none"/>
        </w:rPr>
        <w:t xml:space="preserve">     技术响应</w:t>
      </w:r>
      <w:r>
        <w:rPr>
          <w:rFonts w:hint="eastAsia" w:ascii="宋体" w:hAnsi="宋体" w:eastAsia="宋体" w:cs="宋体"/>
          <w:color w:val="auto"/>
          <w:highlight w:val="none"/>
          <w:lang w:val="en-US" w:eastAsia="zh-CN"/>
        </w:rPr>
        <w:t>部分</w:t>
      </w:r>
    </w:p>
    <w:p>
      <w:pPr>
        <w:widowControl/>
        <w:wordWrap w:val="0"/>
        <w:spacing w:line="460" w:lineRule="exact"/>
        <w:ind w:firstLine="482" w:firstLineChars="200"/>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rPr>
          <w:rFonts w:hint="eastAsia" w:ascii="宋体" w:hAnsi="宋体" w:eastAsia="宋体" w:cs="宋体"/>
          <w:color w:val="auto"/>
          <w:highlight w:val="none"/>
        </w:rPr>
      </w:pPr>
    </w:p>
    <w:p>
      <w:pPr>
        <w:widowControl/>
        <w:wordWrap w:val="0"/>
        <w:snapToGrid w:val="0"/>
        <w:spacing w:line="460" w:lineRule="exact"/>
        <w:jc w:val="left"/>
        <w:outlineLvl w:val="0"/>
        <w:rPr>
          <w:rFonts w:hint="eastAsia" w:ascii="宋体" w:hAnsi="宋体" w:eastAsia="宋体" w:cs="宋体"/>
          <w:b/>
          <w:color w:val="auto"/>
          <w:sz w:val="28"/>
          <w:highlight w:val="none"/>
          <w:lang w:val="en-US" w:eastAsia="zh-CN"/>
        </w:rPr>
      </w:pPr>
      <w:bookmarkStart w:id="78" w:name="_Toc29960"/>
      <w:bookmarkStart w:id="79" w:name="_Toc20420"/>
      <w:r>
        <w:rPr>
          <w:rFonts w:hint="eastAsia" w:ascii="宋体" w:hAnsi="宋体" w:eastAsia="宋体" w:cs="宋体"/>
          <w:b/>
          <w:color w:val="auto"/>
          <w:sz w:val="28"/>
          <w:highlight w:val="none"/>
        </w:rPr>
        <w:t>附件6               商务响应</w:t>
      </w:r>
      <w:bookmarkEnd w:id="78"/>
      <w:bookmarkEnd w:id="79"/>
      <w:r>
        <w:rPr>
          <w:rFonts w:hint="eastAsia" w:ascii="宋体" w:hAnsi="宋体" w:eastAsia="宋体" w:cs="宋体"/>
          <w:b/>
          <w:color w:val="auto"/>
          <w:sz w:val="28"/>
          <w:highlight w:val="none"/>
          <w:lang w:val="en-US" w:eastAsia="zh-CN"/>
        </w:rPr>
        <w:t>部分</w:t>
      </w:r>
    </w:p>
    <w:p>
      <w:pPr>
        <w:widowControl/>
        <w:wordWrap w:val="0"/>
        <w:spacing w:line="460" w:lineRule="exact"/>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 xml:space="preserve">  </w:t>
      </w:r>
    </w:p>
    <w:p>
      <w:pPr>
        <w:widowControl/>
        <w:wordWrap w:val="0"/>
        <w:spacing w:line="460" w:lineRule="exact"/>
        <w:ind w:firstLine="482" w:firstLineChars="200"/>
        <w:jc w:val="left"/>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24"/>
          <w:szCs w:val="24"/>
          <w:highlight w:val="none"/>
          <w:lang w:val="en-US" w:eastAsia="zh-CN"/>
        </w:rPr>
        <w:t>商务部分相关证明文件</w:t>
      </w:r>
    </w:p>
    <w:p>
      <w:pPr>
        <w:rPr>
          <w:rFonts w:hint="eastAsia" w:ascii="宋体" w:hAnsi="宋体" w:eastAsia="宋体" w:cs="宋体"/>
          <w:b/>
          <w:color w:val="auto"/>
          <w:kern w:val="0"/>
          <w:sz w:val="24"/>
          <w:highlight w:val="none"/>
        </w:rPr>
      </w:pPr>
    </w:p>
    <w:p>
      <w:pPr>
        <w:pStyle w:val="30"/>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outlineLvl w:val="9"/>
        <w:rPr>
          <w:rFonts w:hint="eastAsia" w:ascii="宋体" w:hAnsi="宋体" w:eastAsia="宋体" w:cs="宋体"/>
        </w:rPr>
      </w:pPr>
    </w:p>
    <w:p>
      <w:pPr>
        <w:rPr>
          <w:rFonts w:hint="eastAsia" w:ascii="宋体" w:hAnsi="宋体" w:eastAsia="宋体" w:cs="宋体"/>
          <w:b/>
          <w:color w:val="auto"/>
          <w:sz w:val="28"/>
          <w:highlight w:val="none"/>
        </w:rPr>
      </w:pPr>
      <w:bookmarkStart w:id="80" w:name="_Toc28621"/>
      <w:bookmarkStart w:id="81" w:name="_Toc31526"/>
      <w:r>
        <w:rPr>
          <w:rFonts w:hint="eastAsia" w:ascii="宋体" w:hAnsi="宋体" w:eastAsia="宋体" w:cs="宋体"/>
          <w:b/>
          <w:color w:val="auto"/>
          <w:sz w:val="28"/>
          <w:highlight w:val="none"/>
        </w:rPr>
        <w:br w:type="page"/>
      </w:r>
    </w:p>
    <w:p>
      <w:pPr>
        <w:widowControl/>
        <w:wordWrap w:val="0"/>
        <w:spacing w:line="460" w:lineRule="exact"/>
        <w:jc w:val="left"/>
        <w:outlineLvl w:val="0"/>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附件7               法定代表人身份证明（格式）</w:t>
      </w:r>
      <w:bookmarkEnd w:id="80"/>
      <w:bookmarkEnd w:id="81"/>
    </w:p>
    <w:p>
      <w:pPr>
        <w:widowControl/>
        <w:wordWrap w:val="0"/>
        <w:spacing w:line="460" w:lineRule="exact"/>
        <w:jc w:val="left"/>
        <w:rPr>
          <w:rFonts w:hint="eastAsia" w:ascii="宋体" w:hAnsi="宋体" w:eastAsia="宋体" w:cs="宋体"/>
          <w:color w:val="auto"/>
          <w:kern w:val="0"/>
          <w:sz w:val="24"/>
          <w:highlight w:val="none"/>
        </w:rPr>
      </w:pPr>
    </w:p>
    <w:p>
      <w:pPr>
        <w:widowControl/>
        <w:wordWrap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名称：</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widowControl/>
        <w:wordWrap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widowControl/>
        <w:wordWrap w:val="0"/>
        <w:spacing w:line="460" w:lineRule="exact"/>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w:t>
      </w:r>
      <w:r>
        <w:rPr>
          <w:rFonts w:hint="eastAsia" w:ascii="宋体" w:hAnsi="宋体" w:eastAsia="宋体" w:cs="宋体"/>
          <w:color w:val="auto"/>
          <w:kern w:val="0"/>
          <w:sz w:val="24"/>
          <w:szCs w:val="20"/>
          <w:highlight w:val="none"/>
          <w:lang w:eastAsia="zh-CN"/>
        </w:rPr>
        <w:t>供应商</w:t>
      </w:r>
      <w:r>
        <w:rPr>
          <w:rFonts w:hint="eastAsia" w:ascii="宋体" w:hAnsi="宋体" w:eastAsia="宋体" w:cs="宋体"/>
          <w:color w:val="auto"/>
          <w:kern w:val="0"/>
          <w:sz w:val="24"/>
          <w:szCs w:val="20"/>
          <w:highlight w:val="none"/>
        </w:rPr>
        <w:t>名称）的法定代表人。</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line="460" w:lineRule="exact"/>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widowControl/>
        <w:wordWrap w:val="0"/>
        <w:spacing w:line="460" w:lineRule="exact"/>
        <w:jc w:val="left"/>
        <w:rPr>
          <w:rFonts w:hint="eastAsia" w:ascii="宋体" w:hAnsi="宋体" w:eastAsia="宋体" w:cs="宋体"/>
          <w:color w:val="auto"/>
          <w:kern w:val="0"/>
          <w:sz w:val="24"/>
          <w:szCs w:val="20"/>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widowControl/>
              <w:spacing w:line="480" w:lineRule="exact"/>
              <w:jc w:val="left"/>
              <w:rPr>
                <w:rFonts w:hint="eastAsia" w:ascii="宋体" w:hAnsi="宋体" w:eastAsia="宋体" w:cs="宋体"/>
                <w:color w:val="auto"/>
                <w:kern w:val="0"/>
                <w:sz w:val="24"/>
                <w:highlight w:val="none"/>
              </w:rPr>
            </w:pPr>
          </w:p>
          <w:p>
            <w:pPr>
              <w:widowControl/>
              <w:spacing w:line="480" w:lineRule="exact"/>
              <w:jc w:val="left"/>
              <w:rPr>
                <w:rFonts w:hint="eastAsia" w:ascii="宋体" w:hAnsi="宋体" w:eastAsia="宋体" w:cs="宋体"/>
                <w:color w:val="auto"/>
                <w:kern w:val="0"/>
                <w:sz w:val="24"/>
                <w:highlight w:val="none"/>
              </w:rPr>
            </w:pPr>
          </w:p>
        </w:tc>
      </w:tr>
    </w:tbl>
    <w:p>
      <w:pPr>
        <w:widowControl/>
        <w:wordWrap w:val="0"/>
        <w:spacing w:beforeLines="100" w:afterLines="100" w:line="480" w:lineRule="exact"/>
        <w:jc w:val="center"/>
        <w:rPr>
          <w:rFonts w:hint="eastAsia" w:ascii="宋体" w:hAnsi="宋体" w:eastAsia="宋体" w:cs="宋体"/>
          <w:b/>
          <w:color w:val="auto"/>
          <w:kern w:val="0"/>
          <w:sz w:val="24"/>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beforeLines="100" w:afterLines="100" w:line="480" w:lineRule="exact"/>
        <w:jc w:val="center"/>
        <w:rPr>
          <w:rFonts w:hint="eastAsia" w:ascii="宋体" w:hAnsi="宋体" w:eastAsia="宋体" w:cs="宋体"/>
          <w:b/>
          <w:color w:val="auto"/>
          <w:kern w:val="0"/>
          <w:sz w:val="36"/>
          <w:szCs w:val="36"/>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pacing w:line="480" w:lineRule="exact"/>
        <w:jc w:val="right"/>
        <w:rPr>
          <w:rFonts w:hint="eastAsia" w:ascii="宋体" w:hAnsi="宋体" w:eastAsia="宋体" w:cs="宋体"/>
          <w:color w:val="auto"/>
          <w:kern w:val="0"/>
          <w:sz w:val="24"/>
          <w:highlight w:val="none"/>
        </w:rPr>
      </w:pPr>
    </w:p>
    <w:p>
      <w:pPr>
        <w:widowControl/>
        <w:wordWrap w:val="0"/>
        <w:snapToGrid w:val="0"/>
        <w:spacing w:line="460" w:lineRule="exact"/>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2"/>
        <w:rPr>
          <w:rFonts w:hint="eastAsia" w:ascii="宋体" w:hAnsi="宋体" w:eastAsia="宋体" w:cs="宋体"/>
          <w:color w:val="auto"/>
          <w:highlight w:val="none"/>
        </w:rPr>
      </w:pPr>
    </w:p>
    <w:p>
      <w:pPr>
        <w:widowControl/>
        <w:wordWrap w:val="0"/>
        <w:spacing w:line="460" w:lineRule="exact"/>
        <w:ind w:firstLine="365" w:firstLineChars="130"/>
        <w:jc w:val="left"/>
        <w:outlineLvl w:val="0"/>
        <w:rPr>
          <w:rFonts w:hint="eastAsia" w:ascii="宋体" w:hAnsi="宋体" w:eastAsia="宋体" w:cs="宋体"/>
          <w:b/>
          <w:color w:val="auto"/>
          <w:sz w:val="28"/>
          <w:highlight w:val="none"/>
        </w:rPr>
      </w:pPr>
      <w:bookmarkStart w:id="82" w:name="_Toc13976"/>
      <w:bookmarkStart w:id="83" w:name="_Toc30519"/>
      <w:r>
        <w:rPr>
          <w:rFonts w:hint="eastAsia" w:ascii="宋体" w:hAnsi="宋体" w:eastAsia="宋体" w:cs="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 xml:space="preserve">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widowControl/>
        <w:wordWrap w:val="0"/>
        <w:snapToGrid w:val="0"/>
        <w:spacing w:line="460" w:lineRule="exac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widowControl/>
        <w:wordWrap w:val="0"/>
        <w:spacing w:line="460" w:lineRule="exact"/>
        <w:ind w:firstLine="4800" w:firstLineChars="2000"/>
        <w:jc w:val="left"/>
        <w:rPr>
          <w:rFonts w:hint="eastAsia" w:ascii="宋体" w:hAnsi="宋体" w:eastAsia="宋体" w:cs="宋体"/>
          <w:color w:val="auto"/>
          <w:kern w:val="0"/>
          <w:sz w:val="24"/>
          <w:highlight w:val="none"/>
        </w:rPr>
      </w:pPr>
    </w:p>
    <w:p>
      <w:pPr>
        <w:widowControl/>
        <w:wordWrap w:val="0"/>
        <w:spacing w:line="360" w:lineRule="auto"/>
        <w:jc w:val="center"/>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val="0"/>
        <w:spacing w:line="360" w:lineRule="auto"/>
        <w:jc w:val="right"/>
        <w:rPr>
          <w:rFonts w:hint="eastAsia" w:ascii="宋体" w:hAnsi="宋体" w:eastAsia="宋体" w:cs="宋体"/>
          <w:color w:val="auto"/>
          <w:kern w:val="0"/>
          <w:sz w:val="24"/>
          <w:highlight w:val="none"/>
        </w:rPr>
      </w:pPr>
    </w:p>
    <w:p>
      <w:pPr>
        <w:widowControl/>
        <w:wordWrap/>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供应商</w:t>
      </w:r>
      <w:r>
        <w:rPr>
          <w:rFonts w:hint="eastAsia" w:ascii="宋体" w:hAnsi="宋体" w:eastAsia="宋体" w:cs="宋体"/>
          <w:color w:val="auto"/>
          <w:kern w:val="0"/>
          <w:sz w:val="24"/>
          <w:highlight w:val="none"/>
        </w:rPr>
        <w:t>：</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widowControl/>
        <w:wordWrap w:val="0"/>
        <w:spacing w:line="460" w:lineRule="exact"/>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widowControl/>
        <w:spacing w:line="360" w:lineRule="auto"/>
        <w:ind w:firstLine="7228" w:firstLineChars="2250"/>
        <w:jc w:val="left"/>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napToGrid w:val="0"/>
        <w:spacing w:before="156" w:after="156" w:line="360" w:lineRule="auto"/>
        <w:jc w:val="left"/>
        <w:rPr>
          <w:rFonts w:hint="eastAsia" w:ascii="宋体" w:hAnsi="宋体" w:eastAsia="宋体" w:cs="宋体"/>
          <w:b/>
          <w:color w:val="auto"/>
          <w:kern w:val="0"/>
          <w:sz w:val="24"/>
          <w:highlight w:val="none"/>
        </w:rPr>
      </w:pPr>
    </w:p>
    <w:p>
      <w:pPr>
        <w:widowControl/>
        <w:snapToGrid w:val="0"/>
        <w:spacing w:before="156" w:after="156" w:line="360" w:lineRule="auto"/>
        <w:jc w:val="left"/>
        <w:outlineLvl w:val="0"/>
        <w:rPr>
          <w:rFonts w:hint="eastAsia" w:ascii="宋体" w:hAnsi="宋体" w:eastAsia="宋体" w:cs="宋体"/>
          <w:b/>
          <w:color w:val="auto"/>
          <w:kern w:val="0"/>
          <w:sz w:val="24"/>
          <w:highlight w:val="none"/>
        </w:rPr>
      </w:pPr>
      <w:bookmarkStart w:id="84" w:name="_Toc18105"/>
      <w:bookmarkStart w:id="85" w:name="_Toc24693"/>
      <w:r>
        <w:rPr>
          <w:rFonts w:hint="eastAsia" w:ascii="宋体" w:hAnsi="宋体" w:eastAsia="宋体" w:cs="宋体"/>
          <w:b/>
          <w:color w:val="auto"/>
          <w:sz w:val="28"/>
          <w:highlight w:val="none"/>
        </w:rPr>
        <w:t>附件9               证明文件</w:t>
      </w:r>
      <w:bookmarkEnd w:id="84"/>
      <w:bookmarkEnd w:id="85"/>
    </w:p>
    <w:p>
      <w:pPr>
        <w:pStyle w:val="9"/>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9.1</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资格审查资料</w:t>
      </w:r>
    </w:p>
    <w:p>
      <w:pPr>
        <w:pStyle w:val="9"/>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9.2</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技术方案</w:t>
      </w:r>
    </w:p>
    <w:p>
      <w:pPr>
        <w:pStyle w:val="9"/>
        <w:spacing w:beforeAutospacing="0" w:afterAutospacing="0" w:line="480" w:lineRule="auto"/>
        <w:ind w:firstLine="537" w:firstLineChars="224"/>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9.3</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其他需要提供的证明材料</w:t>
      </w:r>
      <w:bookmarkStart w:id="86" w:name="_Toc17966"/>
    </w:p>
    <w:p>
      <w:pPr>
        <w:pStyle w:val="9"/>
        <w:spacing w:beforeAutospacing="0" w:afterAutospacing="0" w:line="480" w:lineRule="auto"/>
        <w:ind w:firstLine="537"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4"/>
          <w:szCs w:val="24"/>
          <w:highlight w:val="none"/>
        </w:rPr>
        <w:t>9.</w:t>
      </w:r>
      <w:r>
        <w:rPr>
          <w:rFonts w:hint="eastAsia" w:ascii="宋体" w:hAnsi="宋体" w:eastAsia="宋体" w:cs="宋体"/>
          <w:bCs/>
          <w:color w:val="auto"/>
          <w:sz w:val="24"/>
          <w:szCs w:val="24"/>
          <w:highlight w:val="none"/>
          <w:lang w:val="en-US" w:eastAsia="zh-CN"/>
        </w:rPr>
        <w:t xml:space="preserve">4 </w:t>
      </w:r>
      <w:r>
        <w:rPr>
          <w:rFonts w:hint="eastAsia" w:ascii="宋体" w:hAnsi="宋体" w:eastAsia="宋体" w:cs="宋体"/>
          <w:bCs/>
          <w:color w:val="auto"/>
          <w:sz w:val="24"/>
          <w:szCs w:val="24"/>
          <w:highlight w:val="none"/>
        </w:rPr>
        <w:t>其他证明材料。</w:t>
      </w:r>
    </w:p>
    <w:p>
      <w:pPr>
        <w:pStyle w:val="9"/>
        <w:spacing w:beforeAutospacing="0" w:afterAutospacing="0" w:line="480" w:lineRule="auto"/>
        <w:ind w:firstLine="540" w:firstLineChars="224"/>
        <w:jc w:val="both"/>
        <w:rPr>
          <w:rFonts w:hint="eastAsia" w:ascii="宋体" w:hAnsi="宋体" w:eastAsia="宋体" w:cs="宋体"/>
          <w:b/>
          <w:bCs/>
          <w:color w:val="auto"/>
          <w:highlight w:val="none"/>
        </w:rPr>
      </w:pPr>
    </w:p>
    <w:p>
      <w:pPr>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widowControl/>
        <w:snapToGrid w:val="0"/>
        <w:spacing w:line="360" w:lineRule="auto"/>
        <w:jc w:val="center"/>
        <w:outlineLvl w:val="0"/>
        <w:rPr>
          <w:rFonts w:hint="eastAsia" w:ascii="宋体" w:hAnsi="宋体" w:eastAsia="宋体" w:cs="宋体"/>
          <w:b/>
          <w:color w:val="auto"/>
          <w:kern w:val="0"/>
          <w:sz w:val="28"/>
          <w:szCs w:val="28"/>
          <w:highlight w:val="none"/>
        </w:rPr>
      </w:pPr>
      <w:bookmarkStart w:id="87" w:name="_Toc13726"/>
      <w:bookmarkStart w:id="88" w:name="_Toc12888"/>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bidi w:val="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w:t>
      </w:r>
      <w:r>
        <w:rPr>
          <w:rFonts w:hint="eastAsia" w:ascii="宋体" w:hAnsi="宋体" w:eastAsia="宋体" w:cs="宋体"/>
          <w:sz w:val="24"/>
          <w:szCs w:val="24"/>
          <w:lang w:eastAsia="zh-CN"/>
        </w:rPr>
        <w:t>成交</w:t>
      </w:r>
      <w:r>
        <w:rPr>
          <w:rFonts w:hint="eastAsia" w:ascii="宋体" w:hAnsi="宋体" w:eastAsia="宋体" w:cs="宋体"/>
          <w:sz w:val="24"/>
          <w:szCs w:val="24"/>
        </w:rPr>
        <w:t>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w:t>
      </w:r>
      <w:r>
        <w:rPr>
          <w:rFonts w:hint="eastAsia" w:ascii="宋体" w:hAnsi="宋体" w:eastAsia="宋体" w:cs="宋体"/>
          <w:sz w:val="24"/>
          <w:szCs w:val="24"/>
          <w:lang w:eastAsia="zh-CN"/>
        </w:rPr>
        <w:t>成交</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w:t>
      </w:r>
      <w:r>
        <w:rPr>
          <w:rFonts w:hint="eastAsia" w:ascii="宋体" w:hAnsi="宋体" w:eastAsia="宋体" w:cs="宋体"/>
          <w:sz w:val="24"/>
          <w:szCs w:val="24"/>
          <w:lang w:eastAsia="zh-CN"/>
        </w:rPr>
        <w:t>响应性文件</w:t>
      </w:r>
      <w:r>
        <w:rPr>
          <w:rFonts w:hint="eastAsia" w:ascii="宋体" w:hAnsi="宋体" w:eastAsia="宋体" w:cs="宋体"/>
          <w:sz w:val="24"/>
          <w:szCs w:val="24"/>
        </w:rPr>
        <w:t>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8"/>
          <w:szCs w:val="28"/>
        </w:rPr>
      </w:pPr>
      <w:r>
        <w:rPr>
          <w:rFonts w:hint="eastAsia" w:ascii="宋体" w:hAnsi="宋体" w:eastAsia="宋体" w:cs="宋体"/>
          <w:sz w:val="24"/>
          <w:szCs w:val="24"/>
        </w:rPr>
        <w:t>法定代表人或委托人（</w:t>
      </w:r>
      <w:r>
        <w:rPr>
          <w:rFonts w:hint="eastAsia" w:ascii="宋体" w:hAnsi="宋体" w:eastAsia="宋体" w:cs="宋体"/>
          <w:sz w:val="24"/>
          <w:szCs w:val="24"/>
          <w:lang w:val="en-US" w:eastAsia="zh-CN"/>
        </w:rPr>
        <w:t>签字或</w:t>
      </w:r>
      <w:r>
        <w:rPr>
          <w:rFonts w:hint="eastAsia" w:ascii="宋体" w:hAnsi="宋体" w:eastAsia="宋体" w:cs="宋体"/>
          <w:sz w:val="24"/>
          <w:szCs w:val="24"/>
          <w:lang w:eastAsia="zh-CN"/>
        </w:rPr>
        <w:t>盖章</w:t>
      </w:r>
      <w:r>
        <w:rPr>
          <w:rFonts w:hint="eastAsia" w:ascii="宋体" w:hAnsi="宋体" w:eastAsia="宋体" w:cs="宋体"/>
          <w:sz w:val="24"/>
          <w:szCs w:val="24"/>
        </w:rPr>
        <w:t>）：                   年   月   日</w:t>
      </w:r>
    </w:p>
    <w:p>
      <w:pPr>
        <w:widowControl/>
        <w:spacing w:line="360" w:lineRule="auto"/>
        <w:ind w:firstLine="4305" w:firstLineChars="2050"/>
        <w:jc w:val="left"/>
        <w:rPr>
          <w:rFonts w:hint="eastAsia" w:ascii="宋体" w:hAnsi="宋体" w:eastAsia="宋体" w:cs="宋体"/>
          <w:color w:val="auto"/>
          <w:kern w:val="0"/>
          <w:szCs w:val="21"/>
          <w:highlight w:val="none"/>
        </w:rPr>
      </w:pPr>
    </w:p>
    <w:p>
      <w:pPr>
        <w:pStyle w:val="30"/>
        <w:rPr>
          <w:rFonts w:hint="eastAsia" w:ascii="宋体" w:hAnsi="宋体" w:eastAsia="宋体" w:cs="宋体"/>
          <w:color w:val="auto"/>
          <w:kern w:val="0"/>
          <w:szCs w:val="21"/>
          <w:highlight w:val="none"/>
        </w:rPr>
      </w:pPr>
    </w:p>
    <w:p>
      <w:pPr>
        <w:pStyle w:val="31"/>
        <w:rPr>
          <w:rFonts w:hint="eastAsia" w:ascii="宋体" w:hAnsi="宋体" w:eastAsia="宋体" w:cs="宋体"/>
          <w:color w:val="auto"/>
          <w:kern w:val="0"/>
          <w:szCs w:val="21"/>
          <w:highlight w:val="none"/>
        </w:rPr>
      </w:pPr>
    </w:p>
    <w:p>
      <w:pPr>
        <w:rPr>
          <w:rFonts w:hint="eastAsia" w:ascii="宋体" w:hAnsi="宋体" w:eastAsia="宋体" w:cs="宋体"/>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p>
    <w:p>
      <w:pPr>
        <w:rPr>
          <w:rFonts w:hint="eastAsia" w:ascii="宋体" w:hAnsi="宋体" w:eastAsia="宋体" w:cs="宋体"/>
        </w:rPr>
      </w:pPr>
    </w:p>
    <w:p>
      <w:pPr>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9"/>
        <w:rPr>
          <w:rFonts w:hint="eastAsia" w:ascii="宋体" w:hAnsi="宋体" w:eastAsia="宋体" w:cs="宋体"/>
        </w:rPr>
      </w:pPr>
    </w:p>
    <w:p>
      <w:pPr>
        <w:widowControl/>
        <w:snapToGrid w:val="0"/>
        <w:spacing w:line="360" w:lineRule="auto"/>
        <w:jc w:val="center"/>
        <w:outlineLvl w:val="0"/>
        <w:rPr>
          <w:rFonts w:hint="eastAsia" w:ascii="宋体" w:hAnsi="宋体" w:eastAsia="宋体" w:cs="宋体"/>
          <w:b/>
          <w:color w:val="auto"/>
          <w:kern w:val="0"/>
          <w:sz w:val="24"/>
          <w:highlight w:val="none"/>
        </w:rPr>
      </w:pPr>
      <w:bookmarkStart w:id="89" w:name="_Toc23394"/>
      <w:bookmarkStart w:id="90" w:name="_Toc25094"/>
      <w:r>
        <w:rPr>
          <w:rFonts w:hint="eastAsia" w:ascii="宋体" w:hAnsi="宋体" w:eastAsia="宋体" w:cs="宋体"/>
          <w:b/>
          <w:color w:val="auto"/>
          <w:kern w:val="0"/>
          <w:sz w:val="24"/>
          <w:highlight w:val="none"/>
          <w:lang w:eastAsia="zh-CN"/>
        </w:rPr>
        <w:t>供应商</w:t>
      </w:r>
      <w:r>
        <w:rPr>
          <w:rFonts w:hint="eastAsia" w:ascii="宋体" w:hAnsi="宋体" w:eastAsia="宋体" w:cs="宋体"/>
          <w:b/>
          <w:color w:val="auto"/>
          <w:kern w:val="0"/>
          <w:sz w:val="24"/>
          <w:highlight w:val="none"/>
        </w:rPr>
        <w:t>认为有必要的其他资料</w:t>
      </w:r>
      <w:bookmarkEnd w:id="89"/>
      <w:bookmarkEnd w:id="90"/>
    </w:p>
    <w:p>
      <w:pPr>
        <w:widowControl/>
        <w:spacing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未能提供相关证明文件，将有可能导致废标或者无法得分。</w:t>
      </w: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center"/>
        <w:rPr>
          <w:rFonts w:hint="eastAsia" w:ascii="宋体" w:hAnsi="宋体" w:eastAsia="宋体" w:cs="宋体"/>
          <w:b/>
          <w:bCs/>
          <w:color w:val="auto"/>
          <w:sz w:val="28"/>
          <w:szCs w:val="28"/>
          <w:highlight w:val="none"/>
        </w:rPr>
      </w:pPr>
    </w:p>
    <w:p>
      <w:pPr>
        <w:pStyle w:val="9"/>
        <w:spacing w:beforeAutospacing="0" w:afterAutospacing="0" w:line="460" w:lineRule="atLeast"/>
        <w:jc w:val="both"/>
        <w:rPr>
          <w:rFonts w:hint="eastAsia" w:ascii="宋体" w:hAnsi="宋体" w:eastAsia="宋体" w:cs="宋体"/>
          <w:b/>
          <w:bCs/>
          <w:color w:val="auto"/>
          <w:sz w:val="28"/>
          <w:szCs w:val="28"/>
          <w:highlight w:val="none"/>
        </w:rPr>
      </w:pPr>
    </w:p>
    <w:sectPr>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驻马店市中心医院妇儿院区消防自动报警系统维护保养及消防设施维修常用配件采购</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驻马店市中心医院妇儿院区消防自动报警系统维护保养及消防设施维修常用配件采购</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987EC152"/>
    <w:multiLevelType w:val="singleLevel"/>
    <w:tmpl w:val="987EC152"/>
    <w:lvl w:ilvl="0" w:tentative="0">
      <w:start w:val="1"/>
      <w:numFmt w:val="decimal"/>
      <w:suff w:val="nothing"/>
      <w:lvlText w:val="%1、"/>
      <w:lvlJc w:val="left"/>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45858D46"/>
    <w:multiLevelType w:val="singleLevel"/>
    <w:tmpl w:val="45858D46"/>
    <w:lvl w:ilvl="0" w:tentative="0">
      <w:start w:val="4"/>
      <w:numFmt w:val="chineseCounting"/>
      <w:suff w:val="nothing"/>
      <w:lvlText w:val="%1、"/>
      <w:lvlJc w:val="left"/>
      <w:rPr>
        <w:rFonts w:hint="eastAsia"/>
      </w:rPr>
    </w:lvl>
  </w:abstractNum>
  <w:abstractNum w:abstractNumId="4">
    <w:nsid w:val="59B6410A"/>
    <w:multiLevelType w:val="singleLevel"/>
    <w:tmpl w:val="59B6410A"/>
    <w:lvl w:ilvl="0" w:tentative="0">
      <w:start w:val="1"/>
      <w:numFmt w:val="decimal"/>
      <w:suff w:val="nothing"/>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E1B"/>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37095"/>
    <w:rsid w:val="01564054"/>
    <w:rsid w:val="015C0A67"/>
    <w:rsid w:val="017E6D95"/>
    <w:rsid w:val="01D715BE"/>
    <w:rsid w:val="01E90844"/>
    <w:rsid w:val="01EB45BC"/>
    <w:rsid w:val="01FA63A5"/>
    <w:rsid w:val="01FD609D"/>
    <w:rsid w:val="02011C7D"/>
    <w:rsid w:val="02020F53"/>
    <w:rsid w:val="02035523"/>
    <w:rsid w:val="021C6E40"/>
    <w:rsid w:val="02222FF2"/>
    <w:rsid w:val="02384FF4"/>
    <w:rsid w:val="023F67A9"/>
    <w:rsid w:val="0247575A"/>
    <w:rsid w:val="024A470B"/>
    <w:rsid w:val="025235B1"/>
    <w:rsid w:val="0262674D"/>
    <w:rsid w:val="0262717E"/>
    <w:rsid w:val="02747B01"/>
    <w:rsid w:val="02890D36"/>
    <w:rsid w:val="02D92EF7"/>
    <w:rsid w:val="02DA4665"/>
    <w:rsid w:val="02F40325"/>
    <w:rsid w:val="02FA082F"/>
    <w:rsid w:val="031126C4"/>
    <w:rsid w:val="03475E56"/>
    <w:rsid w:val="035E4919"/>
    <w:rsid w:val="036A009A"/>
    <w:rsid w:val="03844805"/>
    <w:rsid w:val="03845791"/>
    <w:rsid w:val="03A011E9"/>
    <w:rsid w:val="03A74512"/>
    <w:rsid w:val="03AE7F27"/>
    <w:rsid w:val="03BD2BCD"/>
    <w:rsid w:val="03CC058D"/>
    <w:rsid w:val="03E017D2"/>
    <w:rsid w:val="03F77068"/>
    <w:rsid w:val="04416C20"/>
    <w:rsid w:val="04472F0F"/>
    <w:rsid w:val="047968B1"/>
    <w:rsid w:val="04870542"/>
    <w:rsid w:val="04921BD5"/>
    <w:rsid w:val="049468D5"/>
    <w:rsid w:val="04B30F7A"/>
    <w:rsid w:val="04D119A3"/>
    <w:rsid w:val="04D637B7"/>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856A47"/>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CB0CA3"/>
    <w:rsid w:val="08EF0201"/>
    <w:rsid w:val="08F41DE8"/>
    <w:rsid w:val="09737462"/>
    <w:rsid w:val="09905A49"/>
    <w:rsid w:val="099156C3"/>
    <w:rsid w:val="09A53F39"/>
    <w:rsid w:val="09A60E13"/>
    <w:rsid w:val="09A82D92"/>
    <w:rsid w:val="09AB2883"/>
    <w:rsid w:val="09D206F0"/>
    <w:rsid w:val="09FA3227"/>
    <w:rsid w:val="0A321AC2"/>
    <w:rsid w:val="0A343D4E"/>
    <w:rsid w:val="0A3E6D2E"/>
    <w:rsid w:val="0A8455AD"/>
    <w:rsid w:val="0A8E3D8F"/>
    <w:rsid w:val="0ABE1FC1"/>
    <w:rsid w:val="0AD13A85"/>
    <w:rsid w:val="0AE0655C"/>
    <w:rsid w:val="0B091954"/>
    <w:rsid w:val="0B637D77"/>
    <w:rsid w:val="0B7006C4"/>
    <w:rsid w:val="0B726646"/>
    <w:rsid w:val="0BAC324F"/>
    <w:rsid w:val="0BC11EE9"/>
    <w:rsid w:val="0BF16C73"/>
    <w:rsid w:val="0BF72F1E"/>
    <w:rsid w:val="0C0201C5"/>
    <w:rsid w:val="0C2A3F33"/>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35493D"/>
    <w:rsid w:val="0D682A90"/>
    <w:rsid w:val="0D735465"/>
    <w:rsid w:val="0DC577E0"/>
    <w:rsid w:val="0DCA6984"/>
    <w:rsid w:val="0DDC6319"/>
    <w:rsid w:val="0E0C0D4C"/>
    <w:rsid w:val="0E115DA1"/>
    <w:rsid w:val="0E162D6D"/>
    <w:rsid w:val="0E4F1C96"/>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55A13"/>
    <w:rsid w:val="0F684933"/>
    <w:rsid w:val="0F821E7D"/>
    <w:rsid w:val="0FCA42ED"/>
    <w:rsid w:val="0FE7592C"/>
    <w:rsid w:val="0FFD20F0"/>
    <w:rsid w:val="101F70C2"/>
    <w:rsid w:val="103E6E57"/>
    <w:rsid w:val="1041497B"/>
    <w:rsid w:val="10425FF6"/>
    <w:rsid w:val="106612B1"/>
    <w:rsid w:val="109010E6"/>
    <w:rsid w:val="10B271F4"/>
    <w:rsid w:val="10B537CC"/>
    <w:rsid w:val="10C8275C"/>
    <w:rsid w:val="10C86D3B"/>
    <w:rsid w:val="10E03539"/>
    <w:rsid w:val="10E82D1F"/>
    <w:rsid w:val="10EE5C94"/>
    <w:rsid w:val="10F5757C"/>
    <w:rsid w:val="110F1949"/>
    <w:rsid w:val="113329E7"/>
    <w:rsid w:val="113B286A"/>
    <w:rsid w:val="113F294C"/>
    <w:rsid w:val="11437C85"/>
    <w:rsid w:val="11575085"/>
    <w:rsid w:val="1166372C"/>
    <w:rsid w:val="11700D10"/>
    <w:rsid w:val="1178125A"/>
    <w:rsid w:val="118441E0"/>
    <w:rsid w:val="1196056D"/>
    <w:rsid w:val="11AF3BD4"/>
    <w:rsid w:val="11D34654"/>
    <w:rsid w:val="12010480"/>
    <w:rsid w:val="120E707F"/>
    <w:rsid w:val="121D0051"/>
    <w:rsid w:val="12413D84"/>
    <w:rsid w:val="127A7D1C"/>
    <w:rsid w:val="12836D8B"/>
    <w:rsid w:val="12AB0349"/>
    <w:rsid w:val="12B66520"/>
    <w:rsid w:val="12CD57F1"/>
    <w:rsid w:val="12CE7AFA"/>
    <w:rsid w:val="12D67466"/>
    <w:rsid w:val="12DC02A0"/>
    <w:rsid w:val="13036052"/>
    <w:rsid w:val="13272A5D"/>
    <w:rsid w:val="13493108"/>
    <w:rsid w:val="13733928"/>
    <w:rsid w:val="13920D68"/>
    <w:rsid w:val="139C16C9"/>
    <w:rsid w:val="13B63CE1"/>
    <w:rsid w:val="13BC6684"/>
    <w:rsid w:val="13C72B3A"/>
    <w:rsid w:val="13DD7ADC"/>
    <w:rsid w:val="13DF575E"/>
    <w:rsid w:val="13E470BD"/>
    <w:rsid w:val="13EE3A98"/>
    <w:rsid w:val="14072FCF"/>
    <w:rsid w:val="141B23B3"/>
    <w:rsid w:val="142123F7"/>
    <w:rsid w:val="142A11D8"/>
    <w:rsid w:val="144B544C"/>
    <w:rsid w:val="14551D69"/>
    <w:rsid w:val="145B7B45"/>
    <w:rsid w:val="14717443"/>
    <w:rsid w:val="148D52E3"/>
    <w:rsid w:val="14992B90"/>
    <w:rsid w:val="14AF1856"/>
    <w:rsid w:val="14AF19A3"/>
    <w:rsid w:val="14B53957"/>
    <w:rsid w:val="14BC1DE8"/>
    <w:rsid w:val="14C53ECE"/>
    <w:rsid w:val="14CF6CB0"/>
    <w:rsid w:val="14E002E6"/>
    <w:rsid w:val="14FC36BD"/>
    <w:rsid w:val="14FF5EA7"/>
    <w:rsid w:val="150403E9"/>
    <w:rsid w:val="151E3A0F"/>
    <w:rsid w:val="15477903"/>
    <w:rsid w:val="1557566D"/>
    <w:rsid w:val="15811F1B"/>
    <w:rsid w:val="15A30135"/>
    <w:rsid w:val="15A34015"/>
    <w:rsid w:val="15BB487B"/>
    <w:rsid w:val="15CE086D"/>
    <w:rsid w:val="15E2236F"/>
    <w:rsid w:val="161D09ED"/>
    <w:rsid w:val="162323A3"/>
    <w:rsid w:val="16232909"/>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5525"/>
    <w:rsid w:val="1A5F4342"/>
    <w:rsid w:val="1A616E2C"/>
    <w:rsid w:val="1A7F369B"/>
    <w:rsid w:val="1A8C5D82"/>
    <w:rsid w:val="1A8D5F5F"/>
    <w:rsid w:val="1A994988"/>
    <w:rsid w:val="1A9B546C"/>
    <w:rsid w:val="1AA3511F"/>
    <w:rsid w:val="1AAE3B54"/>
    <w:rsid w:val="1AC10987"/>
    <w:rsid w:val="1AF423FA"/>
    <w:rsid w:val="1B033ED5"/>
    <w:rsid w:val="1B0C5B32"/>
    <w:rsid w:val="1B0D3E82"/>
    <w:rsid w:val="1B1652AB"/>
    <w:rsid w:val="1B181CD5"/>
    <w:rsid w:val="1B265306"/>
    <w:rsid w:val="1B4F2450"/>
    <w:rsid w:val="1B530868"/>
    <w:rsid w:val="1B8C18B7"/>
    <w:rsid w:val="1BB73AE1"/>
    <w:rsid w:val="1BDA6D68"/>
    <w:rsid w:val="1BF14125"/>
    <w:rsid w:val="1C1442B7"/>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067C3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6F0406"/>
    <w:rsid w:val="207672EF"/>
    <w:rsid w:val="20784063"/>
    <w:rsid w:val="207E346A"/>
    <w:rsid w:val="208E12C3"/>
    <w:rsid w:val="209502A3"/>
    <w:rsid w:val="20F75336"/>
    <w:rsid w:val="2100305C"/>
    <w:rsid w:val="210F579E"/>
    <w:rsid w:val="212550B5"/>
    <w:rsid w:val="213042A1"/>
    <w:rsid w:val="21592B62"/>
    <w:rsid w:val="2172049B"/>
    <w:rsid w:val="21747CD2"/>
    <w:rsid w:val="218D482A"/>
    <w:rsid w:val="219263AA"/>
    <w:rsid w:val="219E5782"/>
    <w:rsid w:val="21E72B0B"/>
    <w:rsid w:val="221A4482"/>
    <w:rsid w:val="221F2D96"/>
    <w:rsid w:val="22246DB1"/>
    <w:rsid w:val="22440067"/>
    <w:rsid w:val="225A6017"/>
    <w:rsid w:val="22631AF5"/>
    <w:rsid w:val="227A5532"/>
    <w:rsid w:val="22843A03"/>
    <w:rsid w:val="228E5C2C"/>
    <w:rsid w:val="22934D82"/>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A05584"/>
    <w:rsid w:val="23B57016"/>
    <w:rsid w:val="23D4764B"/>
    <w:rsid w:val="23EC3718"/>
    <w:rsid w:val="23FC7B0B"/>
    <w:rsid w:val="24044EF2"/>
    <w:rsid w:val="2407139D"/>
    <w:rsid w:val="240B04F4"/>
    <w:rsid w:val="242A0646"/>
    <w:rsid w:val="2435301D"/>
    <w:rsid w:val="243D6E1A"/>
    <w:rsid w:val="245E07C6"/>
    <w:rsid w:val="24607F91"/>
    <w:rsid w:val="246C581B"/>
    <w:rsid w:val="247C52A2"/>
    <w:rsid w:val="24CC106B"/>
    <w:rsid w:val="24D00598"/>
    <w:rsid w:val="24D725E9"/>
    <w:rsid w:val="24F66C50"/>
    <w:rsid w:val="25045F70"/>
    <w:rsid w:val="250474F1"/>
    <w:rsid w:val="25056E93"/>
    <w:rsid w:val="25092EBA"/>
    <w:rsid w:val="25241020"/>
    <w:rsid w:val="253C5C8B"/>
    <w:rsid w:val="25562731"/>
    <w:rsid w:val="257572C3"/>
    <w:rsid w:val="25790E85"/>
    <w:rsid w:val="25972C60"/>
    <w:rsid w:val="25974C6F"/>
    <w:rsid w:val="259D1676"/>
    <w:rsid w:val="25A353EB"/>
    <w:rsid w:val="25B87B65"/>
    <w:rsid w:val="25CB78C3"/>
    <w:rsid w:val="25D54390"/>
    <w:rsid w:val="261879A7"/>
    <w:rsid w:val="261A071C"/>
    <w:rsid w:val="26243349"/>
    <w:rsid w:val="26355556"/>
    <w:rsid w:val="264B0BA4"/>
    <w:rsid w:val="268C5256"/>
    <w:rsid w:val="268E455B"/>
    <w:rsid w:val="26912B30"/>
    <w:rsid w:val="269772F0"/>
    <w:rsid w:val="26997893"/>
    <w:rsid w:val="26A30712"/>
    <w:rsid w:val="26A526DC"/>
    <w:rsid w:val="26AC0C27"/>
    <w:rsid w:val="26C807A6"/>
    <w:rsid w:val="26D1527F"/>
    <w:rsid w:val="26DB67BA"/>
    <w:rsid w:val="26E311CD"/>
    <w:rsid w:val="26EF24ED"/>
    <w:rsid w:val="26F1408A"/>
    <w:rsid w:val="26F96584"/>
    <w:rsid w:val="27015370"/>
    <w:rsid w:val="270B421F"/>
    <w:rsid w:val="274E2228"/>
    <w:rsid w:val="27517A93"/>
    <w:rsid w:val="27570951"/>
    <w:rsid w:val="275E53AF"/>
    <w:rsid w:val="276658E8"/>
    <w:rsid w:val="277E30D2"/>
    <w:rsid w:val="27803F2A"/>
    <w:rsid w:val="27A34941"/>
    <w:rsid w:val="27DE38C3"/>
    <w:rsid w:val="27EE3A7B"/>
    <w:rsid w:val="28245882"/>
    <w:rsid w:val="283C23DF"/>
    <w:rsid w:val="283D69F1"/>
    <w:rsid w:val="284C16F5"/>
    <w:rsid w:val="28570AB5"/>
    <w:rsid w:val="28622C36"/>
    <w:rsid w:val="28C2534B"/>
    <w:rsid w:val="28C5525A"/>
    <w:rsid w:val="28D14B96"/>
    <w:rsid w:val="29020C46"/>
    <w:rsid w:val="290240C7"/>
    <w:rsid w:val="290F02E0"/>
    <w:rsid w:val="291A2B97"/>
    <w:rsid w:val="29274EE0"/>
    <w:rsid w:val="2969197F"/>
    <w:rsid w:val="29746E87"/>
    <w:rsid w:val="297C03C2"/>
    <w:rsid w:val="299566CF"/>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BEF17F2"/>
    <w:rsid w:val="2C083572"/>
    <w:rsid w:val="2C185F94"/>
    <w:rsid w:val="2C1F1AC4"/>
    <w:rsid w:val="2C2E71FC"/>
    <w:rsid w:val="2C3F3A41"/>
    <w:rsid w:val="2C4431C4"/>
    <w:rsid w:val="2C4B5AD3"/>
    <w:rsid w:val="2C62059F"/>
    <w:rsid w:val="2C6634FA"/>
    <w:rsid w:val="2CAC022C"/>
    <w:rsid w:val="2CC11807"/>
    <w:rsid w:val="2CF16074"/>
    <w:rsid w:val="2CF81D1B"/>
    <w:rsid w:val="2D3F2453"/>
    <w:rsid w:val="2D402CDE"/>
    <w:rsid w:val="2D835174"/>
    <w:rsid w:val="2D9331F9"/>
    <w:rsid w:val="2DD90B7B"/>
    <w:rsid w:val="2DDD3FC1"/>
    <w:rsid w:val="2DF701D8"/>
    <w:rsid w:val="2DF970A1"/>
    <w:rsid w:val="2E085834"/>
    <w:rsid w:val="2E1034F8"/>
    <w:rsid w:val="2E120D8E"/>
    <w:rsid w:val="2E443652"/>
    <w:rsid w:val="2E505773"/>
    <w:rsid w:val="2E742F70"/>
    <w:rsid w:val="2E76495E"/>
    <w:rsid w:val="2E9A689E"/>
    <w:rsid w:val="2EAF6BF3"/>
    <w:rsid w:val="2ED33845"/>
    <w:rsid w:val="2EDC2A13"/>
    <w:rsid w:val="2EFD7DB9"/>
    <w:rsid w:val="2F1A081D"/>
    <w:rsid w:val="2F1E3DC0"/>
    <w:rsid w:val="2F2D326E"/>
    <w:rsid w:val="2F3112DE"/>
    <w:rsid w:val="2F3B6922"/>
    <w:rsid w:val="2F3D7B25"/>
    <w:rsid w:val="2F506C6D"/>
    <w:rsid w:val="2F512253"/>
    <w:rsid w:val="2F51291F"/>
    <w:rsid w:val="2F55758A"/>
    <w:rsid w:val="2F7962F8"/>
    <w:rsid w:val="2F7F15AE"/>
    <w:rsid w:val="2FA54796"/>
    <w:rsid w:val="2FA674E2"/>
    <w:rsid w:val="2FEE7D26"/>
    <w:rsid w:val="2FFE7D49"/>
    <w:rsid w:val="3002294D"/>
    <w:rsid w:val="3011153D"/>
    <w:rsid w:val="30142680"/>
    <w:rsid w:val="302A11B1"/>
    <w:rsid w:val="302A5C42"/>
    <w:rsid w:val="30662043"/>
    <w:rsid w:val="30B8125D"/>
    <w:rsid w:val="30BF439A"/>
    <w:rsid w:val="30C07A16"/>
    <w:rsid w:val="30CF6A37"/>
    <w:rsid w:val="30D250CF"/>
    <w:rsid w:val="31002970"/>
    <w:rsid w:val="311016AD"/>
    <w:rsid w:val="3136622A"/>
    <w:rsid w:val="3139422E"/>
    <w:rsid w:val="31496359"/>
    <w:rsid w:val="314D19A6"/>
    <w:rsid w:val="316177A4"/>
    <w:rsid w:val="31700E4B"/>
    <w:rsid w:val="3172683C"/>
    <w:rsid w:val="31A359FC"/>
    <w:rsid w:val="31AD0D61"/>
    <w:rsid w:val="31CD73BD"/>
    <w:rsid w:val="31D66571"/>
    <w:rsid w:val="31DB4220"/>
    <w:rsid w:val="31DC56CD"/>
    <w:rsid w:val="31E63B94"/>
    <w:rsid w:val="31F27AF7"/>
    <w:rsid w:val="32176602"/>
    <w:rsid w:val="321C4663"/>
    <w:rsid w:val="322A7699"/>
    <w:rsid w:val="322B25C6"/>
    <w:rsid w:val="32422E70"/>
    <w:rsid w:val="325E56C6"/>
    <w:rsid w:val="3275698A"/>
    <w:rsid w:val="32A93829"/>
    <w:rsid w:val="32B12B1E"/>
    <w:rsid w:val="32B943EC"/>
    <w:rsid w:val="32DC63A0"/>
    <w:rsid w:val="32E429C1"/>
    <w:rsid w:val="330503EE"/>
    <w:rsid w:val="33246FD7"/>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2281F"/>
    <w:rsid w:val="351C4931"/>
    <w:rsid w:val="351C4EAC"/>
    <w:rsid w:val="351D4C26"/>
    <w:rsid w:val="352E7D40"/>
    <w:rsid w:val="35361A77"/>
    <w:rsid w:val="35461A22"/>
    <w:rsid w:val="35483CC9"/>
    <w:rsid w:val="35A815CB"/>
    <w:rsid w:val="35AA1B9C"/>
    <w:rsid w:val="35C96809"/>
    <w:rsid w:val="35DB09A6"/>
    <w:rsid w:val="35EE389B"/>
    <w:rsid w:val="36080591"/>
    <w:rsid w:val="3609472F"/>
    <w:rsid w:val="368B22F2"/>
    <w:rsid w:val="369B4CF0"/>
    <w:rsid w:val="36A87670"/>
    <w:rsid w:val="36AA33F6"/>
    <w:rsid w:val="36D62629"/>
    <w:rsid w:val="36D76172"/>
    <w:rsid w:val="36D84407"/>
    <w:rsid w:val="36E40CF9"/>
    <w:rsid w:val="36E833BB"/>
    <w:rsid w:val="36EB1E1B"/>
    <w:rsid w:val="36F17F0D"/>
    <w:rsid w:val="36FA4102"/>
    <w:rsid w:val="3735197D"/>
    <w:rsid w:val="373756A2"/>
    <w:rsid w:val="375E0DA6"/>
    <w:rsid w:val="37693200"/>
    <w:rsid w:val="378B61A6"/>
    <w:rsid w:val="37B90F0B"/>
    <w:rsid w:val="37CD3F98"/>
    <w:rsid w:val="37DF75BA"/>
    <w:rsid w:val="37E148E2"/>
    <w:rsid w:val="37F848EE"/>
    <w:rsid w:val="381425A4"/>
    <w:rsid w:val="38304889"/>
    <w:rsid w:val="38316A27"/>
    <w:rsid w:val="38382675"/>
    <w:rsid w:val="383B7B0D"/>
    <w:rsid w:val="3851700B"/>
    <w:rsid w:val="385246B6"/>
    <w:rsid w:val="3876113B"/>
    <w:rsid w:val="38A53DB7"/>
    <w:rsid w:val="38A85F49"/>
    <w:rsid w:val="38BF3388"/>
    <w:rsid w:val="38CC268D"/>
    <w:rsid w:val="38DF1FDA"/>
    <w:rsid w:val="38EC2960"/>
    <w:rsid w:val="38FD20FF"/>
    <w:rsid w:val="38FE3794"/>
    <w:rsid w:val="392536E2"/>
    <w:rsid w:val="393320E7"/>
    <w:rsid w:val="39465F15"/>
    <w:rsid w:val="3952217B"/>
    <w:rsid w:val="396453C5"/>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B037579"/>
    <w:rsid w:val="3B312338"/>
    <w:rsid w:val="3B3D0FF2"/>
    <w:rsid w:val="3B521A18"/>
    <w:rsid w:val="3B595665"/>
    <w:rsid w:val="3B8D2B96"/>
    <w:rsid w:val="3B923660"/>
    <w:rsid w:val="3BA174BE"/>
    <w:rsid w:val="3BCA44BE"/>
    <w:rsid w:val="3BE61128"/>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DFA54A9"/>
    <w:rsid w:val="3E115986"/>
    <w:rsid w:val="3E1A106E"/>
    <w:rsid w:val="3E36303B"/>
    <w:rsid w:val="3E416D36"/>
    <w:rsid w:val="3E526044"/>
    <w:rsid w:val="3E6C2B3A"/>
    <w:rsid w:val="3E8C5311"/>
    <w:rsid w:val="3E8E7E55"/>
    <w:rsid w:val="3EB61473"/>
    <w:rsid w:val="3EC66011"/>
    <w:rsid w:val="3ED93269"/>
    <w:rsid w:val="3F315E6B"/>
    <w:rsid w:val="3F4C5993"/>
    <w:rsid w:val="3F5175E2"/>
    <w:rsid w:val="3F56276A"/>
    <w:rsid w:val="3F6C10E0"/>
    <w:rsid w:val="3F963015"/>
    <w:rsid w:val="3F964D35"/>
    <w:rsid w:val="3FA327ED"/>
    <w:rsid w:val="3FB11738"/>
    <w:rsid w:val="3FB5581B"/>
    <w:rsid w:val="3FC33D05"/>
    <w:rsid w:val="3FF46B18"/>
    <w:rsid w:val="3FF74A2E"/>
    <w:rsid w:val="3FF81676"/>
    <w:rsid w:val="3FFC36E2"/>
    <w:rsid w:val="4005572D"/>
    <w:rsid w:val="402833BA"/>
    <w:rsid w:val="40283C2B"/>
    <w:rsid w:val="40394FD1"/>
    <w:rsid w:val="40425879"/>
    <w:rsid w:val="405C1C05"/>
    <w:rsid w:val="40765D15"/>
    <w:rsid w:val="407E686E"/>
    <w:rsid w:val="407F2DE9"/>
    <w:rsid w:val="40991379"/>
    <w:rsid w:val="409B3C3D"/>
    <w:rsid w:val="40C30D01"/>
    <w:rsid w:val="40F701DF"/>
    <w:rsid w:val="40FD480A"/>
    <w:rsid w:val="412A32F8"/>
    <w:rsid w:val="417F433E"/>
    <w:rsid w:val="419C4043"/>
    <w:rsid w:val="41B7239D"/>
    <w:rsid w:val="41BB7016"/>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211A0F"/>
    <w:rsid w:val="444946CA"/>
    <w:rsid w:val="444B3F54"/>
    <w:rsid w:val="4476661F"/>
    <w:rsid w:val="447E3AC5"/>
    <w:rsid w:val="448E5DEE"/>
    <w:rsid w:val="44A90BAA"/>
    <w:rsid w:val="44B24A20"/>
    <w:rsid w:val="44BC0BEE"/>
    <w:rsid w:val="44BC3FCC"/>
    <w:rsid w:val="44BF6C07"/>
    <w:rsid w:val="44C55A88"/>
    <w:rsid w:val="44FB1C9C"/>
    <w:rsid w:val="454F1836"/>
    <w:rsid w:val="457124D7"/>
    <w:rsid w:val="45887B45"/>
    <w:rsid w:val="458B66DF"/>
    <w:rsid w:val="45940F0E"/>
    <w:rsid w:val="45AC5DBA"/>
    <w:rsid w:val="45AD2F03"/>
    <w:rsid w:val="45C647AF"/>
    <w:rsid w:val="45DD529D"/>
    <w:rsid w:val="45E57886"/>
    <w:rsid w:val="46003076"/>
    <w:rsid w:val="46026F63"/>
    <w:rsid w:val="46177E29"/>
    <w:rsid w:val="46205B7F"/>
    <w:rsid w:val="465D501C"/>
    <w:rsid w:val="466367DB"/>
    <w:rsid w:val="46686D18"/>
    <w:rsid w:val="46BF7E28"/>
    <w:rsid w:val="46C3037C"/>
    <w:rsid w:val="46C95B1B"/>
    <w:rsid w:val="46FF15E0"/>
    <w:rsid w:val="4700581C"/>
    <w:rsid w:val="4702516A"/>
    <w:rsid w:val="474A4B33"/>
    <w:rsid w:val="475239DF"/>
    <w:rsid w:val="47665A15"/>
    <w:rsid w:val="47677941"/>
    <w:rsid w:val="477F1660"/>
    <w:rsid w:val="4788232A"/>
    <w:rsid w:val="478B0398"/>
    <w:rsid w:val="478F5D0B"/>
    <w:rsid w:val="47B8724E"/>
    <w:rsid w:val="47ED7BCA"/>
    <w:rsid w:val="48002ED8"/>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9B87CE2"/>
    <w:rsid w:val="4A05334F"/>
    <w:rsid w:val="4A244932"/>
    <w:rsid w:val="4A2922C8"/>
    <w:rsid w:val="4A4117B2"/>
    <w:rsid w:val="4A4A6F73"/>
    <w:rsid w:val="4A7A4350"/>
    <w:rsid w:val="4A7E2497"/>
    <w:rsid w:val="4A896826"/>
    <w:rsid w:val="4ABF5E17"/>
    <w:rsid w:val="4AC1073B"/>
    <w:rsid w:val="4AD52CE0"/>
    <w:rsid w:val="4AE01A66"/>
    <w:rsid w:val="4AE104D6"/>
    <w:rsid w:val="4AE11158"/>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E877511"/>
    <w:rsid w:val="4F0773B4"/>
    <w:rsid w:val="4F307BB1"/>
    <w:rsid w:val="4F3D562D"/>
    <w:rsid w:val="4F5C4EE0"/>
    <w:rsid w:val="4F6E1972"/>
    <w:rsid w:val="4F8624A9"/>
    <w:rsid w:val="4F943166"/>
    <w:rsid w:val="4FBA02A1"/>
    <w:rsid w:val="4FE7106E"/>
    <w:rsid w:val="4FFE4A87"/>
    <w:rsid w:val="500069A2"/>
    <w:rsid w:val="50053943"/>
    <w:rsid w:val="50123D80"/>
    <w:rsid w:val="50374A3C"/>
    <w:rsid w:val="504908E4"/>
    <w:rsid w:val="50550E55"/>
    <w:rsid w:val="50901457"/>
    <w:rsid w:val="509F43E4"/>
    <w:rsid w:val="50A54D3E"/>
    <w:rsid w:val="50B82E88"/>
    <w:rsid w:val="50F1402B"/>
    <w:rsid w:val="50FD2AD9"/>
    <w:rsid w:val="51097D9A"/>
    <w:rsid w:val="51237D2E"/>
    <w:rsid w:val="515B06D0"/>
    <w:rsid w:val="51996737"/>
    <w:rsid w:val="51B408B8"/>
    <w:rsid w:val="51B80848"/>
    <w:rsid w:val="51C24B3D"/>
    <w:rsid w:val="51CC0868"/>
    <w:rsid w:val="51D5340F"/>
    <w:rsid w:val="521B651D"/>
    <w:rsid w:val="52382F2A"/>
    <w:rsid w:val="52386E3D"/>
    <w:rsid w:val="523A7DD1"/>
    <w:rsid w:val="523B7711"/>
    <w:rsid w:val="5271774C"/>
    <w:rsid w:val="528645DB"/>
    <w:rsid w:val="52DE008D"/>
    <w:rsid w:val="52EE341E"/>
    <w:rsid w:val="52F37FE6"/>
    <w:rsid w:val="52FC1CAF"/>
    <w:rsid w:val="531A330F"/>
    <w:rsid w:val="532A5475"/>
    <w:rsid w:val="532B6CAF"/>
    <w:rsid w:val="53350D91"/>
    <w:rsid w:val="53412644"/>
    <w:rsid w:val="53433903"/>
    <w:rsid w:val="53517A72"/>
    <w:rsid w:val="5361549D"/>
    <w:rsid w:val="536220DA"/>
    <w:rsid w:val="53650637"/>
    <w:rsid w:val="53757C6B"/>
    <w:rsid w:val="537E1075"/>
    <w:rsid w:val="53A44D07"/>
    <w:rsid w:val="53A46AC8"/>
    <w:rsid w:val="53AB7F1F"/>
    <w:rsid w:val="53AC6F7B"/>
    <w:rsid w:val="53CD50EA"/>
    <w:rsid w:val="53EB297B"/>
    <w:rsid w:val="53EC4BF7"/>
    <w:rsid w:val="53F758A1"/>
    <w:rsid w:val="540D5A7F"/>
    <w:rsid w:val="542E2BC2"/>
    <w:rsid w:val="54352A96"/>
    <w:rsid w:val="54447390"/>
    <w:rsid w:val="545A24A8"/>
    <w:rsid w:val="545E1D01"/>
    <w:rsid w:val="54935B8F"/>
    <w:rsid w:val="549620A6"/>
    <w:rsid w:val="54CC6227"/>
    <w:rsid w:val="54D10F9B"/>
    <w:rsid w:val="54D97871"/>
    <w:rsid w:val="551D586C"/>
    <w:rsid w:val="55200298"/>
    <w:rsid w:val="55335E1B"/>
    <w:rsid w:val="554B7EF0"/>
    <w:rsid w:val="55655FEB"/>
    <w:rsid w:val="556F3D99"/>
    <w:rsid w:val="55720837"/>
    <w:rsid w:val="55860894"/>
    <w:rsid w:val="558F6181"/>
    <w:rsid w:val="55B02DF1"/>
    <w:rsid w:val="55DA564E"/>
    <w:rsid w:val="55DC290C"/>
    <w:rsid w:val="55EA5D64"/>
    <w:rsid w:val="55F01FA1"/>
    <w:rsid w:val="56130B60"/>
    <w:rsid w:val="568E1BDA"/>
    <w:rsid w:val="56990B7C"/>
    <w:rsid w:val="569E1126"/>
    <w:rsid w:val="56B80DEB"/>
    <w:rsid w:val="56E0560F"/>
    <w:rsid w:val="56E06E61"/>
    <w:rsid w:val="56F653FE"/>
    <w:rsid w:val="574448FC"/>
    <w:rsid w:val="575B7AFD"/>
    <w:rsid w:val="57660D3F"/>
    <w:rsid w:val="57D1153D"/>
    <w:rsid w:val="57FA3774"/>
    <w:rsid w:val="58084A3C"/>
    <w:rsid w:val="582772A7"/>
    <w:rsid w:val="58324CA0"/>
    <w:rsid w:val="58531B77"/>
    <w:rsid w:val="585D2975"/>
    <w:rsid w:val="585F64F9"/>
    <w:rsid w:val="58631F9C"/>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9739DA"/>
    <w:rsid w:val="59AC3C86"/>
    <w:rsid w:val="59AD43A0"/>
    <w:rsid w:val="59D42FDA"/>
    <w:rsid w:val="59DA4E01"/>
    <w:rsid w:val="59F34F3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49552F"/>
    <w:rsid w:val="5B585171"/>
    <w:rsid w:val="5B585B78"/>
    <w:rsid w:val="5B6D62B9"/>
    <w:rsid w:val="5B9A2B59"/>
    <w:rsid w:val="5BC0085A"/>
    <w:rsid w:val="5BF03D58"/>
    <w:rsid w:val="5BF20AFB"/>
    <w:rsid w:val="5C1A6BB2"/>
    <w:rsid w:val="5C37233A"/>
    <w:rsid w:val="5C5355FE"/>
    <w:rsid w:val="5C6F4105"/>
    <w:rsid w:val="5CBB7F6F"/>
    <w:rsid w:val="5CC248CE"/>
    <w:rsid w:val="5CF214D0"/>
    <w:rsid w:val="5D301730"/>
    <w:rsid w:val="5D442CB4"/>
    <w:rsid w:val="5D482563"/>
    <w:rsid w:val="5D7C3F11"/>
    <w:rsid w:val="5D9D49E0"/>
    <w:rsid w:val="5DA632C3"/>
    <w:rsid w:val="5DDF1821"/>
    <w:rsid w:val="5DE2656A"/>
    <w:rsid w:val="5DEA2F91"/>
    <w:rsid w:val="5DF94AE0"/>
    <w:rsid w:val="5DFA5883"/>
    <w:rsid w:val="5E3146A3"/>
    <w:rsid w:val="5E442F62"/>
    <w:rsid w:val="5E6C2C5B"/>
    <w:rsid w:val="5E6E2DD8"/>
    <w:rsid w:val="5E7251A2"/>
    <w:rsid w:val="5E752712"/>
    <w:rsid w:val="5E7C3591"/>
    <w:rsid w:val="5E9D0E18"/>
    <w:rsid w:val="5EA341D7"/>
    <w:rsid w:val="5EA755DE"/>
    <w:rsid w:val="5ED35F0E"/>
    <w:rsid w:val="5EE132AC"/>
    <w:rsid w:val="5EFC1390"/>
    <w:rsid w:val="5EFC3EB6"/>
    <w:rsid w:val="5F03335D"/>
    <w:rsid w:val="5F0368C7"/>
    <w:rsid w:val="5F097A2F"/>
    <w:rsid w:val="5F1544E7"/>
    <w:rsid w:val="5F312D8D"/>
    <w:rsid w:val="5F3C4923"/>
    <w:rsid w:val="5F531FCE"/>
    <w:rsid w:val="5F5A7800"/>
    <w:rsid w:val="5F5F4E16"/>
    <w:rsid w:val="5F8030B6"/>
    <w:rsid w:val="5F9A65E6"/>
    <w:rsid w:val="5F9B2627"/>
    <w:rsid w:val="5FAC7B1F"/>
    <w:rsid w:val="5FB80E3D"/>
    <w:rsid w:val="5FB831B4"/>
    <w:rsid w:val="5FD40999"/>
    <w:rsid w:val="5FE5522B"/>
    <w:rsid w:val="5FF03F08"/>
    <w:rsid w:val="5FF2548E"/>
    <w:rsid w:val="5FF313D3"/>
    <w:rsid w:val="600511DA"/>
    <w:rsid w:val="602610FD"/>
    <w:rsid w:val="602808B2"/>
    <w:rsid w:val="603814FF"/>
    <w:rsid w:val="604109A8"/>
    <w:rsid w:val="605D2617"/>
    <w:rsid w:val="60616CDC"/>
    <w:rsid w:val="60624E53"/>
    <w:rsid w:val="606319E5"/>
    <w:rsid w:val="607B3C50"/>
    <w:rsid w:val="608B6567"/>
    <w:rsid w:val="60FF21D9"/>
    <w:rsid w:val="612E1966"/>
    <w:rsid w:val="613021B3"/>
    <w:rsid w:val="613253FD"/>
    <w:rsid w:val="61421F29"/>
    <w:rsid w:val="61712185"/>
    <w:rsid w:val="618B7207"/>
    <w:rsid w:val="61A90D68"/>
    <w:rsid w:val="61D144C7"/>
    <w:rsid w:val="62065A1D"/>
    <w:rsid w:val="621775E2"/>
    <w:rsid w:val="622F7552"/>
    <w:rsid w:val="6250406E"/>
    <w:rsid w:val="62683E49"/>
    <w:rsid w:val="627D6831"/>
    <w:rsid w:val="62811B1C"/>
    <w:rsid w:val="6287513D"/>
    <w:rsid w:val="62A20409"/>
    <w:rsid w:val="62B54B44"/>
    <w:rsid w:val="62E045DA"/>
    <w:rsid w:val="62E454A1"/>
    <w:rsid w:val="62F36E4C"/>
    <w:rsid w:val="62F47F8F"/>
    <w:rsid w:val="62F7233F"/>
    <w:rsid w:val="631F3FB4"/>
    <w:rsid w:val="63363A52"/>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9F1719"/>
    <w:rsid w:val="64A251DD"/>
    <w:rsid w:val="64BE01BC"/>
    <w:rsid w:val="64E831B8"/>
    <w:rsid w:val="650242F0"/>
    <w:rsid w:val="65365B2B"/>
    <w:rsid w:val="653F447E"/>
    <w:rsid w:val="65542778"/>
    <w:rsid w:val="655829AF"/>
    <w:rsid w:val="656B70C3"/>
    <w:rsid w:val="656E3979"/>
    <w:rsid w:val="658F4798"/>
    <w:rsid w:val="659B1EBA"/>
    <w:rsid w:val="65B461E9"/>
    <w:rsid w:val="65BE39A8"/>
    <w:rsid w:val="65FB3FBE"/>
    <w:rsid w:val="66247D11"/>
    <w:rsid w:val="664D7777"/>
    <w:rsid w:val="66736112"/>
    <w:rsid w:val="667F5B5B"/>
    <w:rsid w:val="6694262A"/>
    <w:rsid w:val="66942BF7"/>
    <w:rsid w:val="66990381"/>
    <w:rsid w:val="66B31B01"/>
    <w:rsid w:val="66CE1E80"/>
    <w:rsid w:val="66E362F9"/>
    <w:rsid w:val="66E47FD9"/>
    <w:rsid w:val="66F127F8"/>
    <w:rsid w:val="67071922"/>
    <w:rsid w:val="673B73C0"/>
    <w:rsid w:val="674743C8"/>
    <w:rsid w:val="675608B6"/>
    <w:rsid w:val="67754402"/>
    <w:rsid w:val="677D54ED"/>
    <w:rsid w:val="677E58F0"/>
    <w:rsid w:val="678C03A6"/>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8DE2975"/>
    <w:rsid w:val="690E07C7"/>
    <w:rsid w:val="69236A65"/>
    <w:rsid w:val="69270CC5"/>
    <w:rsid w:val="692E469B"/>
    <w:rsid w:val="69315C48"/>
    <w:rsid w:val="694019EC"/>
    <w:rsid w:val="694330B3"/>
    <w:rsid w:val="69584DB4"/>
    <w:rsid w:val="696C3D80"/>
    <w:rsid w:val="698A5EE4"/>
    <w:rsid w:val="69C2047C"/>
    <w:rsid w:val="69C811ED"/>
    <w:rsid w:val="69D33070"/>
    <w:rsid w:val="69E97E75"/>
    <w:rsid w:val="69FB5D9E"/>
    <w:rsid w:val="6A1A3007"/>
    <w:rsid w:val="6A1E645E"/>
    <w:rsid w:val="6A417049"/>
    <w:rsid w:val="6A7903E5"/>
    <w:rsid w:val="6A975464"/>
    <w:rsid w:val="6A9A1BC1"/>
    <w:rsid w:val="6AA03032"/>
    <w:rsid w:val="6AA86FEC"/>
    <w:rsid w:val="6AAB7162"/>
    <w:rsid w:val="6ADA6AC4"/>
    <w:rsid w:val="6ADB11D6"/>
    <w:rsid w:val="6B1A2C3C"/>
    <w:rsid w:val="6B31644D"/>
    <w:rsid w:val="6B486C86"/>
    <w:rsid w:val="6B554C72"/>
    <w:rsid w:val="6B69379A"/>
    <w:rsid w:val="6B6E6BBF"/>
    <w:rsid w:val="6B847AD7"/>
    <w:rsid w:val="6B9A2DF9"/>
    <w:rsid w:val="6BA047ED"/>
    <w:rsid w:val="6BAC4619"/>
    <w:rsid w:val="6BCD2823"/>
    <w:rsid w:val="6BD149A6"/>
    <w:rsid w:val="6BDD15DD"/>
    <w:rsid w:val="6BDF2966"/>
    <w:rsid w:val="6BE414EA"/>
    <w:rsid w:val="6BE86A5F"/>
    <w:rsid w:val="6C234DED"/>
    <w:rsid w:val="6C29198B"/>
    <w:rsid w:val="6C3A67D1"/>
    <w:rsid w:val="6C3D2D5C"/>
    <w:rsid w:val="6C3F2EB6"/>
    <w:rsid w:val="6C4800AA"/>
    <w:rsid w:val="6C4D28F8"/>
    <w:rsid w:val="6C5309A3"/>
    <w:rsid w:val="6C573E9C"/>
    <w:rsid w:val="6C5C23DC"/>
    <w:rsid w:val="6C686061"/>
    <w:rsid w:val="6C6D1126"/>
    <w:rsid w:val="6C986334"/>
    <w:rsid w:val="6CA35B3A"/>
    <w:rsid w:val="6CA41A5D"/>
    <w:rsid w:val="6CA479DF"/>
    <w:rsid w:val="6CAF588C"/>
    <w:rsid w:val="6CB4638E"/>
    <w:rsid w:val="6CBF3C6A"/>
    <w:rsid w:val="6CBF5306"/>
    <w:rsid w:val="6CD63381"/>
    <w:rsid w:val="6CE150BD"/>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511EFB"/>
    <w:rsid w:val="70637B96"/>
    <w:rsid w:val="70722E5B"/>
    <w:rsid w:val="70797317"/>
    <w:rsid w:val="7099044B"/>
    <w:rsid w:val="709D518F"/>
    <w:rsid w:val="70C759D3"/>
    <w:rsid w:val="70CF2B23"/>
    <w:rsid w:val="70D70CB1"/>
    <w:rsid w:val="710952C1"/>
    <w:rsid w:val="71452CD8"/>
    <w:rsid w:val="7158683A"/>
    <w:rsid w:val="715B2F52"/>
    <w:rsid w:val="71764F23"/>
    <w:rsid w:val="717F5B06"/>
    <w:rsid w:val="71946576"/>
    <w:rsid w:val="71967E84"/>
    <w:rsid w:val="71A61873"/>
    <w:rsid w:val="71AF4936"/>
    <w:rsid w:val="71B12351"/>
    <w:rsid w:val="71B7463E"/>
    <w:rsid w:val="71D75D0F"/>
    <w:rsid w:val="72164FA8"/>
    <w:rsid w:val="721919B3"/>
    <w:rsid w:val="721A6098"/>
    <w:rsid w:val="721D18D3"/>
    <w:rsid w:val="72310D1A"/>
    <w:rsid w:val="725D6B54"/>
    <w:rsid w:val="72986FA0"/>
    <w:rsid w:val="72A17C99"/>
    <w:rsid w:val="72AD7197"/>
    <w:rsid w:val="72AF6F7E"/>
    <w:rsid w:val="72CD226C"/>
    <w:rsid w:val="72F71196"/>
    <w:rsid w:val="73047904"/>
    <w:rsid w:val="73253EFA"/>
    <w:rsid w:val="734C1A6A"/>
    <w:rsid w:val="73562CDC"/>
    <w:rsid w:val="735C5949"/>
    <w:rsid w:val="73671287"/>
    <w:rsid w:val="73737DA5"/>
    <w:rsid w:val="73740A39"/>
    <w:rsid w:val="73887B3E"/>
    <w:rsid w:val="73892412"/>
    <w:rsid w:val="73A524AB"/>
    <w:rsid w:val="73AF2114"/>
    <w:rsid w:val="73BF51D2"/>
    <w:rsid w:val="73D7599C"/>
    <w:rsid w:val="73E96BCA"/>
    <w:rsid w:val="73EE4A6E"/>
    <w:rsid w:val="74081451"/>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80FBB"/>
    <w:rsid w:val="759926FC"/>
    <w:rsid w:val="75A24276"/>
    <w:rsid w:val="75AA231D"/>
    <w:rsid w:val="75E8633A"/>
    <w:rsid w:val="75EC17C8"/>
    <w:rsid w:val="763A3DB1"/>
    <w:rsid w:val="763F09AA"/>
    <w:rsid w:val="764F3FCC"/>
    <w:rsid w:val="7650339F"/>
    <w:rsid w:val="76603C9A"/>
    <w:rsid w:val="76967878"/>
    <w:rsid w:val="76BB1CAB"/>
    <w:rsid w:val="76C04050"/>
    <w:rsid w:val="76E65049"/>
    <w:rsid w:val="77076007"/>
    <w:rsid w:val="77170059"/>
    <w:rsid w:val="77413F7E"/>
    <w:rsid w:val="7758241F"/>
    <w:rsid w:val="7762504C"/>
    <w:rsid w:val="777A7D22"/>
    <w:rsid w:val="77835654"/>
    <w:rsid w:val="7797109C"/>
    <w:rsid w:val="779A2A38"/>
    <w:rsid w:val="77B4450A"/>
    <w:rsid w:val="77B46E73"/>
    <w:rsid w:val="77D6256A"/>
    <w:rsid w:val="77E37A12"/>
    <w:rsid w:val="77FE3468"/>
    <w:rsid w:val="78250553"/>
    <w:rsid w:val="78430A3F"/>
    <w:rsid w:val="78546F0C"/>
    <w:rsid w:val="78EE1C79"/>
    <w:rsid w:val="78F85605"/>
    <w:rsid w:val="78FA66FA"/>
    <w:rsid w:val="791228F9"/>
    <w:rsid w:val="79424F6E"/>
    <w:rsid w:val="7968578C"/>
    <w:rsid w:val="797239CC"/>
    <w:rsid w:val="79831473"/>
    <w:rsid w:val="7999527A"/>
    <w:rsid w:val="79AF76C5"/>
    <w:rsid w:val="79C25EE1"/>
    <w:rsid w:val="79CE2967"/>
    <w:rsid w:val="79EA664C"/>
    <w:rsid w:val="79F9627A"/>
    <w:rsid w:val="7A2F3BBF"/>
    <w:rsid w:val="7A2F459A"/>
    <w:rsid w:val="7A322A39"/>
    <w:rsid w:val="7A517022"/>
    <w:rsid w:val="7A6F5001"/>
    <w:rsid w:val="7A717769"/>
    <w:rsid w:val="7AA2343E"/>
    <w:rsid w:val="7AD60EB8"/>
    <w:rsid w:val="7ADA73A4"/>
    <w:rsid w:val="7AE66B99"/>
    <w:rsid w:val="7AF16E13"/>
    <w:rsid w:val="7AFE508C"/>
    <w:rsid w:val="7B0A3BCA"/>
    <w:rsid w:val="7B345AA9"/>
    <w:rsid w:val="7B4048C1"/>
    <w:rsid w:val="7B73082F"/>
    <w:rsid w:val="7B7B492E"/>
    <w:rsid w:val="7B834152"/>
    <w:rsid w:val="7BB46FBD"/>
    <w:rsid w:val="7BC62E00"/>
    <w:rsid w:val="7BE35E2A"/>
    <w:rsid w:val="7BF66C24"/>
    <w:rsid w:val="7BFA1CC7"/>
    <w:rsid w:val="7BFB70B3"/>
    <w:rsid w:val="7C0251DA"/>
    <w:rsid w:val="7C1052F2"/>
    <w:rsid w:val="7C2668D9"/>
    <w:rsid w:val="7C302AE4"/>
    <w:rsid w:val="7C3212A7"/>
    <w:rsid w:val="7C32497F"/>
    <w:rsid w:val="7C3C69AE"/>
    <w:rsid w:val="7C691974"/>
    <w:rsid w:val="7C8A6570"/>
    <w:rsid w:val="7C8B7390"/>
    <w:rsid w:val="7C9B0D0E"/>
    <w:rsid w:val="7CA14BAF"/>
    <w:rsid w:val="7CA42B03"/>
    <w:rsid w:val="7CB8659A"/>
    <w:rsid w:val="7CD2318A"/>
    <w:rsid w:val="7CD2702A"/>
    <w:rsid w:val="7CD34C42"/>
    <w:rsid w:val="7CDE3FF9"/>
    <w:rsid w:val="7CE26EBF"/>
    <w:rsid w:val="7CEE3130"/>
    <w:rsid w:val="7D1F6674"/>
    <w:rsid w:val="7D480B34"/>
    <w:rsid w:val="7D5078B2"/>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286BFF"/>
    <w:rsid w:val="7F4C4618"/>
    <w:rsid w:val="7F582CF2"/>
    <w:rsid w:val="7F951B40"/>
    <w:rsid w:val="7F9E3ADD"/>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73"/>
    <w:qFormat/>
    <w:uiPriority w:val="0"/>
  </w:style>
  <w:style w:type="paragraph" w:customStyle="1" w:styleId="4">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3"/>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3"/>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目录 51"/>
    <w:next w:val="1"/>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3"/>
    <w:qFormat/>
    <w:uiPriority w:val="0"/>
  </w:style>
  <w:style w:type="character" w:customStyle="1" w:styleId="74">
    <w:name w:val="apple-converted-space"/>
    <w:basedOn w:val="34"/>
    <w:qFormat/>
    <w:uiPriority w:val="0"/>
  </w:style>
  <w:style w:type="character" w:customStyle="1" w:styleId="75">
    <w:name w:val="文档结构图 Char"/>
    <w:link w:val="10"/>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43</Pages>
  <Words>17949</Words>
  <Characters>20205</Characters>
  <Lines>50</Lines>
  <Paragraphs>68</Paragraphs>
  <TotalTime>1</TotalTime>
  <ScaleCrop>false</ScaleCrop>
  <LinksUpToDate>false</LinksUpToDate>
  <CharactersWithSpaces>21151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2023-05-09T00:32:52Z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BABF91824EC1475297DB676B0F545D5A</vt:lpwstr>
  </property>
</Properties>
</file>