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7"/>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lang w:val="en-US" w:eastAsia="zh-CN"/>
        </w:rPr>
      </w:pPr>
      <w:bookmarkStart w:id="0" w:name="_Toc22953395"/>
      <w:bookmarkEnd w:id="0"/>
      <w:bookmarkStart w:id="1" w:name="_Toc22804073"/>
      <w:bookmarkEnd w:id="1"/>
    </w:p>
    <w:p>
      <w:pPr>
        <w:pStyle w:val="17"/>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lang w:val="en-US"/>
        </w:rPr>
      </w:pPr>
      <w:r>
        <w:rPr>
          <w:rFonts w:hint="eastAsia" w:cs="宋体"/>
          <w:b/>
          <w:bCs/>
          <w:sz w:val="48"/>
          <w:szCs w:val="48"/>
          <w:lang w:val="en-US" w:eastAsia="zh-CN"/>
        </w:rPr>
        <w:t>驻马店市中心医院IT运维监控管理系统采购项目</w:t>
      </w:r>
    </w:p>
    <w:p>
      <w:pPr>
        <w:pStyle w:val="17"/>
        <w:bidi w:val="0"/>
        <w:jc w:val="center"/>
        <w:rPr>
          <w:rStyle w:val="43"/>
          <w:rFonts w:hint="eastAsia" w:ascii="宋体" w:hAnsi="宋体" w:eastAsia="宋体" w:cs="宋体"/>
          <w:b/>
          <w:bCs/>
          <w:color w:val="auto"/>
          <w:sz w:val="48"/>
          <w:szCs w:val="48"/>
        </w:rPr>
      </w:pPr>
    </w:p>
    <w:p>
      <w:pPr>
        <w:pStyle w:val="17"/>
        <w:bidi w:val="0"/>
        <w:jc w:val="center"/>
        <w:rPr>
          <w:rStyle w:val="43"/>
          <w:rFonts w:hint="eastAsia" w:ascii="宋体" w:hAnsi="宋体" w:eastAsia="宋体" w:cs="宋体"/>
          <w:b/>
          <w:bCs/>
          <w:color w:val="auto"/>
          <w:sz w:val="48"/>
          <w:szCs w:val="48"/>
        </w:rPr>
      </w:pPr>
    </w:p>
    <w:p>
      <w:pPr>
        <w:pStyle w:val="17"/>
        <w:bidi w:val="0"/>
        <w:jc w:val="center"/>
        <w:rPr>
          <w:rStyle w:val="43"/>
          <w:rFonts w:hint="eastAsia" w:ascii="宋体" w:hAnsi="宋体" w:eastAsia="宋体" w:cs="宋体"/>
          <w:b/>
          <w:bCs/>
          <w:color w:val="auto"/>
          <w:sz w:val="48"/>
          <w:szCs w:val="48"/>
        </w:rPr>
      </w:pPr>
    </w:p>
    <w:p>
      <w:pPr>
        <w:pStyle w:val="17"/>
        <w:bidi w:val="0"/>
        <w:jc w:val="center"/>
        <w:rPr>
          <w:rStyle w:val="43"/>
          <w:rFonts w:hint="eastAsia" w:ascii="宋体" w:hAnsi="宋体" w:eastAsia="宋体" w:cs="宋体"/>
          <w:b/>
          <w:bCs/>
          <w:color w:val="auto"/>
          <w:sz w:val="48"/>
          <w:szCs w:val="48"/>
        </w:rPr>
      </w:pPr>
    </w:p>
    <w:p>
      <w:pPr>
        <w:pStyle w:val="17"/>
        <w:bidi w:val="0"/>
        <w:jc w:val="center"/>
        <w:rPr>
          <w:rStyle w:val="43"/>
          <w:rFonts w:hint="eastAsia" w:ascii="宋体" w:hAnsi="宋体" w:eastAsia="宋体" w:cs="宋体"/>
          <w:b/>
          <w:bCs/>
          <w:color w:val="auto"/>
          <w:szCs w:val="44"/>
        </w:rPr>
      </w:pPr>
      <w:r>
        <w:rPr>
          <w:rStyle w:val="43"/>
          <w:rFonts w:hint="eastAsia" w:ascii="宋体" w:hAnsi="宋体" w:eastAsia="宋体" w:cs="宋体"/>
          <w:b/>
          <w:bCs/>
          <w:color w:val="auto"/>
          <w:sz w:val="72"/>
          <w:szCs w:val="72"/>
          <w:lang w:val="en-US" w:eastAsia="zh-CN"/>
        </w:rPr>
        <w:t>采购</w:t>
      </w:r>
      <w:r>
        <w:rPr>
          <w:rStyle w:val="43"/>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spacing w:val="-10"/>
          <w:sz w:val="34"/>
          <w:szCs w:val="34"/>
          <w:lang w:val="en-US" w:eastAsia="zh-CN"/>
        </w:rPr>
      </w:pPr>
    </w:p>
    <w:p>
      <w:pPr>
        <w:snapToGrid w:val="0"/>
        <w:spacing w:line="380" w:lineRule="exact"/>
        <w:jc w:val="center"/>
        <w:rPr>
          <w:rFonts w:hint="eastAsia" w:ascii="宋体" w:hAnsi="宋体" w:eastAsia="宋体" w:cs="宋体"/>
          <w:b/>
          <w:sz w:val="32"/>
          <w:szCs w:val="32"/>
        </w:rPr>
      </w:pPr>
    </w:p>
    <w:p>
      <w:pPr>
        <w:pStyle w:val="30"/>
        <w:rPr>
          <w:rFonts w:hint="eastAsia" w:ascii="宋体" w:hAnsi="宋体" w:eastAsia="宋体" w:cs="宋体"/>
        </w:rPr>
      </w:pPr>
    </w:p>
    <w:p>
      <w:pPr>
        <w:pStyle w:val="58"/>
        <w:rPr>
          <w:rFonts w:hint="eastAsia" w:ascii="宋体" w:hAnsi="宋体" w:eastAsia="宋体" w:cs="宋体"/>
          <w:bCs/>
          <w:sz w:val="2"/>
          <w:szCs w:val="2"/>
        </w:rPr>
      </w:pPr>
    </w:p>
    <w:p>
      <w:pPr>
        <w:rPr>
          <w:rFonts w:hint="eastAsia" w:ascii="宋体" w:hAnsi="宋体" w:eastAsia="宋体" w:cs="宋体"/>
          <w:bCs/>
          <w:sz w:val="2"/>
          <w:szCs w:val="2"/>
        </w:rPr>
      </w:pPr>
    </w:p>
    <w:p>
      <w:pPr>
        <w:spacing w:line="20" w:lineRule="exact"/>
        <w:rPr>
          <w:rFonts w:hint="eastAsia" w:ascii="宋体" w:hAnsi="宋体" w:eastAsia="宋体" w:cs="宋体"/>
          <w:bCs/>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80"/>
          <w:sz w:val="34"/>
          <w:szCs w:val="34"/>
        </w:rPr>
      </w:pPr>
      <w:r>
        <w:rPr>
          <w:rFonts w:hint="eastAsia" w:ascii="宋体" w:hAnsi="宋体" w:eastAsia="宋体" w:cs="宋体"/>
          <w:b/>
          <w:bCs/>
          <w:spacing w:val="-10"/>
          <w:sz w:val="34"/>
          <w:szCs w:val="34"/>
          <w:lang w:val="en-US" w:eastAsia="zh-CN"/>
        </w:rPr>
        <w:t>采 购</w:t>
      </w:r>
      <w:r>
        <w:rPr>
          <w:rFonts w:hint="eastAsia" w:ascii="宋体" w:hAnsi="宋体" w:eastAsia="宋体" w:cs="宋体"/>
          <w:b/>
          <w:bCs/>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spacing w:val="40"/>
          <w:sz w:val="34"/>
          <w:szCs w:val="34"/>
          <w:lang w:val="en-US" w:eastAsia="zh-CN"/>
        </w:rPr>
        <w:t>2023</w:t>
      </w:r>
      <w:r>
        <w:rPr>
          <w:rFonts w:hint="eastAsia" w:ascii="宋体" w:hAnsi="宋体" w:eastAsia="宋体" w:cs="宋体"/>
          <w:b/>
          <w:bCs/>
          <w:color w:val="000000" w:themeColor="text1"/>
          <w:spacing w:val="40"/>
          <w:sz w:val="34"/>
          <w:szCs w:val="34"/>
          <w14:textFill>
            <w14:solidFill>
              <w14:schemeClr w14:val="tx1"/>
            </w14:solidFill>
          </w14:textFill>
        </w:rPr>
        <w:t>年</w:t>
      </w:r>
      <w:r>
        <w:rPr>
          <w:rFonts w:hint="eastAsia" w:ascii="宋体" w:hAnsi="宋体" w:eastAsia="宋体" w:cs="宋体"/>
          <w:b/>
          <w:bCs/>
          <w:color w:val="000000" w:themeColor="text1"/>
          <w:spacing w:val="40"/>
          <w:sz w:val="34"/>
          <w:szCs w:val="34"/>
          <w:lang w:val="en-US" w:eastAsia="zh-CN"/>
          <w14:textFill>
            <w14:solidFill>
              <w14:schemeClr w14:val="tx1"/>
            </w14:solidFill>
          </w14:textFill>
        </w:rPr>
        <w:t>04</w:t>
      </w:r>
      <w:r>
        <w:rPr>
          <w:rFonts w:hint="eastAsia" w:ascii="宋体" w:hAnsi="宋体" w:eastAsia="宋体" w:cs="宋体"/>
          <w:b/>
          <w:bCs/>
          <w:color w:val="000000" w:themeColor="text1"/>
          <w:spacing w:val="40"/>
          <w:sz w:val="34"/>
          <w:szCs w:val="34"/>
          <w14:textFill>
            <w14:solidFill>
              <w14:schemeClr w14:val="tx1"/>
            </w14:solidFill>
          </w14:textFill>
        </w:rPr>
        <w:t>月</w:t>
      </w:r>
    </w:p>
    <w:p>
      <w:pPr>
        <w:rPr>
          <w:rFonts w:hint="eastAsia" w:ascii="宋体" w:hAnsi="宋体" w:eastAsia="宋体" w:cs="宋体"/>
          <w:bCs/>
          <w:color w:val="auto"/>
          <w:sz w:val="24"/>
          <w:highlight w:val="none"/>
        </w:rPr>
      </w:pPr>
    </w:p>
    <w:p>
      <w:pPr>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目录</w:t>
      </w:r>
    </w:p>
    <w:p>
      <w:pPr>
        <w:pStyle w:val="52"/>
        <w:rPr>
          <w:rFonts w:hint="eastAsia" w:ascii="宋体" w:hAnsi="宋体" w:eastAsia="宋体" w:cs="宋体"/>
          <w:color w:val="auto"/>
          <w:highlight w:val="none"/>
        </w:rPr>
      </w:pPr>
    </w:p>
    <w:p>
      <w:pPr>
        <w:pStyle w:val="23"/>
        <w:tabs>
          <w:tab w:val="right" w:leader="dot" w:pos="8958"/>
        </w:tabs>
        <w:snapToGrid w:val="0"/>
        <w:spacing w:line="480" w:lineRule="auto"/>
        <w:rPr>
          <w:rFonts w:hint="eastAsia" w:ascii="宋体" w:hAnsi="宋体" w:eastAsia="宋体" w:cs="宋体"/>
          <w:color w:val="auto"/>
          <w:szCs w:val="21"/>
          <w:highlight w:val="none"/>
        </w:rPr>
      </w:pPr>
      <w:r>
        <w:rPr>
          <w:rFonts w:hint="eastAsia" w:ascii="宋体" w:hAnsi="宋体" w:eastAsia="宋体" w:cs="宋体"/>
          <w:b/>
          <w:bCs/>
          <w:color w:val="auto"/>
          <w:sz w:val="32"/>
          <w:szCs w:val="32"/>
          <w:highlight w:val="none"/>
        </w:rPr>
        <w:fldChar w:fldCharType="begin"/>
      </w:r>
      <w:r>
        <w:rPr>
          <w:rFonts w:hint="eastAsia" w:ascii="宋体" w:hAnsi="宋体" w:eastAsia="宋体" w:cs="宋体"/>
          <w:b/>
          <w:bCs/>
          <w:color w:val="auto"/>
          <w:sz w:val="32"/>
          <w:szCs w:val="32"/>
          <w:highlight w:val="none"/>
        </w:rPr>
        <w:instrText xml:space="preserve">TOC \o "1-1" \h \u </w:instrText>
      </w:r>
      <w:r>
        <w:rPr>
          <w:rFonts w:hint="eastAsia" w:ascii="宋体" w:hAnsi="宋体" w:eastAsia="宋体" w:cs="宋体"/>
          <w:b/>
          <w:bCs/>
          <w:color w:val="auto"/>
          <w:sz w:val="32"/>
          <w:szCs w:val="32"/>
          <w:highlight w:val="none"/>
        </w:rPr>
        <w:fldChar w:fldCharType="separate"/>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"_Toc9075"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第一章  招 标 公 告</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_Toc9075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2</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8958"/>
        </w:tabs>
        <w:snapToGrid w:val="0"/>
        <w:spacing w:line="480" w:lineRule="auto"/>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"_Toc25063"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 xml:space="preserve">第二章  </w:t>
      </w:r>
      <w:r>
        <w:rPr>
          <w:rFonts w:hint="eastAsia" w:ascii="宋体" w:hAnsi="宋体" w:eastAsia="宋体" w:cs="宋体"/>
          <w:color w:val="auto"/>
          <w:szCs w:val="21"/>
          <w:highlight w:val="none"/>
          <w:lang w:eastAsia="zh-CN"/>
        </w:rPr>
        <w:t>采购</w:t>
      </w:r>
      <w:r>
        <w:rPr>
          <w:rFonts w:hint="eastAsia" w:ascii="宋体" w:hAnsi="宋体" w:eastAsia="宋体" w:cs="宋体"/>
          <w:color w:val="auto"/>
          <w:szCs w:val="21"/>
          <w:highlight w:val="none"/>
        </w:rPr>
        <w:t>需求</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_Toc25063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4</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8958"/>
        </w:tabs>
        <w:snapToGrid w:val="0"/>
        <w:spacing w:line="480" w:lineRule="auto"/>
        <w:rPr>
          <w:rFonts w:hint="eastAsia" w:ascii="宋体" w:hAnsi="宋体" w:eastAsia="宋体" w:cs="宋体"/>
          <w:color w:val="auto"/>
          <w:szCs w:val="21"/>
          <w:highlight w:val="none"/>
          <w:lang w:val="en-US"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"_Toc14504"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 xml:space="preserve">第三章  </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须知</w:t>
      </w:r>
      <w:r>
        <w:rPr>
          <w:rFonts w:hint="eastAsia" w:ascii="宋体" w:hAnsi="宋体" w:eastAsia="宋体" w:cs="宋体"/>
          <w:color w:val="auto"/>
          <w:szCs w:val="21"/>
          <w:highlight w:val="none"/>
        </w:rPr>
        <w:tab/>
      </w:r>
      <w:r>
        <w:rPr>
          <w:rFonts w:hint="eastAsia" w:ascii="宋体" w:hAnsi="宋体" w:cs="宋体"/>
          <w:color w:val="auto"/>
          <w:szCs w:val="21"/>
          <w:highlight w:val="none"/>
          <w:lang w:val="en-US" w:eastAsia="zh-CN"/>
        </w:rPr>
        <w:t>1</w:t>
      </w:r>
      <w:r>
        <w:rPr>
          <w:rFonts w:hint="eastAsia" w:ascii="宋体" w:hAnsi="宋体" w:eastAsia="宋体" w:cs="宋体"/>
          <w:color w:val="auto"/>
          <w:szCs w:val="21"/>
          <w:highlight w:val="none"/>
        </w:rPr>
        <w:fldChar w:fldCharType="end"/>
      </w:r>
      <w:r>
        <w:rPr>
          <w:rFonts w:hint="eastAsia" w:ascii="宋体" w:hAnsi="宋体" w:cs="宋体"/>
          <w:color w:val="auto"/>
          <w:szCs w:val="21"/>
          <w:highlight w:val="none"/>
          <w:lang w:val="en-US" w:eastAsia="zh-CN"/>
        </w:rPr>
        <w:t>2</w:t>
      </w:r>
    </w:p>
    <w:p>
      <w:pPr>
        <w:pStyle w:val="23"/>
        <w:tabs>
          <w:tab w:val="right" w:leader="dot" w:pos="8958"/>
        </w:tabs>
        <w:snapToGrid w:val="0"/>
        <w:spacing w:line="480" w:lineRule="auto"/>
        <w:rPr>
          <w:rFonts w:hint="eastAsia" w:ascii="宋体" w:hAnsi="宋体" w:eastAsia="宋体" w:cs="宋体"/>
          <w:color w:val="auto"/>
          <w:szCs w:val="21"/>
          <w:highlight w:val="none"/>
          <w:lang w:val="en-US"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"_Toc9022" </w:instrText>
      </w:r>
      <w:r>
        <w:rPr>
          <w:rFonts w:hint="eastAsia" w:ascii="宋体" w:hAnsi="宋体" w:eastAsia="宋体" w:cs="宋体"/>
          <w:color w:val="auto"/>
          <w:highlight w:val="none"/>
        </w:rPr>
        <w:fldChar w:fldCharType="separate"/>
      </w:r>
      <w:r>
        <w:rPr>
          <w:rFonts w:hint="eastAsia" w:ascii="宋体" w:hAnsi="宋体" w:eastAsia="宋体" w:cs="宋体"/>
          <w:color w:val="auto"/>
          <w:kern w:val="0"/>
          <w:szCs w:val="21"/>
          <w:highlight w:val="none"/>
        </w:rPr>
        <w:t>第四章  评标办法及评分标准</w:t>
      </w:r>
      <w:r>
        <w:rPr>
          <w:rFonts w:hint="eastAsia" w:ascii="宋体" w:hAnsi="宋体" w:eastAsia="宋体" w:cs="宋体"/>
          <w:color w:val="auto"/>
          <w:szCs w:val="21"/>
          <w:highlight w:val="none"/>
        </w:rPr>
        <w:tab/>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fldChar w:fldCharType="end"/>
      </w:r>
      <w:r>
        <w:rPr>
          <w:rFonts w:hint="eastAsia" w:ascii="宋体" w:hAnsi="宋体" w:cs="宋体"/>
          <w:color w:val="auto"/>
          <w:szCs w:val="21"/>
          <w:highlight w:val="none"/>
          <w:lang w:val="en-US" w:eastAsia="zh-CN"/>
        </w:rPr>
        <w:t>5</w:t>
      </w:r>
    </w:p>
    <w:p>
      <w:pPr>
        <w:pStyle w:val="23"/>
        <w:tabs>
          <w:tab w:val="right" w:leader="dot" w:pos="8958"/>
        </w:tabs>
        <w:snapToGrid w:val="0"/>
        <w:spacing w:line="480" w:lineRule="auto"/>
        <w:rPr>
          <w:rFonts w:hint="eastAsia" w:ascii="宋体" w:hAnsi="宋体" w:eastAsia="宋体" w:cs="宋体"/>
          <w:color w:val="auto"/>
          <w:szCs w:val="21"/>
          <w:highlight w:val="none"/>
          <w:lang w:val="en-US"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"_Toc28988"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第五章  采购合同（主要条款）</w:t>
      </w:r>
      <w:r>
        <w:rPr>
          <w:rFonts w:hint="eastAsia" w:ascii="宋体" w:hAnsi="宋体" w:eastAsia="宋体" w:cs="宋体"/>
          <w:color w:val="auto"/>
          <w:szCs w:val="21"/>
          <w:highlight w:val="none"/>
        </w:rPr>
        <w:tab/>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fldChar w:fldCharType="end"/>
      </w:r>
      <w:r>
        <w:rPr>
          <w:rFonts w:hint="eastAsia" w:ascii="宋体" w:hAnsi="宋体" w:cs="宋体"/>
          <w:color w:val="auto"/>
          <w:szCs w:val="21"/>
          <w:highlight w:val="none"/>
          <w:lang w:val="en-US" w:eastAsia="zh-CN"/>
        </w:rPr>
        <w:t>7</w:t>
      </w:r>
    </w:p>
    <w:p>
      <w:pPr>
        <w:pStyle w:val="23"/>
        <w:tabs>
          <w:tab w:val="right" w:leader="dot" w:pos="8958"/>
        </w:tabs>
        <w:snapToGrid w:val="0"/>
        <w:spacing w:line="480" w:lineRule="auto"/>
        <w:rPr>
          <w:rFonts w:hint="eastAsia" w:ascii="宋体" w:hAnsi="宋体" w:eastAsia="宋体" w:cs="宋体"/>
          <w:b/>
          <w:bCs/>
          <w:color w:val="auto"/>
          <w:sz w:val="32"/>
          <w:szCs w:val="32"/>
          <w:highlight w:val="none"/>
          <w:lang w:val="en-US"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"_Toc2638"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 xml:space="preserve">第六章  </w:t>
      </w:r>
      <w:r>
        <w:rPr>
          <w:rFonts w:hint="eastAsia" w:ascii="宋体" w:hAnsi="宋体" w:eastAsia="宋体" w:cs="宋体"/>
          <w:color w:val="auto"/>
          <w:szCs w:val="21"/>
          <w:highlight w:val="none"/>
          <w:lang w:eastAsia="zh-CN"/>
        </w:rPr>
        <w:t>响应性文件</w:t>
      </w:r>
      <w:r>
        <w:rPr>
          <w:rFonts w:hint="eastAsia" w:ascii="宋体" w:hAnsi="宋体" w:eastAsia="宋体" w:cs="宋体"/>
          <w:color w:val="auto"/>
          <w:szCs w:val="21"/>
          <w:highlight w:val="none"/>
        </w:rPr>
        <w:t>格式</w:t>
      </w:r>
      <w:r>
        <w:rPr>
          <w:rFonts w:hint="eastAsia" w:ascii="宋体" w:hAnsi="宋体" w:eastAsia="宋体" w:cs="宋体"/>
          <w:color w:val="auto"/>
          <w:szCs w:val="21"/>
          <w:highlight w:val="none"/>
        </w:rPr>
        <w:tab/>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fldChar w:fldCharType="end"/>
      </w:r>
      <w:r>
        <w:rPr>
          <w:rFonts w:hint="eastAsia" w:ascii="宋体" w:hAnsi="宋体" w:cs="宋体"/>
          <w:color w:val="auto"/>
          <w:szCs w:val="21"/>
          <w:highlight w:val="none"/>
          <w:lang w:val="en-US" w:eastAsia="zh-CN"/>
        </w:rPr>
        <w:t>8</w:t>
      </w:r>
    </w:p>
    <w:p>
      <w:pPr>
        <w:pStyle w:val="82"/>
        <w:tabs>
          <w:tab w:val="right" w:leader="dot" w:pos="8300"/>
        </w:tabs>
        <w:snapToGrid w:val="0"/>
        <w:spacing w:line="480" w:lineRule="auto"/>
        <w:rPr>
          <w:rFonts w:hint="eastAsia" w:ascii="宋体" w:hAnsi="宋体" w:eastAsia="宋体" w:cs="宋体"/>
          <w:color w:val="auto"/>
          <w:sz w:val="32"/>
          <w:szCs w:val="32"/>
          <w:highlight w:val="none"/>
        </w:rPr>
      </w:pPr>
      <w:r>
        <w:rPr>
          <w:rFonts w:hint="eastAsia" w:ascii="宋体" w:hAnsi="宋体" w:eastAsia="宋体" w:cs="宋体"/>
          <w:b/>
          <w:bCs/>
          <w:color w:val="auto"/>
          <w:sz w:val="32"/>
          <w:szCs w:val="32"/>
          <w:highlight w:val="none"/>
        </w:rPr>
        <w:fldChar w:fldCharType="end"/>
      </w:r>
    </w:p>
    <w:p>
      <w:pPr>
        <w:spacing w:line="440" w:lineRule="exact"/>
        <w:rPr>
          <w:rFonts w:hint="eastAsia" w:ascii="宋体" w:hAnsi="宋体" w:eastAsia="宋体" w:cs="宋体"/>
          <w:b/>
          <w:color w:val="auto"/>
          <w:sz w:val="32"/>
          <w:szCs w:val="32"/>
          <w:highlight w:val="none"/>
        </w:rPr>
      </w:pPr>
    </w:p>
    <w:p>
      <w:pPr>
        <w:spacing w:line="360" w:lineRule="auto"/>
        <w:ind w:firstLine="2409" w:firstLineChars="600"/>
        <w:rPr>
          <w:rFonts w:hint="eastAsia" w:ascii="宋体" w:hAnsi="宋体" w:eastAsia="宋体" w:cs="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hint="eastAsia" w:ascii="宋体" w:hAnsi="宋体" w:eastAsia="宋体" w:cs="宋体"/>
          <w:b/>
          <w:color w:val="auto"/>
          <w:sz w:val="32"/>
          <w:szCs w:val="32"/>
          <w:highlight w:val="none"/>
        </w:rPr>
      </w:pPr>
      <w:bookmarkStart w:id="2" w:name="_Toc9075"/>
      <w:r>
        <w:rPr>
          <w:rFonts w:hint="eastAsia" w:ascii="宋体" w:hAnsi="宋体" w:eastAsia="宋体" w:cs="宋体"/>
          <w:b/>
          <w:color w:val="auto"/>
          <w:sz w:val="32"/>
          <w:szCs w:val="32"/>
          <w:highlight w:val="none"/>
        </w:rPr>
        <w:t xml:space="preserve">第一章  </w:t>
      </w:r>
      <w:r>
        <w:rPr>
          <w:rFonts w:hint="eastAsia" w:ascii="宋体" w:hAnsi="宋体" w:eastAsia="宋体" w:cs="宋体"/>
          <w:b/>
          <w:color w:val="auto"/>
          <w:sz w:val="32"/>
          <w:szCs w:val="32"/>
          <w:highlight w:val="none"/>
          <w:lang w:val="en-US" w:eastAsia="zh-CN"/>
        </w:rPr>
        <w:t>竞争性磋商采购</w:t>
      </w:r>
      <w:r>
        <w:rPr>
          <w:rFonts w:hint="eastAsia" w:ascii="宋体" w:hAnsi="宋体" w:eastAsia="宋体" w:cs="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val="0"/>
          <w:color w:val="auto"/>
          <w:kern w:val="0"/>
          <w:sz w:val="28"/>
          <w:szCs w:val="28"/>
          <w:u w:val="none"/>
          <w:lang w:val="en-US" w:eastAsia="zh-CN"/>
        </w:rPr>
      </w:pPr>
      <w:r>
        <w:rPr>
          <w:rFonts w:hint="eastAsia" w:ascii="宋体" w:hAnsi="宋体" w:cs="宋体"/>
          <w:b/>
          <w:bCs w:val="0"/>
          <w:color w:val="auto"/>
          <w:kern w:val="0"/>
          <w:sz w:val="28"/>
          <w:szCs w:val="28"/>
          <w:u w:val="none"/>
          <w:lang w:val="en-US" w:eastAsia="zh-CN"/>
        </w:rPr>
        <w:t>驻马店市中心医院IT运维监控管理系统采购项目</w:t>
      </w: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val="0"/>
          <w:color w:val="auto"/>
          <w:kern w:val="0"/>
          <w:sz w:val="28"/>
          <w:szCs w:val="28"/>
        </w:rPr>
      </w:pPr>
      <w:r>
        <w:rPr>
          <w:rFonts w:hint="eastAsia" w:ascii="宋体" w:hAnsi="宋体" w:eastAsia="宋体" w:cs="宋体"/>
          <w:b/>
          <w:bCs w:val="0"/>
          <w:color w:val="auto"/>
          <w:kern w:val="0"/>
          <w:sz w:val="28"/>
          <w:szCs w:val="28"/>
          <w:u w:val="none"/>
          <w:lang w:val="en-US" w:eastAsia="zh-CN"/>
        </w:rPr>
        <w:t>竞争性磋商</w:t>
      </w:r>
      <w:r>
        <w:rPr>
          <w:rFonts w:hint="eastAsia" w:ascii="宋体" w:hAnsi="宋体" w:eastAsia="宋体" w:cs="宋体"/>
          <w:b/>
          <w:bCs w:val="0"/>
          <w:color w:val="auto"/>
          <w:kern w:val="0"/>
          <w:sz w:val="28"/>
          <w:szCs w:val="28"/>
        </w:rPr>
        <w:t>公告</w:t>
      </w:r>
    </w:p>
    <w:p>
      <w:pPr>
        <w:keepNext w:val="0"/>
        <w:keepLines w:val="0"/>
        <w:pageBreakBefore w:val="0"/>
        <w:kinsoku/>
        <w:overflowPunct/>
        <w:topLinePunct w:val="0"/>
        <w:bidi w:val="0"/>
        <w:snapToGrid w:val="0"/>
        <w:spacing w:line="400" w:lineRule="exact"/>
        <w:ind w:firstLine="480" w:firstLineChars="200"/>
        <w:textAlignment w:val="auto"/>
        <w:rPr>
          <w:rFonts w:hint="eastAsia" w:ascii="宋体" w:hAnsi="宋体" w:eastAsia="宋体" w:cs="宋体"/>
          <w:color w:val="auto"/>
          <w:sz w:val="24"/>
          <w:szCs w:val="24"/>
        </w:rPr>
      </w:pPr>
      <w:bookmarkStart w:id="92" w:name="_GoBack"/>
      <w:r>
        <w:rPr>
          <w:rFonts w:hint="eastAsia" w:ascii="宋体" w:hAnsi="宋体" w:eastAsia="宋体" w:cs="宋体"/>
          <w:color w:val="auto"/>
          <w:sz w:val="24"/>
          <w:szCs w:val="28"/>
        </w:rPr>
        <w:t>驻马店市中心医院现对</w:t>
      </w:r>
      <w:r>
        <w:rPr>
          <w:rFonts w:hint="eastAsia" w:ascii="宋体" w:hAnsi="宋体" w:eastAsia="宋体" w:cs="宋体"/>
          <w:color w:val="auto"/>
          <w:sz w:val="24"/>
          <w:szCs w:val="28"/>
          <w:u w:val="single"/>
        </w:rPr>
        <w:t xml:space="preserve"> </w:t>
      </w:r>
      <w:r>
        <w:rPr>
          <w:rFonts w:hint="eastAsia" w:ascii="宋体" w:hAnsi="宋体" w:cs="宋体"/>
          <w:color w:val="auto"/>
          <w:sz w:val="24"/>
          <w:szCs w:val="28"/>
          <w:u w:val="single"/>
          <w:lang w:val="en-US" w:eastAsia="zh-CN"/>
        </w:rPr>
        <w:t xml:space="preserve"> IT运维监控管理系统采购项目</w:t>
      </w:r>
      <w:r>
        <w:rPr>
          <w:rFonts w:hint="eastAsia" w:ascii="宋体" w:hAnsi="宋体" w:eastAsia="宋体" w:cs="宋体"/>
          <w:color w:val="auto"/>
          <w:sz w:val="24"/>
          <w:szCs w:val="28"/>
          <w:u w:val="single"/>
          <w:lang w:val="en-US" w:eastAsia="zh-CN"/>
        </w:rPr>
        <w:t xml:space="preserve"> </w:t>
      </w:r>
      <w:r>
        <w:rPr>
          <w:rFonts w:hint="eastAsia" w:ascii="宋体" w:hAnsi="宋体" w:eastAsia="宋体" w:cs="宋体"/>
          <w:i w:val="0"/>
          <w:iCs w:val="0"/>
          <w:color w:val="auto"/>
          <w:sz w:val="24"/>
          <w:szCs w:val="28"/>
          <w:u w:val="none"/>
          <w:lang w:val="en-US" w:eastAsia="zh-CN"/>
        </w:rPr>
        <w:t>项目</w:t>
      </w:r>
      <w:r>
        <w:rPr>
          <w:rFonts w:hint="eastAsia" w:ascii="宋体" w:hAnsi="宋体" w:eastAsia="宋体" w:cs="宋体"/>
          <w:color w:val="auto"/>
          <w:sz w:val="24"/>
          <w:szCs w:val="28"/>
        </w:rPr>
        <w:t>进行院内</w:t>
      </w:r>
      <w:r>
        <w:rPr>
          <w:rFonts w:hint="eastAsia" w:ascii="宋体" w:hAnsi="宋体" w:eastAsia="宋体" w:cs="宋体"/>
          <w:color w:val="auto"/>
          <w:sz w:val="24"/>
          <w:szCs w:val="28"/>
          <w:lang w:val="en-US" w:eastAsia="zh-CN"/>
        </w:rPr>
        <w:t>竞争性磋商</w:t>
      </w:r>
      <w:r>
        <w:rPr>
          <w:rFonts w:hint="eastAsia" w:ascii="宋体" w:hAnsi="宋体" w:eastAsia="宋体" w:cs="宋体"/>
          <w:color w:val="auto"/>
          <w:sz w:val="24"/>
          <w:szCs w:val="28"/>
        </w:rPr>
        <w:t>采购，欢迎符合资格条件的供应商前来</w:t>
      </w:r>
      <w:r>
        <w:rPr>
          <w:rFonts w:hint="eastAsia" w:ascii="宋体" w:hAnsi="宋体" w:eastAsia="宋体" w:cs="宋体"/>
          <w:color w:val="auto"/>
          <w:sz w:val="24"/>
          <w:szCs w:val="28"/>
          <w:lang w:val="en-US" w:eastAsia="zh-CN"/>
        </w:rPr>
        <w:t>报名并</w:t>
      </w:r>
      <w:r>
        <w:rPr>
          <w:rFonts w:hint="eastAsia" w:ascii="宋体" w:hAnsi="宋体" w:eastAsia="宋体" w:cs="宋体"/>
          <w:color w:val="auto"/>
          <w:sz w:val="24"/>
          <w:szCs w:val="24"/>
        </w:rPr>
        <w:t>获取</w:t>
      </w:r>
      <w:r>
        <w:rPr>
          <w:rFonts w:hint="eastAsia" w:ascii="宋体" w:hAnsi="宋体" w:eastAsia="宋体" w:cs="宋体"/>
          <w:color w:val="auto"/>
          <w:sz w:val="24"/>
          <w:szCs w:val="24"/>
          <w:lang w:val="en-US" w:eastAsia="zh-CN"/>
        </w:rPr>
        <w:t>采购</w:t>
      </w:r>
      <w:r>
        <w:rPr>
          <w:rFonts w:hint="eastAsia" w:ascii="宋体" w:hAnsi="宋体" w:eastAsia="宋体" w:cs="宋体"/>
          <w:color w:val="auto"/>
          <w:sz w:val="24"/>
          <w:szCs w:val="24"/>
        </w:rPr>
        <w:t>文件。</w:t>
      </w:r>
    </w:p>
    <w:p>
      <w:pPr>
        <w:keepNext w:val="0"/>
        <w:keepLines w:val="0"/>
        <w:pageBreakBefore w:val="0"/>
        <w:widowControl/>
        <w:kinsoku/>
        <w:overflowPunct/>
        <w:topLinePunct w:val="0"/>
        <w:bidi w:val="0"/>
        <w:snapToGrid w:val="0"/>
        <w:spacing w:before="0" w:after="0" w:line="400" w:lineRule="exact"/>
        <w:jc w:val="left"/>
        <w:textAlignment w:val="auto"/>
        <w:outlineLvl w:val="1"/>
        <w:rPr>
          <w:rFonts w:hint="eastAsia" w:ascii="宋体" w:hAnsi="宋体" w:eastAsia="宋体" w:cs="宋体"/>
          <w:b/>
          <w:bCs/>
          <w:color w:val="auto"/>
          <w:kern w:val="2"/>
          <w:sz w:val="24"/>
          <w:szCs w:val="24"/>
          <w:shd w:val="clear" w:color="auto" w:fill="FFFFFF"/>
          <w:lang w:val="en-US" w:eastAsia="zh-CN" w:bidi="ar-SA"/>
        </w:rPr>
      </w:pPr>
      <w:r>
        <w:rPr>
          <w:rFonts w:hint="eastAsia" w:ascii="宋体" w:hAnsi="宋体" w:eastAsia="宋体" w:cs="宋体"/>
          <w:b/>
          <w:bCs/>
          <w:color w:val="auto"/>
          <w:kern w:val="2"/>
          <w:sz w:val="24"/>
          <w:szCs w:val="24"/>
          <w:shd w:val="clear" w:color="auto" w:fill="FFFFFF"/>
          <w:lang w:val="en-US" w:eastAsia="zh-CN" w:bidi="ar-SA"/>
        </w:rPr>
        <w:t>一、项目基本情况</w:t>
      </w:r>
    </w:p>
    <w:p>
      <w:pPr>
        <w:keepNext w:val="0"/>
        <w:keepLines w:val="0"/>
        <w:pageBreakBefore w:val="0"/>
        <w:widowControl/>
        <w:tabs>
          <w:tab w:val="left" w:pos="840"/>
        </w:tabs>
        <w:kinsoku/>
        <w:overflowPunct/>
        <w:topLinePunct w:val="0"/>
        <w:bidi w:val="0"/>
        <w:snapToGrid w:val="0"/>
        <w:spacing w:line="400" w:lineRule="exact"/>
        <w:ind w:firstLine="480" w:firstLineChars="200"/>
        <w:jc w:val="left"/>
        <w:textAlignment w:val="auto"/>
        <w:rPr>
          <w:rFonts w:hint="eastAsia" w:ascii="宋体" w:hAnsi="宋体" w:eastAsia="宋体" w:cs="宋体"/>
          <w:color w:val="auto"/>
          <w:sz w:val="24"/>
          <w:szCs w:val="24"/>
          <w:highlight w:val="yellow"/>
          <w:shd w:val="clear" w:color="auto" w:fill="FFFFFF"/>
          <w:lang w:eastAsia="zh-CN"/>
        </w:rPr>
      </w:pPr>
      <w:r>
        <w:rPr>
          <w:rFonts w:hint="eastAsia" w:ascii="宋体" w:hAnsi="宋体" w:eastAsia="宋体" w:cs="宋体"/>
          <w:color w:val="auto"/>
          <w:sz w:val="24"/>
          <w:szCs w:val="24"/>
          <w:highlight w:val="none"/>
          <w:shd w:val="clear" w:color="auto" w:fill="FFFFFF"/>
        </w:rPr>
        <w:t>1、</w:t>
      </w:r>
      <w:r>
        <w:rPr>
          <w:rFonts w:hint="eastAsia" w:ascii="宋体" w:hAnsi="宋体" w:eastAsia="宋体" w:cs="宋体"/>
          <w:color w:val="auto"/>
          <w:sz w:val="24"/>
          <w:szCs w:val="24"/>
          <w:highlight w:val="none"/>
          <w:shd w:val="clear" w:color="auto" w:fill="FFFFFF"/>
          <w:lang w:val="en-US" w:eastAsia="zh-CN"/>
        </w:rPr>
        <w:t>采购</w:t>
      </w:r>
      <w:r>
        <w:rPr>
          <w:rFonts w:hint="eastAsia" w:ascii="宋体" w:hAnsi="宋体" w:eastAsia="宋体" w:cs="宋体"/>
          <w:color w:val="auto"/>
          <w:sz w:val="24"/>
          <w:szCs w:val="24"/>
          <w:highlight w:val="none"/>
          <w:shd w:val="clear" w:color="auto" w:fill="FFFFFF"/>
        </w:rPr>
        <w:t>项目名称：</w:t>
      </w:r>
      <w:r>
        <w:rPr>
          <w:rFonts w:hint="eastAsia" w:ascii="宋体" w:hAnsi="宋体" w:cs="宋体"/>
          <w:color w:val="auto"/>
          <w:sz w:val="24"/>
          <w:szCs w:val="28"/>
          <w:lang w:eastAsia="zh-CN"/>
        </w:rPr>
        <w:t>驻马店市中心医院IT运维监控管理系统采购项目</w:t>
      </w:r>
      <w:r>
        <w:rPr>
          <w:rFonts w:hint="eastAsia" w:ascii="宋体" w:hAnsi="宋体" w:eastAsia="宋体" w:cs="宋体"/>
          <w:color w:val="auto"/>
          <w:sz w:val="24"/>
          <w:szCs w:val="24"/>
          <w:highlight w:val="none"/>
          <w:shd w:val="clear" w:color="auto" w:fill="FFFFFF"/>
          <w:lang w:eastAsia="zh-CN"/>
        </w:rPr>
        <w:t>；</w:t>
      </w:r>
    </w:p>
    <w:p>
      <w:pPr>
        <w:keepNext w:val="0"/>
        <w:keepLines w:val="0"/>
        <w:pageBreakBefore w:val="0"/>
        <w:widowControl/>
        <w:tabs>
          <w:tab w:val="left" w:pos="840"/>
        </w:tabs>
        <w:kinsoku/>
        <w:overflowPunct/>
        <w:topLinePunct w:val="0"/>
        <w:bidi w:val="0"/>
        <w:snapToGrid w:val="0"/>
        <w:spacing w:line="400" w:lineRule="exact"/>
        <w:ind w:firstLine="480" w:firstLineChars="200"/>
        <w:jc w:val="left"/>
        <w:textAlignment w:val="auto"/>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rPr>
        <w:t>2、采购需求</w:t>
      </w:r>
      <w:r>
        <w:rPr>
          <w:rFonts w:hint="eastAsia" w:ascii="宋体" w:hAnsi="宋体" w:eastAsia="宋体" w:cs="宋体"/>
          <w:i w:val="0"/>
          <w:caps w:val="0"/>
          <w:color w:val="auto"/>
          <w:spacing w:val="0"/>
          <w:sz w:val="24"/>
          <w:szCs w:val="24"/>
          <w:shd w:val="clear" w:color="auto" w:fill="FFFFFF"/>
          <w:lang w:eastAsia="zh-CN"/>
        </w:rPr>
        <w:t>：</w:t>
      </w:r>
      <w:r>
        <w:rPr>
          <w:rFonts w:hint="eastAsia" w:ascii="宋体" w:hAnsi="宋体" w:eastAsia="宋体" w:cs="宋体"/>
          <w:color w:val="auto"/>
          <w:sz w:val="24"/>
          <w:szCs w:val="24"/>
          <w:highlight w:val="none"/>
          <w:shd w:val="clear" w:color="auto" w:fill="FFFFFF"/>
        </w:rPr>
        <w:t>具体要求详见附件</w:t>
      </w:r>
      <w:r>
        <w:rPr>
          <w:rFonts w:hint="eastAsia" w:ascii="宋体" w:hAnsi="宋体" w:eastAsia="宋体" w:cs="宋体"/>
          <w:color w:val="auto"/>
          <w:sz w:val="24"/>
          <w:szCs w:val="24"/>
          <w:highlight w:val="none"/>
          <w:shd w:val="clear" w:color="auto" w:fill="FFFFFF"/>
          <w:lang w:eastAsia="zh-CN"/>
        </w:rPr>
        <w:t>；</w:t>
      </w:r>
    </w:p>
    <w:p>
      <w:pPr>
        <w:keepNext w:val="0"/>
        <w:keepLines w:val="0"/>
        <w:pageBreakBefore w:val="0"/>
        <w:widowControl/>
        <w:tabs>
          <w:tab w:val="left" w:pos="840"/>
        </w:tabs>
        <w:kinsoku/>
        <w:overflowPunct/>
        <w:topLinePunct w:val="0"/>
        <w:bidi w:val="0"/>
        <w:snapToGrid w:val="0"/>
        <w:spacing w:line="400" w:lineRule="exact"/>
        <w:ind w:firstLine="480" w:firstLineChars="200"/>
        <w:jc w:val="left"/>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3</w:t>
      </w:r>
      <w:bookmarkStart w:id="3" w:name="_Toc26725"/>
      <w:r>
        <w:rPr>
          <w:rFonts w:hint="eastAsia" w:ascii="宋体" w:hAnsi="宋体" w:eastAsia="宋体" w:cs="宋体"/>
          <w:color w:val="auto"/>
          <w:sz w:val="24"/>
          <w:szCs w:val="24"/>
          <w:highlight w:val="none"/>
          <w:shd w:val="clear" w:color="auto" w:fill="FFFFFF"/>
        </w:rPr>
        <w:t>、预算金额：</w:t>
      </w:r>
      <w:r>
        <w:rPr>
          <w:rFonts w:hint="eastAsia" w:ascii="宋体" w:hAnsi="宋体" w:cs="宋体"/>
          <w:color w:val="auto"/>
          <w:kern w:val="0"/>
          <w:sz w:val="24"/>
          <w:szCs w:val="24"/>
          <w:highlight w:val="none"/>
          <w:u w:val="none"/>
          <w:lang w:val="en-US" w:eastAsia="zh-CN"/>
        </w:rPr>
        <w:t>48</w:t>
      </w:r>
      <w:r>
        <w:rPr>
          <w:rFonts w:hint="eastAsia" w:ascii="宋体" w:hAnsi="宋体" w:eastAsia="宋体" w:cs="宋体"/>
          <w:color w:val="auto"/>
          <w:kern w:val="0"/>
          <w:sz w:val="24"/>
          <w:szCs w:val="24"/>
          <w:highlight w:val="none"/>
          <w:u w:val="none"/>
          <w:lang w:val="en-US" w:eastAsia="zh-CN"/>
        </w:rPr>
        <w:t>0000.00</w:t>
      </w:r>
      <w:r>
        <w:rPr>
          <w:rFonts w:hint="eastAsia" w:ascii="宋体" w:hAnsi="宋体" w:eastAsia="宋体" w:cs="宋体"/>
          <w:color w:val="auto"/>
          <w:kern w:val="0"/>
          <w:sz w:val="24"/>
          <w:szCs w:val="24"/>
          <w:highlight w:val="none"/>
        </w:rPr>
        <w:t>元</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lang w:val="en-US" w:eastAsia="zh-CN"/>
        </w:rPr>
        <w:t>自筹资金；</w:t>
      </w:r>
    </w:p>
    <w:p>
      <w:pPr>
        <w:keepNext w:val="0"/>
        <w:keepLines w:val="0"/>
        <w:pageBreakBefore w:val="0"/>
        <w:kinsoku/>
        <w:overflowPunct/>
        <w:topLinePunct w:val="0"/>
        <w:bidi w:val="0"/>
        <w:snapToGrid w:val="0"/>
        <w:spacing w:line="400" w:lineRule="exact"/>
        <w:ind w:firstLine="480" w:firstLineChars="200"/>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rPr>
        <w:t>4、</w:t>
      </w:r>
      <w:r>
        <w:rPr>
          <w:rFonts w:hint="eastAsia" w:ascii="宋体" w:hAnsi="宋体" w:cs="宋体"/>
          <w:color w:val="auto"/>
          <w:sz w:val="24"/>
          <w:szCs w:val="24"/>
          <w:highlight w:val="none"/>
          <w:shd w:val="clear" w:color="auto" w:fill="FFFFFF"/>
          <w:lang w:val="en-US" w:eastAsia="zh-CN"/>
        </w:rPr>
        <w:t>交货</w:t>
      </w:r>
      <w:r>
        <w:rPr>
          <w:rFonts w:hint="eastAsia" w:ascii="宋体" w:hAnsi="宋体" w:eastAsia="宋体" w:cs="宋体"/>
          <w:color w:val="auto"/>
          <w:sz w:val="24"/>
          <w:szCs w:val="24"/>
          <w:highlight w:val="none"/>
          <w:shd w:val="clear" w:color="auto" w:fill="FFFFFF"/>
          <w:lang w:val="en-US" w:eastAsia="zh-CN"/>
        </w:rPr>
        <w:t>地点：采购人指定地点；</w:t>
      </w:r>
    </w:p>
    <w:p>
      <w:pPr>
        <w:keepNext w:val="0"/>
        <w:keepLines w:val="0"/>
        <w:pageBreakBefore w:val="0"/>
        <w:widowControl/>
        <w:tabs>
          <w:tab w:val="left" w:pos="840"/>
        </w:tabs>
        <w:kinsoku/>
        <w:overflowPunct/>
        <w:topLinePunct w:val="0"/>
        <w:bidi w:val="0"/>
        <w:snapToGrid w:val="0"/>
        <w:spacing w:line="400" w:lineRule="exact"/>
        <w:ind w:firstLine="480" w:firstLineChars="200"/>
        <w:jc w:val="left"/>
        <w:textAlignment w:val="auto"/>
        <w:rPr>
          <w:rFonts w:hint="eastAsia" w:ascii="宋体" w:hAnsi="宋体" w:eastAsia="宋体" w:cs="宋体"/>
          <w:color w:val="auto"/>
          <w:sz w:val="24"/>
          <w:szCs w:val="24"/>
          <w:highlight w:val="none"/>
          <w:shd w:val="clear" w:color="auto" w:fill="FFFFFF"/>
        </w:rPr>
      </w:pPr>
      <w:bookmarkStart w:id="4" w:name="_Toc19521"/>
      <w:bookmarkStart w:id="5" w:name="_Toc24040"/>
      <w:bookmarkStart w:id="6" w:name="_Toc21071"/>
      <w:bookmarkStart w:id="7" w:name="_Toc26079"/>
      <w:bookmarkStart w:id="8" w:name="_Toc27913"/>
      <w:r>
        <w:rPr>
          <w:rFonts w:hint="eastAsia" w:ascii="宋体" w:hAnsi="宋体" w:eastAsia="宋体" w:cs="宋体"/>
          <w:color w:val="auto"/>
          <w:sz w:val="24"/>
          <w:szCs w:val="24"/>
          <w:highlight w:val="none"/>
          <w:shd w:val="clear" w:color="auto" w:fill="FFFFFF"/>
        </w:rPr>
        <w:t>5、</w:t>
      </w:r>
      <w:r>
        <w:rPr>
          <w:rFonts w:hint="eastAsia" w:ascii="宋体" w:hAnsi="宋体" w:cs="宋体"/>
          <w:color w:val="auto"/>
          <w:sz w:val="24"/>
          <w:szCs w:val="24"/>
          <w:highlight w:val="none"/>
          <w:shd w:val="clear" w:color="auto" w:fill="FFFFFF"/>
          <w:lang w:val="en-US" w:eastAsia="zh-CN"/>
        </w:rPr>
        <w:t>交货期</w:t>
      </w:r>
      <w:r>
        <w:rPr>
          <w:rFonts w:hint="eastAsia" w:ascii="宋体" w:hAnsi="宋体" w:eastAsia="宋体" w:cs="宋体"/>
          <w:color w:val="auto"/>
          <w:sz w:val="24"/>
          <w:szCs w:val="24"/>
          <w:highlight w:val="none"/>
          <w:shd w:val="clear" w:color="auto" w:fill="FFFFFF"/>
        </w:rPr>
        <w:t>：合同签署后30日内</w:t>
      </w:r>
      <w:r>
        <w:rPr>
          <w:rFonts w:hint="eastAsia" w:ascii="宋体" w:hAnsi="宋体" w:eastAsia="宋体" w:cs="宋体"/>
          <w:color w:val="auto"/>
          <w:sz w:val="24"/>
          <w:szCs w:val="24"/>
          <w:highlight w:val="none"/>
          <w:shd w:val="clear" w:color="auto" w:fill="FFFFFF"/>
          <w:lang w:val="en-US" w:eastAsia="zh-CN"/>
        </w:rPr>
        <w:t>；</w:t>
      </w:r>
    </w:p>
    <w:p>
      <w:pPr>
        <w:keepNext w:val="0"/>
        <w:keepLines w:val="0"/>
        <w:pageBreakBefore w:val="0"/>
        <w:widowControl/>
        <w:tabs>
          <w:tab w:val="left" w:pos="840"/>
        </w:tabs>
        <w:kinsoku/>
        <w:overflowPunct/>
        <w:topLinePunct w:val="0"/>
        <w:bidi w:val="0"/>
        <w:snapToGrid w:val="0"/>
        <w:spacing w:line="400" w:lineRule="exact"/>
        <w:ind w:firstLine="480" w:firstLineChars="200"/>
        <w:jc w:val="left"/>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lang w:val="en-US" w:eastAsia="zh-CN"/>
        </w:rPr>
        <w:t>6</w:t>
      </w:r>
      <w:r>
        <w:rPr>
          <w:rFonts w:hint="eastAsia" w:ascii="宋体" w:hAnsi="宋体" w:eastAsia="宋体" w:cs="宋体"/>
          <w:color w:val="auto"/>
          <w:sz w:val="24"/>
          <w:szCs w:val="24"/>
          <w:highlight w:val="none"/>
          <w:shd w:val="clear" w:color="auto" w:fill="FFFFFF"/>
        </w:rPr>
        <w:t>、</w:t>
      </w:r>
      <w:bookmarkEnd w:id="4"/>
      <w:bookmarkEnd w:id="5"/>
      <w:bookmarkEnd w:id="6"/>
      <w:bookmarkEnd w:id="7"/>
      <w:bookmarkEnd w:id="8"/>
      <w:r>
        <w:rPr>
          <w:rFonts w:hint="eastAsia" w:ascii="宋体" w:hAnsi="宋体" w:cs="宋体"/>
          <w:color w:val="auto"/>
          <w:sz w:val="24"/>
          <w:szCs w:val="24"/>
          <w:highlight w:val="none"/>
          <w:shd w:val="clear" w:color="auto" w:fill="FFFFFF"/>
          <w:lang w:val="en-US" w:eastAsia="zh-CN"/>
        </w:rPr>
        <w:t>质量要求</w:t>
      </w:r>
      <w:r>
        <w:rPr>
          <w:rFonts w:hint="eastAsia" w:ascii="宋体" w:hAnsi="宋体" w:eastAsia="宋体" w:cs="宋体"/>
          <w:color w:val="auto"/>
          <w:sz w:val="24"/>
          <w:szCs w:val="24"/>
          <w:highlight w:val="none"/>
          <w:shd w:val="clear" w:color="auto" w:fill="FFFFFF"/>
        </w:rPr>
        <w:t>：</w:t>
      </w:r>
      <w:r>
        <w:rPr>
          <w:rFonts w:hint="eastAsia" w:ascii="宋体" w:hAnsi="宋体" w:eastAsia="宋体" w:cs="宋体"/>
          <w:color w:val="auto"/>
          <w:sz w:val="24"/>
          <w:szCs w:val="24"/>
          <w:highlight w:val="none"/>
          <w:shd w:val="clear" w:color="auto" w:fill="FFFFFF"/>
          <w:lang w:eastAsia="zh-CN"/>
        </w:rPr>
        <w:t>合格（以采购人要求为准）。</w:t>
      </w:r>
    </w:p>
    <w:p>
      <w:pPr>
        <w:keepNext w:val="0"/>
        <w:keepLines w:val="0"/>
        <w:pageBreakBefore w:val="0"/>
        <w:widowControl/>
        <w:kinsoku/>
        <w:overflowPunct/>
        <w:topLinePunct w:val="0"/>
        <w:bidi w:val="0"/>
        <w:snapToGrid w:val="0"/>
        <w:spacing w:before="0" w:after="0" w:line="400" w:lineRule="exact"/>
        <w:jc w:val="left"/>
        <w:textAlignment w:val="auto"/>
        <w:outlineLvl w:val="1"/>
        <w:rPr>
          <w:rFonts w:hint="eastAsia" w:ascii="宋体" w:hAnsi="宋体" w:eastAsia="宋体" w:cs="宋体"/>
          <w:b/>
          <w:bCs/>
          <w:color w:val="auto"/>
          <w:kern w:val="2"/>
          <w:sz w:val="24"/>
          <w:szCs w:val="24"/>
          <w:shd w:val="clear" w:color="auto" w:fill="FFFFFF"/>
          <w:lang w:val="en-US" w:eastAsia="zh-CN" w:bidi="ar-SA"/>
        </w:rPr>
      </w:pPr>
      <w:bookmarkStart w:id="9" w:name="_Toc23626"/>
      <w:bookmarkStart w:id="10" w:name="_Toc16639"/>
      <w:bookmarkStart w:id="11" w:name="_Toc18607"/>
      <w:bookmarkStart w:id="12" w:name="_Toc27704"/>
      <w:r>
        <w:rPr>
          <w:rFonts w:hint="eastAsia" w:ascii="宋体" w:hAnsi="宋体" w:eastAsia="宋体" w:cs="宋体"/>
          <w:b/>
          <w:bCs/>
          <w:color w:val="auto"/>
          <w:kern w:val="2"/>
          <w:sz w:val="24"/>
          <w:szCs w:val="24"/>
          <w:shd w:val="clear" w:color="auto" w:fill="FFFFFF"/>
          <w:lang w:val="en-US" w:eastAsia="zh-CN" w:bidi="ar-SA"/>
        </w:rPr>
        <w:t>二、</w:t>
      </w:r>
      <w:bookmarkEnd w:id="3"/>
      <w:bookmarkEnd w:id="9"/>
      <w:bookmarkEnd w:id="10"/>
      <w:bookmarkEnd w:id="11"/>
      <w:bookmarkEnd w:id="12"/>
      <w:r>
        <w:rPr>
          <w:rFonts w:hint="eastAsia" w:ascii="宋体" w:hAnsi="宋体" w:eastAsia="宋体" w:cs="宋体"/>
          <w:b/>
          <w:bCs/>
          <w:color w:val="auto"/>
          <w:kern w:val="2"/>
          <w:sz w:val="24"/>
          <w:szCs w:val="24"/>
          <w:shd w:val="clear" w:color="auto" w:fill="FFFFFF"/>
          <w:lang w:val="en-US" w:eastAsia="zh-CN" w:bidi="ar-SA"/>
        </w:rPr>
        <w:t>供应商资格要求：</w:t>
      </w:r>
    </w:p>
    <w:p>
      <w:pPr>
        <w:keepNext w:val="0"/>
        <w:keepLines w:val="0"/>
        <w:pageBreakBefore w:val="0"/>
        <w:widowControl w:val="0"/>
        <w:kinsoku/>
        <w:overflowPunct/>
        <w:topLinePunct w:val="0"/>
        <w:autoSpaceDE w:val="0"/>
        <w:autoSpaceDN w:val="0"/>
        <w:bidi w:val="0"/>
        <w:adjustRightInd w:val="0"/>
        <w:snapToGrid w:val="0"/>
        <w:spacing w:line="400" w:lineRule="exact"/>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400" w:lineRule="exact"/>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2、供应商应提供2021年度或2022年度经审计的财务报告或者其基本开户银行出具的资信证明；采购活动前近三个月内或上个季度任一个月的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val="0"/>
        <w:kinsoku/>
        <w:overflowPunct/>
        <w:topLinePunct w:val="0"/>
        <w:autoSpaceDE w:val="0"/>
        <w:autoSpaceDN w:val="0"/>
        <w:bidi w:val="0"/>
        <w:adjustRightInd w:val="0"/>
        <w:snapToGrid w:val="0"/>
        <w:spacing w:line="400" w:lineRule="exact"/>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3、具有履行合同所必需的设备和专业技术能力（提供书面声明函）。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400" w:lineRule="exact"/>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4、参加本采购活动前三年内，在经营活动中没有重大违法记录（提供书面声明函）。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400" w:lineRule="exact"/>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5、符合法律、行政法规规定的其他条件。</w:t>
      </w:r>
    </w:p>
    <w:p>
      <w:pPr>
        <w:keepNext w:val="0"/>
        <w:keepLines w:val="0"/>
        <w:pageBreakBefore w:val="0"/>
        <w:widowControl w:val="0"/>
        <w:kinsoku/>
        <w:overflowPunct/>
        <w:topLinePunct w:val="0"/>
        <w:autoSpaceDE w:val="0"/>
        <w:autoSpaceDN w:val="0"/>
        <w:bidi w:val="0"/>
        <w:adjustRightInd w:val="0"/>
        <w:snapToGrid w:val="0"/>
        <w:spacing w:line="400" w:lineRule="exact"/>
        <w:ind w:firstLine="480" w:firstLineChars="200"/>
        <w:textAlignment w:val="auto"/>
        <w:rPr>
          <w:rFonts w:hint="eastAsia" w:ascii="宋体" w:hAnsi="宋体" w:eastAsia="宋体" w:cs="宋体"/>
          <w:color w:val="auto"/>
          <w:sz w:val="24"/>
          <w:szCs w:val="28"/>
          <w:lang w:val="en-US" w:eastAsia="zh-CN"/>
        </w:rPr>
      </w:pPr>
      <w:r>
        <w:rPr>
          <w:rFonts w:hint="eastAsia" w:ascii="宋体" w:hAnsi="宋体" w:eastAsia="宋体" w:cs="宋体"/>
          <w:color w:val="auto"/>
          <w:kern w:val="2"/>
          <w:sz w:val="24"/>
          <w:szCs w:val="32"/>
          <w:highlight w:val="none"/>
          <w:lang w:val="en-US" w:eastAsia="zh-CN" w:bidi="ar-SA"/>
        </w:rPr>
        <w:t>6</w:t>
      </w:r>
      <w:r>
        <w:rPr>
          <w:rFonts w:hint="eastAsia" w:ascii="宋体" w:hAnsi="宋体" w:eastAsia="宋体" w:cs="宋体"/>
          <w:color w:val="auto"/>
          <w:sz w:val="24"/>
          <w:szCs w:val="28"/>
          <w:highlight w:val="none"/>
          <w:lang w:val="en-US" w:eastAsia="zh-CN"/>
        </w:rPr>
        <w:t>、</w:t>
      </w:r>
      <w:r>
        <w:rPr>
          <w:rFonts w:hint="eastAsia" w:ascii="宋体" w:hAnsi="宋体" w:eastAsia="宋体" w:cs="宋体"/>
          <w:color w:val="auto"/>
          <w:sz w:val="24"/>
          <w:szCs w:val="28"/>
          <w:lang w:val="en-US" w:eastAsia="zh-CN"/>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val="0"/>
        <w:kinsoku/>
        <w:overflowPunct/>
        <w:topLinePunct w:val="0"/>
        <w:autoSpaceDE w:val="0"/>
        <w:autoSpaceDN w:val="0"/>
        <w:bidi w:val="0"/>
        <w:adjustRightInd w:val="0"/>
        <w:snapToGrid w:val="0"/>
        <w:spacing w:line="400" w:lineRule="exact"/>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7、不接受联合体投标。</w:t>
      </w:r>
    </w:p>
    <w:p>
      <w:pPr>
        <w:keepNext w:val="0"/>
        <w:keepLines w:val="0"/>
        <w:pageBreakBefore w:val="0"/>
        <w:widowControl/>
        <w:kinsoku/>
        <w:overflowPunct/>
        <w:topLinePunct w:val="0"/>
        <w:bidi w:val="0"/>
        <w:snapToGrid w:val="0"/>
        <w:spacing w:before="0" w:after="0" w:line="400" w:lineRule="exact"/>
        <w:jc w:val="left"/>
        <w:textAlignment w:val="auto"/>
        <w:outlineLvl w:val="1"/>
        <w:rPr>
          <w:rFonts w:hint="eastAsia" w:ascii="宋体" w:hAnsi="宋体" w:eastAsia="宋体" w:cs="宋体"/>
          <w:b/>
          <w:bCs/>
          <w:color w:val="auto"/>
          <w:kern w:val="2"/>
          <w:sz w:val="24"/>
          <w:szCs w:val="32"/>
          <w:lang w:val="en-US" w:eastAsia="zh-CN" w:bidi="ar-SA"/>
        </w:rPr>
      </w:pPr>
      <w:bookmarkStart w:id="13" w:name="_Toc30643"/>
      <w:bookmarkStart w:id="14" w:name="_Toc9562"/>
      <w:bookmarkStart w:id="15" w:name="_Toc30971"/>
      <w:bookmarkStart w:id="16" w:name="_Toc23395"/>
      <w:bookmarkStart w:id="17" w:name="_Toc7823"/>
      <w:r>
        <w:rPr>
          <w:rFonts w:hint="eastAsia" w:ascii="宋体" w:hAnsi="宋体" w:eastAsia="宋体" w:cs="宋体"/>
          <w:b/>
          <w:bCs/>
          <w:color w:val="auto"/>
          <w:kern w:val="2"/>
          <w:sz w:val="24"/>
          <w:szCs w:val="32"/>
          <w:lang w:val="en-US" w:eastAsia="zh-CN" w:bidi="ar-SA"/>
        </w:rPr>
        <w:t>三、获取采购文件</w:t>
      </w:r>
      <w:bookmarkEnd w:id="13"/>
      <w:bookmarkEnd w:id="14"/>
      <w:bookmarkEnd w:id="15"/>
      <w:bookmarkEnd w:id="16"/>
      <w:bookmarkEnd w:id="17"/>
    </w:p>
    <w:p>
      <w:pPr>
        <w:keepNext w:val="0"/>
        <w:keepLines w:val="0"/>
        <w:pageBreakBefore w:val="0"/>
        <w:widowControl/>
        <w:kinsoku/>
        <w:overflowPunct/>
        <w:topLinePunct w:val="0"/>
        <w:bidi w:val="0"/>
        <w:adjustRightInd w:val="0"/>
        <w:snapToGrid w:val="0"/>
        <w:spacing w:line="400" w:lineRule="exact"/>
        <w:ind w:firstLine="480" w:firstLineChars="200"/>
        <w:jc w:val="left"/>
        <w:textAlignment w:val="auto"/>
        <w:rPr>
          <w:rFonts w:hint="eastAsia"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auto"/>
          <w:sz w:val="24"/>
          <w:szCs w:val="24"/>
          <w:shd w:val="clear" w:color="auto" w:fill="FFFFFF"/>
        </w:rPr>
        <w:t>1</w:t>
      </w:r>
      <w:r>
        <w:rPr>
          <w:rFonts w:hint="eastAsia" w:ascii="宋体" w:hAnsi="宋体" w:eastAsia="宋体" w:cs="宋体"/>
          <w:color w:val="auto"/>
          <w:sz w:val="24"/>
          <w:szCs w:val="24"/>
          <w:shd w:val="clear" w:color="auto" w:fill="FFFFFF"/>
          <w:lang w:val="en-US" w:eastAsia="zh-CN"/>
        </w:rPr>
        <w:t>.报</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名</w:t>
      </w:r>
      <w:r>
        <w:rPr>
          <w:rFonts w:hint="eastAsia" w:ascii="宋体" w:hAnsi="宋体" w:eastAsia="宋体" w:cs="宋体"/>
          <w:color w:val="000000" w:themeColor="text1"/>
          <w:sz w:val="24"/>
          <w:szCs w:val="24"/>
          <w:shd w:val="clear" w:color="auto" w:fill="FFFFFF"/>
          <w14:textFill>
            <w14:solidFill>
              <w14:schemeClr w14:val="tx1"/>
            </w14:solidFill>
          </w14:textFill>
        </w:rPr>
        <w:t>时间：</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202</w:t>
      </w:r>
      <w:r>
        <w:rPr>
          <w:rFonts w:hint="eastAsia" w:ascii="宋体" w:hAnsi="宋体" w:eastAsia="宋体" w:cs="宋体"/>
          <w:color w:val="000000" w:themeColor="text1"/>
          <w:sz w:val="24"/>
          <w:szCs w:val="24"/>
          <w:highlight w:val="none"/>
          <w:shd w:val="clear" w:color="auto" w:fill="FFFFFF"/>
          <w:lang w:val="en-US" w:eastAsia="zh-CN"/>
          <w14:textFill>
            <w14:solidFill>
              <w14:schemeClr w14:val="tx1"/>
            </w14:solidFill>
          </w14:textFill>
        </w:rPr>
        <w:t>3</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年</w:t>
      </w:r>
      <w:r>
        <w:rPr>
          <w:rFonts w:hint="eastAsia" w:ascii="宋体" w:hAnsi="宋体" w:eastAsia="宋体" w:cs="宋体"/>
          <w:color w:val="000000" w:themeColor="text1"/>
          <w:sz w:val="24"/>
          <w:szCs w:val="24"/>
          <w:highlight w:val="none"/>
          <w:shd w:val="clear" w:color="auto" w:fill="FFFFFF"/>
          <w:lang w:val="en-US" w:eastAsia="zh-CN"/>
          <w14:textFill>
            <w14:solidFill>
              <w14:schemeClr w14:val="tx1"/>
            </w14:solidFill>
          </w14:textFill>
        </w:rPr>
        <w:t>04</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月</w:t>
      </w:r>
      <w:r>
        <w:rPr>
          <w:rFonts w:hint="eastAsia" w:ascii="宋体" w:hAnsi="宋体" w:cs="宋体"/>
          <w:color w:val="000000" w:themeColor="text1"/>
          <w:sz w:val="24"/>
          <w:szCs w:val="24"/>
          <w:highlight w:val="none"/>
          <w:shd w:val="clear" w:color="auto" w:fill="FFFFFF"/>
          <w:lang w:val="en-US" w:eastAsia="zh-CN"/>
          <w14:textFill>
            <w14:solidFill>
              <w14:schemeClr w14:val="tx1"/>
            </w14:solidFill>
          </w14:textFill>
        </w:rPr>
        <w:t>14</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日-202</w:t>
      </w:r>
      <w:r>
        <w:rPr>
          <w:rFonts w:hint="eastAsia" w:ascii="宋体" w:hAnsi="宋体" w:eastAsia="宋体" w:cs="宋体"/>
          <w:color w:val="000000" w:themeColor="text1"/>
          <w:sz w:val="24"/>
          <w:szCs w:val="24"/>
          <w:highlight w:val="none"/>
          <w:shd w:val="clear" w:color="auto" w:fill="FFFFFF"/>
          <w:lang w:val="en-US" w:eastAsia="zh-CN"/>
          <w14:textFill>
            <w14:solidFill>
              <w14:schemeClr w14:val="tx1"/>
            </w14:solidFill>
          </w14:textFill>
        </w:rPr>
        <w:t>3</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年</w:t>
      </w:r>
      <w:r>
        <w:rPr>
          <w:rFonts w:hint="eastAsia" w:ascii="宋体" w:hAnsi="宋体" w:eastAsia="宋体" w:cs="宋体"/>
          <w:color w:val="000000" w:themeColor="text1"/>
          <w:sz w:val="24"/>
          <w:szCs w:val="24"/>
          <w:highlight w:val="none"/>
          <w:shd w:val="clear" w:color="auto" w:fill="FFFFFF"/>
          <w:lang w:val="en-US" w:eastAsia="zh-CN"/>
          <w14:textFill>
            <w14:solidFill>
              <w14:schemeClr w14:val="tx1"/>
            </w14:solidFill>
          </w14:textFill>
        </w:rPr>
        <w:t>04</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月</w:t>
      </w:r>
      <w:r>
        <w:rPr>
          <w:rFonts w:hint="eastAsia" w:ascii="宋体" w:hAnsi="宋体" w:cs="宋体"/>
          <w:color w:val="000000" w:themeColor="text1"/>
          <w:sz w:val="24"/>
          <w:szCs w:val="24"/>
          <w:highlight w:val="none"/>
          <w:shd w:val="clear" w:color="auto" w:fill="FFFFFF"/>
          <w:lang w:val="en-US" w:eastAsia="zh-CN"/>
          <w14:textFill>
            <w14:solidFill>
              <w14:schemeClr w14:val="tx1"/>
            </w14:solidFill>
          </w14:textFill>
        </w:rPr>
        <w:t>18</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日</w:t>
      </w:r>
      <w:r>
        <w:rPr>
          <w:rFonts w:hint="eastAsia" w:ascii="宋体" w:hAnsi="宋体" w:eastAsia="宋体" w:cs="宋体"/>
          <w:color w:val="auto"/>
          <w:sz w:val="24"/>
          <w:szCs w:val="24"/>
          <w:highlight w:val="none"/>
          <w:shd w:val="clear" w:color="auto" w:fill="FFFFFF"/>
        </w:rPr>
        <w:t>，上</w:t>
      </w:r>
      <w:r>
        <w:rPr>
          <w:rFonts w:hint="eastAsia" w:ascii="宋体" w:hAnsi="宋体" w:eastAsia="宋体" w:cs="宋体"/>
          <w:color w:val="auto"/>
          <w:sz w:val="24"/>
          <w:szCs w:val="24"/>
          <w:shd w:val="clear" w:color="auto" w:fill="FFFFFF"/>
        </w:rPr>
        <w:t>午8：30-11:30，下午14:30-17:30</w:t>
      </w:r>
      <w:r>
        <w:rPr>
          <w:rFonts w:hint="eastAsia" w:ascii="宋体" w:hAnsi="宋体" w:eastAsia="宋体" w:cs="宋体"/>
          <w:color w:val="000000" w:themeColor="text1"/>
          <w:sz w:val="24"/>
          <w:szCs w:val="24"/>
          <w:shd w:val="clear" w:color="auto" w:fill="FFFFFF"/>
          <w14:textFill>
            <w14:solidFill>
              <w14:schemeClr w14:val="tx1"/>
            </w14:solidFill>
          </w14:textFill>
        </w:rPr>
        <w:t>（北京时间，法定节假日除外）</w:t>
      </w:r>
      <w:r>
        <w:rPr>
          <w:rFonts w:hint="eastAsia" w:ascii="宋体" w:hAnsi="宋体" w:eastAsia="宋体" w:cs="宋体"/>
          <w:color w:val="000000" w:themeColor="text1"/>
          <w:sz w:val="24"/>
          <w:szCs w:val="24"/>
          <w:shd w:val="clear" w:color="auto" w:fill="FFFFFF"/>
          <w:lang w:eastAsia="zh-CN"/>
          <w14:textFill>
            <w14:solidFill>
              <w14:schemeClr w14:val="tx1"/>
            </w14:solidFill>
          </w14:textFill>
        </w:rPr>
        <w:t>，</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报名费用：200元。</w:t>
      </w:r>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 xml:space="preserve">2.凡报名成功的供应商无故不来参与投标的列入我院黑名单，一年内不得参与我院任何采购活动。成交供应商缴纳相应服务费。 </w:t>
      </w:r>
    </w:p>
    <w:p>
      <w:pPr>
        <w:keepNext w:val="0"/>
        <w:keepLines w:val="0"/>
        <w:pageBreakBefore w:val="0"/>
        <w:widowControl/>
        <w:kinsoku/>
        <w:wordWrap w:val="0"/>
        <w:overflowPunct/>
        <w:topLinePunct w:val="0"/>
        <w:bidi w:val="0"/>
        <w:snapToGrid w:val="0"/>
        <w:spacing w:before="0" w:beforeAutospacing="0" w:after="0" w:afterAutospacing="0" w:line="400" w:lineRule="exact"/>
        <w:ind w:left="0" w:leftChars="0" w:firstLine="480" w:firstLineChars="200"/>
        <w:jc w:val="left"/>
        <w:textAlignment w:val="auto"/>
        <w:rPr>
          <w:rFonts w:hint="eastAsia" w:ascii="宋体" w:hAnsi="宋体" w:eastAsia="宋体" w:cs="宋体"/>
          <w:color w:val="000000" w:themeColor="text1"/>
          <w:kern w:val="0"/>
          <w:sz w:val="24"/>
          <w:szCs w:val="24"/>
          <w:u w:val="single"/>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begin"/>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instrText xml:space="preserve"> HYPERLINK "mailto:hnwxzb2@163.com并标明XX" </w:instrTex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separate"/>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3269714460@qq.com</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并标明XX</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end"/>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项目报名资料；审核通过后按要求交纳报名费。</w:t>
      </w:r>
    </w:p>
    <w:p>
      <w:pPr>
        <w:keepNext w:val="0"/>
        <w:keepLines w:val="0"/>
        <w:pageBreakBefore w:val="0"/>
        <w:widowControl/>
        <w:kinsoku/>
        <w:wordWrap w:val="0"/>
        <w:overflowPunct/>
        <w:topLinePunct w:val="0"/>
        <w:bidi w:val="0"/>
        <w:snapToGrid w:val="0"/>
        <w:spacing w:before="0" w:beforeAutospacing="0" w:after="0" w:afterAutospacing="0" w:line="400" w:lineRule="exact"/>
        <w:ind w:left="420" w:leftChars="200"/>
        <w:jc w:val="left"/>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4.报名登记表：请从附件中下载。</w:t>
      </w:r>
    </w:p>
    <w:p>
      <w:pPr>
        <w:keepNext w:val="0"/>
        <w:keepLines w:val="0"/>
        <w:pageBreakBefore w:val="0"/>
        <w:widowControl/>
        <w:kinsoku/>
        <w:overflowPunct/>
        <w:topLinePunct w:val="0"/>
        <w:bidi w:val="0"/>
        <w:snapToGrid w:val="0"/>
        <w:spacing w:before="0" w:after="0" w:line="400" w:lineRule="exact"/>
        <w:jc w:val="left"/>
        <w:textAlignment w:val="auto"/>
        <w:outlineLvl w:val="1"/>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bookmarkStart w:id="18" w:name="_Toc15111"/>
      <w:bookmarkStart w:id="19" w:name="_Toc25869"/>
      <w:bookmarkStart w:id="20" w:name="_Toc27480"/>
      <w:bookmarkStart w:id="21" w:name="_Toc15135"/>
      <w:bookmarkStart w:id="22" w:name="_Toc10738"/>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四、投标截止时间及地点</w:t>
      </w:r>
      <w:bookmarkEnd w:id="18"/>
      <w:bookmarkEnd w:id="19"/>
      <w:bookmarkEnd w:id="20"/>
      <w:bookmarkEnd w:id="21"/>
      <w:bookmarkEnd w:id="22"/>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1.时间：</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2.地点：</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0" w:after="0" w:line="400" w:lineRule="exact"/>
        <w:jc w:val="left"/>
        <w:textAlignment w:val="auto"/>
        <w:outlineLvl w:val="1"/>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五、开标时间及地点</w:t>
      </w:r>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1.时间：</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2.地点：</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4"/>
          <w:szCs w:val="24"/>
          <w:u w:val="none"/>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0" w:after="0" w:line="400" w:lineRule="exact"/>
        <w:jc w:val="left"/>
        <w:textAlignment w:val="auto"/>
        <w:outlineLvl w:val="1"/>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bookmarkStart w:id="23" w:name="_Toc20287"/>
      <w:bookmarkStart w:id="24" w:name="_Toc29784"/>
      <w:bookmarkStart w:id="25" w:name="_Toc6523"/>
      <w:bookmarkStart w:id="26" w:name="_Toc30918"/>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六、发布公告的媒介及</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采购</w:t>
      </w:r>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公告期限</w:t>
      </w:r>
      <w:bookmarkEnd w:id="23"/>
      <w:bookmarkEnd w:id="24"/>
      <w:bookmarkEnd w:id="25"/>
      <w:bookmarkEnd w:id="26"/>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本次</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采购</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公告在《驻马店市中心医院》院内网</w:t>
      </w:r>
      <w:r>
        <w:rPr>
          <w:rFonts w:hint="eastAsia" w:ascii="宋体" w:hAnsi="宋体" w:eastAsia="宋体" w:cs="宋体"/>
          <w:color w:val="000000" w:themeColor="text1"/>
          <w:sz w:val="24"/>
          <w:szCs w:val="24"/>
          <w:shd w:val="clear" w:color="auto" w:fill="auto"/>
          <w14:textFill>
            <w14:solidFill>
              <w14:schemeClr w14:val="tx1"/>
            </w14:solidFill>
          </w14:textFill>
        </w:rPr>
        <w:t>上发布</w:t>
      </w:r>
      <w:r>
        <w:rPr>
          <w:rFonts w:hint="eastAsia" w:ascii="宋体" w:hAnsi="宋体" w:eastAsia="宋体" w:cs="宋体"/>
          <w:color w:val="000000" w:themeColor="text1"/>
          <w:sz w:val="24"/>
          <w:szCs w:val="24"/>
          <w:highlight w:val="none"/>
          <w:shd w:val="clear" w:color="auto" w:fill="auto"/>
          <w:lang w:eastAsia="zh-CN"/>
          <w14:textFill>
            <w14:solidFill>
              <w14:schemeClr w14:val="tx1"/>
            </w14:solidFill>
          </w14:textFill>
        </w:rPr>
        <w:t>，</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采购</w:t>
      </w:r>
      <w:r>
        <w:rPr>
          <w:rFonts w:hint="eastAsia" w:ascii="宋体" w:hAnsi="宋体" w:eastAsia="宋体" w:cs="宋体"/>
          <w:color w:val="000000" w:themeColor="text1"/>
          <w:sz w:val="24"/>
          <w:szCs w:val="24"/>
          <w:highlight w:val="none"/>
          <w:shd w:val="clear" w:color="auto" w:fill="auto"/>
          <w:lang w:eastAsia="zh-CN"/>
          <w14:textFill>
            <w14:solidFill>
              <w14:schemeClr w14:val="tx1"/>
            </w14:solidFill>
          </w14:textFill>
        </w:rPr>
        <w:t>公告期限为</w:t>
      </w:r>
      <w:r>
        <w:rPr>
          <w:rFonts w:hint="eastAsia" w:ascii="宋体" w:hAnsi="宋体" w:eastAsia="宋体" w:cs="宋体"/>
          <w:color w:val="000000" w:themeColor="text1"/>
          <w:sz w:val="24"/>
          <w:szCs w:val="24"/>
          <w:highlight w:val="none"/>
          <w:shd w:val="clear" w:color="auto" w:fill="auto"/>
          <w:lang w:val="en-US" w:eastAsia="zh-CN"/>
          <w14:textFill>
            <w14:solidFill>
              <w14:schemeClr w14:val="tx1"/>
            </w14:solidFill>
          </w14:textFill>
        </w:rPr>
        <w:t>三</w:t>
      </w:r>
      <w:r>
        <w:rPr>
          <w:rFonts w:hint="eastAsia" w:ascii="宋体" w:hAnsi="宋体" w:eastAsia="宋体" w:cs="宋体"/>
          <w:color w:val="000000" w:themeColor="text1"/>
          <w:sz w:val="24"/>
          <w:szCs w:val="24"/>
          <w:highlight w:val="none"/>
          <w:shd w:val="clear" w:color="auto" w:fill="auto"/>
          <w:lang w:eastAsia="zh-CN"/>
          <w14:textFill>
            <w14:solidFill>
              <w14:schemeClr w14:val="tx1"/>
            </w14:solidFill>
          </w14:textFill>
        </w:rPr>
        <w:t>个工作日</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bookmarkStart w:id="27" w:name="_Toc35393795"/>
      <w:bookmarkStart w:id="28" w:name="_Toc35393626"/>
    </w:p>
    <w:bookmarkEnd w:id="27"/>
    <w:bookmarkEnd w:id="28"/>
    <w:p>
      <w:pPr>
        <w:keepNext w:val="0"/>
        <w:keepLines w:val="0"/>
        <w:pageBreakBefore w:val="0"/>
        <w:widowControl/>
        <w:kinsoku/>
        <w:overflowPunct/>
        <w:topLinePunct w:val="0"/>
        <w:bidi w:val="0"/>
        <w:snapToGrid w:val="0"/>
        <w:spacing w:before="0" w:after="0" w:line="400" w:lineRule="exact"/>
        <w:jc w:val="left"/>
        <w:textAlignment w:val="auto"/>
        <w:outlineLvl w:val="1"/>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bookmarkStart w:id="29" w:name="_Toc31928"/>
      <w:bookmarkStart w:id="30" w:name="_Toc24274"/>
      <w:bookmarkStart w:id="31" w:name="_Toc3604"/>
      <w:bookmarkStart w:id="32" w:name="_Toc27370"/>
      <w:bookmarkStart w:id="33" w:name="_Toc16291"/>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七、</w:t>
      </w:r>
      <w:bookmarkEnd w:id="29"/>
      <w:bookmarkEnd w:id="30"/>
      <w:bookmarkEnd w:id="31"/>
      <w:bookmarkEnd w:id="32"/>
      <w:bookmarkEnd w:id="33"/>
      <w:r>
        <w:rPr>
          <w:rFonts w:hint="eastAsia" w:ascii="宋体" w:hAnsi="宋体" w:eastAsia="宋体" w:cs="宋体"/>
          <w:b/>
          <w:bCs/>
          <w:color w:val="000000" w:themeColor="text1"/>
          <w:kern w:val="2"/>
          <w:sz w:val="24"/>
          <w:szCs w:val="24"/>
          <w:highlight w:val="none"/>
          <w:shd w:val="clear" w:color="auto" w:fill="FFFFFF"/>
          <w:lang w:val="en-US" w:eastAsia="zh-CN" w:bidi="ar-SA"/>
          <w14:textFill>
            <w14:solidFill>
              <w14:schemeClr w14:val="tx1"/>
            </w14:solidFill>
          </w14:textFill>
        </w:rPr>
        <w:t>凡对本次招标提出询问，请按照以下方式联系</w:t>
      </w:r>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报名联系人1：张先生</w:t>
      </w:r>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联系电话：0396-2838319   15518321111</w:t>
      </w:r>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报名联系人2：庞先生</w:t>
      </w:r>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联系电话：18272909999</w:t>
      </w:r>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联系人：陈先生</w:t>
      </w:r>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联系电话：0396-2726379</w:t>
      </w:r>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联系邮箱：</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begin"/>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instrText xml:space="preserve"> HYPERLINK "mailto:zxyyjzcgbgs@163.com" </w:instrTex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separate"/>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zxyyjzcgbgs@163.com</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end"/>
      </w:r>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监督部门：驻马店市中心医院纪检监察室</w:t>
      </w:r>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sz w:val="24"/>
          <w:szCs w:val="28"/>
          <w:lang w:val="en-US" w:eastAsia="zh-CN"/>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监督电话：0396-2725435</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righ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righ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righ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righ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驻马店市中心医院采购科</w:t>
      </w:r>
    </w:p>
    <w:p>
      <w:pPr>
        <w:pStyle w:val="28"/>
        <w:keepNext w:val="0"/>
        <w:keepLines w:val="0"/>
        <w:pageBreakBefore w:val="0"/>
        <w:widowControl/>
        <w:kinsoku/>
        <w:overflowPunct/>
        <w:topLinePunct w:val="0"/>
        <w:bidi w:val="0"/>
        <w:snapToGrid w:val="0"/>
        <w:spacing w:before="0" w:beforeAutospacing="0" w:after="0" w:afterAutospacing="0" w:line="360" w:lineRule="auto"/>
        <w:ind w:firstLine="480" w:firstLineChars="200"/>
        <w:jc w:val="center"/>
        <w:textAlignment w:val="auto"/>
        <w:rPr>
          <w:rFonts w:hint="eastAsia" w:ascii="宋体" w:hAnsi="宋体" w:eastAsia="宋体" w:cs="宋体"/>
          <w:b/>
          <w:color w:val="auto"/>
          <w:sz w:val="32"/>
          <w:szCs w:val="32"/>
          <w:highlight w:val="none"/>
        </w:rPr>
      </w:pPr>
      <w:r>
        <w:rPr>
          <w:rFonts w:hint="eastAsia" w:ascii="宋体" w:hAnsi="宋体" w:eastAsia="宋体" w:cs="宋体"/>
          <w:color w:val="auto"/>
          <w:kern w:val="0"/>
          <w:sz w:val="24"/>
          <w:szCs w:val="24"/>
          <w:shd w:val="clear" w:color="auto" w:fill="FFFFFF"/>
          <w:lang w:val="en-US" w:eastAsia="zh-CN" w:bidi="ar-SA"/>
        </w:rPr>
        <w:t xml:space="preserve">                                               2023年</w:t>
      </w:r>
      <w:r>
        <w:rPr>
          <w:rFonts w:hint="eastAsia" w:ascii="宋体" w:hAnsi="宋体" w:eastAsia="宋体" w:cs="宋体"/>
          <w:color w:val="auto"/>
          <w:kern w:val="0"/>
          <w:sz w:val="24"/>
          <w:szCs w:val="24"/>
          <w:highlight w:val="none"/>
          <w:shd w:val="clear" w:color="auto" w:fill="FFFFFF"/>
          <w:lang w:val="en-US" w:eastAsia="zh-CN" w:bidi="ar-SA"/>
        </w:rPr>
        <w:t>04月</w:t>
      </w:r>
      <w:r>
        <w:rPr>
          <w:rFonts w:hint="eastAsia" w:ascii="宋体" w:hAnsi="宋体" w:cs="宋体"/>
          <w:color w:val="auto"/>
          <w:kern w:val="0"/>
          <w:sz w:val="24"/>
          <w:szCs w:val="24"/>
          <w:highlight w:val="none"/>
          <w:shd w:val="clear" w:color="auto" w:fill="FFFFFF"/>
          <w:lang w:val="en-US" w:eastAsia="zh-CN" w:bidi="ar-SA"/>
        </w:rPr>
        <w:t>13</w:t>
      </w:r>
      <w:r>
        <w:rPr>
          <w:rFonts w:hint="eastAsia" w:ascii="宋体" w:hAnsi="宋体" w:eastAsia="宋体" w:cs="宋体"/>
          <w:color w:val="auto"/>
          <w:kern w:val="0"/>
          <w:sz w:val="24"/>
          <w:szCs w:val="24"/>
          <w:highlight w:val="none"/>
          <w:shd w:val="clear" w:color="auto" w:fill="FFFFFF"/>
          <w:lang w:val="en-US" w:eastAsia="zh-CN" w:bidi="ar-SA"/>
        </w:rPr>
        <w:t>日</w:t>
      </w:r>
      <w:bookmarkStart w:id="34" w:name="_Toc25063"/>
      <w:bookmarkStart w:id="35" w:name="_Toc23793"/>
      <w:bookmarkStart w:id="36" w:name="_Toc29890"/>
    </w:p>
    <w:p>
      <w:pPr>
        <w:widowControl/>
        <w:spacing w:line="360" w:lineRule="auto"/>
        <w:ind w:firstLine="643" w:firstLineChars="200"/>
        <w:jc w:val="center"/>
        <w:outlineLvl w:val="0"/>
        <w:rPr>
          <w:rFonts w:hint="eastAsia" w:ascii="宋体" w:hAnsi="宋体" w:eastAsia="宋体" w:cs="宋体"/>
          <w:b/>
          <w:color w:val="auto"/>
          <w:sz w:val="32"/>
          <w:szCs w:val="32"/>
          <w:highlight w:val="none"/>
        </w:rPr>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pPr>
    </w:p>
    <w:bookmarkEnd w:id="92"/>
    <w:p>
      <w:pPr>
        <w:widowControl/>
        <w:spacing w:line="360" w:lineRule="auto"/>
        <w:ind w:firstLine="643" w:firstLineChars="200"/>
        <w:jc w:val="center"/>
        <w:outlineLvl w:val="0"/>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 xml:space="preserve">第二章  </w:t>
      </w:r>
      <w:r>
        <w:rPr>
          <w:rFonts w:hint="eastAsia" w:ascii="宋体" w:hAnsi="宋体" w:eastAsia="宋体" w:cs="宋体"/>
          <w:b/>
          <w:color w:val="auto"/>
          <w:sz w:val="32"/>
          <w:szCs w:val="32"/>
          <w:highlight w:val="none"/>
          <w:lang w:eastAsia="zh-CN"/>
        </w:rPr>
        <w:t>采购</w:t>
      </w:r>
      <w:r>
        <w:rPr>
          <w:rFonts w:hint="eastAsia" w:ascii="宋体" w:hAnsi="宋体" w:eastAsia="宋体" w:cs="宋体"/>
          <w:b/>
          <w:color w:val="auto"/>
          <w:sz w:val="32"/>
          <w:szCs w:val="32"/>
          <w:highlight w:val="none"/>
        </w:rPr>
        <w:t>需求</w:t>
      </w:r>
      <w:bookmarkEnd w:id="34"/>
      <w:bookmarkStart w:id="37" w:name="_Toc23610"/>
      <w:bookmarkStart w:id="38" w:name="_Toc31536"/>
      <w:bookmarkStart w:id="39" w:name="_Toc9989"/>
    </w:p>
    <w:bookmarkEnd w:id="35"/>
    <w:bookmarkEnd w:id="36"/>
    <w:bookmarkEnd w:id="37"/>
    <w:bookmarkEnd w:id="38"/>
    <w:bookmarkEnd w:id="39"/>
    <w:p>
      <w:pPr>
        <w:pStyle w:val="12"/>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ascii="宋体" w:hAnsi="宋体" w:eastAsia="宋体" w:cs="宋体"/>
          <w:kern w:val="2"/>
          <w:sz w:val="24"/>
          <w:szCs w:val="24"/>
          <w:lang w:val="en-US" w:eastAsia="zh-CN" w:bidi="ar-SA"/>
        </w:rPr>
      </w:pPr>
      <w:bookmarkStart w:id="40" w:name="_Toc14504"/>
      <w:r>
        <w:rPr>
          <w:rFonts w:hint="eastAsia" w:ascii="宋体" w:hAnsi="宋体" w:eastAsia="宋体" w:cs="宋体"/>
          <w:b/>
          <w:bCs/>
          <w:kern w:val="2"/>
          <w:sz w:val="24"/>
          <w:szCs w:val="24"/>
          <w:lang w:val="en-US" w:eastAsia="zh-CN" w:bidi="ar-SA"/>
        </w:rPr>
        <w:t>一、项目名称、数量</w:t>
      </w:r>
      <w:r>
        <w:rPr>
          <w:rFonts w:hint="eastAsia" w:ascii="宋体" w:hAnsi="宋体" w:eastAsia="宋体" w:cs="宋体"/>
          <w:kern w:val="2"/>
          <w:sz w:val="24"/>
          <w:szCs w:val="24"/>
          <w:lang w:val="en-US" w:eastAsia="zh-CN" w:bidi="ar-SA"/>
        </w:rPr>
        <w:t>：</w:t>
      </w:r>
      <w:r>
        <w:rPr>
          <w:rFonts w:hint="eastAsia" w:cs="宋体"/>
          <w:color w:val="auto"/>
          <w:sz w:val="24"/>
          <w:szCs w:val="28"/>
          <w:lang w:eastAsia="zh-CN"/>
        </w:rPr>
        <w:t>驻马店市中心医院IT运维监控管理系统采购项目</w:t>
      </w:r>
      <w:r>
        <w:rPr>
          <w:rFonts w:hint="eastAsia" w:ascii="宋体" w:hAnsi="宋体" w:eastAsia="宋体" w:cs="宋体"/>
          <w:kern w:val="2"/>
          <w:sz w:val="24"/>
          <w:szCs w:val="24"/>
          <w:lang w:val="en-US" w:eastAsia="zh-CN" w:bidi="ar-SA"/>
        </w:rPr>
        <w:t xml:space="preserve">                    </w:t>
      </w:r>
    </w:p>
    <w:p>
      <w:pPr>
        <w:pStyle w:val="12"/>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ascii="宋体" w:hAnsi="宋体" w:eastAsia="宋体" w:cs="宋体"/>
          <w:kern w:val="2"/>
          <w:sz w:val="24"/>
          <w:szCs w:val="24"/>
          <w:lang w:val="en-US" w:eastAsia="zh-CN" w:bidi="ar-SA"/>
        </w:rPr>
      </w:pPr>
      <w:r>
        <w:rPr>
          <w:rFonts w:hint="eastAsia" w:ascii="宋体" w:hAnsi="宋体" w:eastAsia="宋体" w:cs="宋体"/>
          <w:b/>
          <w:bCs/>
          <w:kern w:val="2"/>
          <w:sz w:val="24"/>
          <w:szCs w:val="24"/>
          <w:lang w:val="en-US" w:eastAsia="zh-CN" w:bidi="ar-SA"/>
        </w:rPr>
        <w:t>二、项目用途说明：</w:t>
      </w:r>
      <w:r>
        <w:rPr>
          <w:rFonts w:hint="eastAsia" w:ascii="宋体" w:hAnsi="宋体" w:eastAsia="宋体" w:cs="宋体"/>
          <w:kern w:val="2"/>
          <w:sz w:val="24"/>
          <w:szCs w:val="24"/>
          <w:lang w:val="en-US" w:eastAsia="zh-CN" w:bidi="ar-SA"/>
        </w:rPr>
        <w:t xml:space="preserve">/                        </w:t>
      </w:r>
    </w:p>
    <w:p>
      <w:pPr>
        <w:pStyle w:val="12"/>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三、配置规格、附件及零配件（包括专用工具）：</w:t>
      </w:r>
    </w:p>
    <w:tbl>
      <w:tblPr>
        <w:tblStyle w:val="32"/>
        <w:tblW w:w="9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3205"/>
        <w:gridCol w:w="1837"/>
        <w:gridCol w:w="1559"/>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trPr>
        <w:tc>
          <w:tcPr>
            <w:tcW w:w="772" w:type="dxa"/>
            <w:tcBorders>
              <w:top w:val="single" w:color="auto" w:sz="4" w:space="0"/>
              <w:left w:val="single" w:color="auto" w:sz="4" w:space="0"/>
              <w:bottom w:val="single" w:color="auto" w:sz="4" w:space="0"/>
              <w:right w:val="single" w:color="auto" w:sz="4" w:space="0"/>
            </w:tcBorders>
            <w:vAlign w:val="center"/>
          </w:tcPr>
          <w:p>
            <w:pPr>
              <w:pStyle w:val="12"/>
              <w:ind w:left="0" w:leftChars="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序号</w:t>
            </w:r>
          </w:p>
        </w:tc>
        <w:tc>
          <w:tcPr>
            <w:tcW w:w="3205" w:type="dxa"/>
            <w:tcBorders>
              <w:top w:val="single" w:color="auto" w:sz="4" w:space="0"/>
              <w:left w:val="nil"/>
              <w:bottom w:val="single" w:color="auto" w:sz="4" w:space="0"/>
              <w:right w:val="single" w:color="auto" w:sz="4" w:space="0"/>
            </w:tcBorders>
            <w:vAlign w:val="center"/>
          </w:tcPr>
          <w:p>
            <w:pPr>
              <w:pStyle w:val="12"/>
              <w:ind w:left="0" w:leftChars="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项目名称</w:t>
            </w:r>
          </w:p>
        </w:tc>
        <w:tc>
          <w:tcPr>
            <w:tcW w:w="1837" w:type="dxa"/>
            <w:tcBorders>
              <w:top w:val="single" w:color="auto" w:sz="4" w:space="0"/>
              <w:left w:val="nil"/>
              <w:bottom w:val="single" w:color="auto" w:sz="4" w:space="0"/>
              <w:right w:val="single" w:color="auto" w:sz="4" w:space="0"/>
            </w:tcBorders>
            <w:vAlign w:val="center"/>
          </w:tcPr>
          <w:p>
            <w:pPr>
              <w:pStyle w:val="12"/>
              <w:ind w:left="0" w:leftChars="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数量或规模</w:t>
            </w:r>
          </w:p>
        </w:tc>
        <w:tc>
          <w:tcPr>
            <w:tcW w:w="1559" w:type="dxa"/>
            <w:tcBorders>
              <w:top w:val="single" w:color="auto" w:sz="4" w:space="0"/>
              <w:left w:val="nil"/>
              <w:bottom w:val="single" w:color="auto" w:sz="4" w:space="0"/>
              <w:right w:val="single" w:color="auto" w:sz="4" w:space="0"/>
            </w:tcBorders>
            <w:vAlign w:val="center"/>
          </w:tcPr>
          <w:p>
            <w:pPr>
              <w:pStyle w:val="12"/>
              <w:ind w:left="0" w:leftChars="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资金预算</w:t>
            </w:r>
          </w:p>
        </w:tc>
        <w:tc>
          <w:tcPr>
            <w:tcW w:w="1644" w:type="dxa"/>
            <w:tcBorders>
              <w:top w:val="single" w:color="auto" w:sz="4" w:space="0"/>
              <w:left w:val="nil"/>
              <w:bottom w:val="single" w:color="auto" w:sz="4" w:space="0"/>
              <w:right w:val="single" w:color="auto" w:sz="4" w:space="0"/>
            </w:tcBorders>
            <w:vAlign w:val="center"/>
          </w:tcPr>
          <w:p>
            <w:pPr>
              <w:pStyle w:val="12"/>
              <w:ind w:left="0" w:leftChars="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72" w:type="dxa"/>
            <w:tcBorders>
              <w:top w:val="single" w:color="auto" w:sz="4" w:space="0"/>
              <w:left w:val="single" w:color="auto" w:sz="4" w:space="0"/>
              <w:bottom w:val="single" w:color="auto" w:sz="4" w:space="0"/>
              <w:right w:val="single" w:color="auto" w:sz="4" w:space="0"/>
            </w:tcBorders>
            <w:vAlign w:val="center"/>
          </w:tcPr>
          <w:p>
            <w:pPr>
              <w:pStyle w:val="12"/>
              <w:ind w:left="0" w:leftChars="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w:t>
            </w:r>
          </w:p>
        </w:tc>
        <w:tc>
          <w:tcPr>
            <w:tcW w:w="3205" w:type="dxa"/>
            <w:tcBorders>
              <w:top w:val="single" w:color="auto" w:sz="4" w:space="0"/>
              <w:left w:val="nil"/>
              <w:bottom w:val="single" w:color="auto" w:sz="4" w:space="0"/>
              <w:right w:val="single" w:color="auto" w:sz="4" w:space="0"/>
            </w:tcBorders>
            <w:vAlign w:val="center"/>
          </w:tcPr>
          <w:p>
            <w:pPr>
              <w:pStyle w:val="12"/>
              <w:ind w:left="0" w:leftChars="0"/>
              <w:jc w:val="center"/>
              <w:rPr>
                <w:rFonts w:hint="eastAsia" w:ascii="宋体" w:hAnsi="宋体" w:eastAsia="宋体" w:cs="宋体"/>
                <w:b w:val="0"/>
                <w:bCs w:val="0"/>
                <w:sz w:val="24"/>
                <w:szCs w:val="24"/>
                <w:lang w:val="en-US" w:eastAsia="zh-CN"/>
              </w:rPr>
            </w:pPr>
            <w:r>
              <w:rPr>
                <w:rFonts w:hint="eastAsia" w:cs="宋体"/>
                <w:b w:val="0"/>
                <w:bCs w:val="0"/>
                <w:sz w:val="24"/>
                <w:szCs w:val="24"/>
                <w:lang w:val="en-US" w:eastAsia="zh-CN"/>
              </w:rPr>
              <w:t>驻马店市中心医院IT运维监控管理系统采购项目</w:t>
            </w:r>
          </w:p>
        </w:tc>
        <w:tc>
          <w:tcPr>
            <w:tcW w:w="1837" w:type="dxa"/>
            <w:tcBorders>
              <w:top w:val="single" w:color="auto" w:sz="4" w:space="0"/>
              <w:left w:val="nil"/>
              <w:bottom w:val="single" w:color="auto" w:sz="4" w:space="0"/>
              <w:right w:val="single" w:color="auto" w:sz="4" w:space="0"/>
            </w:tcBorders>
            <w:vAlign w:val="center"/>
          </w:tcPr>
          <w:p>
            <w:pPr>
              <w:pStyle w:val="12"/>
              <w:ind w:left="0" w:leftChars="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w:t>
            </w:r>
            <w:r>
              <w:rPr>
                <w:rFonts w:hint="eastAsia" w:cs="宋体"/>
                <w:b w:val="0"/>
                <w:bCs w:val="0"/>
                <w:sz w:val="24"/>
                <w:szCs w:val="24"/>
                <w:lang w:val="en-US" w:eastAsia="zh-CN"/>
              </w:rPr>
              <w:t>套</w:t>
            </w:r>
          </w:p>
        </w:tc>
        <w:tc>
          <w:tcPr>
            <w:tcW w:w="1559" w:type="dxa"/>
            <w:tcBorders>
              <w:top w:val="single" w:color="auto" w:sz="4" w:space="0"/>
              <w:left w:val="nil"/>
              <w:bottom w:val="single" w:color="auto" w:sz="4" w:space="0"/>
              <w:right w:val="single" w:color="auto" w:sz="4" w:space="0"/>
            </w:tcBorders>
            <w:vAlign w:val="center"/>
          </w:tcPr>
          <w:p>
            <w:pPr>
              <w:pStyle w:val="12"/>
              <w:ind w:left="0" w:leftChars="0"/>
              <w:jc w:val="center"/>
              <w:rPr>
                <w:rFonts w:hint="eastAsia" w:ascii="宋体" w:hAnsi="宋体" w:eastAsia="宋体" w:cs="宋体"/>
                <w:b w:val="0"/>
                <w:bCs w:val="0"/>
                <w:sz w:val="24"/>
                <w:szCs w:val="24"/>
                <w:lang w:val="en-US" w:eastAsia="zh-CN"/>
              </w:rPr>
            </w:pPr>
            <w:r>
              <w:rPr>
                <w:rFonts w:hint="eastAsia" w:cs="宋体"/>
                <w:b w:val="0"/>
                <w:bCs w:val="0"/>
                <w:sz w:val="24"/>
                <w:szCs w:val="24"/>
                <w:lang w:val="en-US" w:eastAsia="zh-CN"/>
              </w:rPr>
              <w:t>48</w:t>
            </w:r>
            <w:r>
              <w:rPr>
                <w:rFonts w:hint="eastAsia" w:ascii="宋体" w:hAnsi="宋体" w:eastAsia="宋体" w:cs="宋体"/>
                <w:b w:val="0"/>
                <w:bCs w:val="0"/>
                <w:sz w:val="24"/>
                <w:szCs w:val="24"/>
                <w:lang w:val="en-US" w:eastAsia="zh-CN"/>
              </w:rPr>
              <w:t>万元</w:t>
            </w:r>
          </w:p>
        </w:tc>
        <w:tc>
          <w:tcPr>
            <w:tcW w:w="1644" w:type="dxa"/>
            <w:tcBorders>
              <w:top w:val="single" w:color="auto" w:sz="4" w:space="0"/>
              <w:left w:val="nil"/>
              <w:bottom w:val="single" w:color="auto" w:sz="4" w:space="0"/>
              <w:right w:val="single" w:color="auto" w:sz="4" w:space="0"/>
            </w:tcBorders>
            <w:vAlign w:val="center"/>
          </w:tcPr>
          <w:p>
            <w:pPr>
              <w:pStyle w:val="12"/>
              <w:ind w:left="0" w:leftChars="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eastAsia="zh-CN"/>
              </w:rPr>
              <w:t>自筹</w:t>
            </w:r>
          </w:p>
        </w:tc>
      </w:tr>
    </w:tbl>
    <w:p>
      <w:pPr>
        <w:pStyle w:val="12"/>
        <w:keepNext w:val="0"/>
        <w:keepLines w:val="0"/>
        <w:pageBreakBefore w:val="0"/>
        <w:numPr>
          <w:ilvl w:val="0"/>
          <w:numId w:val="1"/>
        </w:numPr>
        <w:kinsoku/>
        <w:wordWrap/>
        <w:overflowPunct/>
        <w:topLinePunct w:val="0"/>
        <w:autoSpaceDE/>
        <w:autoSpaceDN/>
        <w:bidi w:val="0"/>
        <w:adjustRightInd/>
        <w:snapToGrid/>
        <w:spacing w:beforeAutospacing="0" w:afterAutospacing="0" w:line="500" w:lineRule="exact"/>
        <w:jc w:val="both"/>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详细技术要求、参数及产品资料等：</w:t>
      </w:r>
    </w:p>
    <w:p>
      <w:pPr>
        <w:spacing w:before="156" w:beforeLines="50" w:after="156" w:afterLines="50"/>
        <w:rPr>
          <w:rFonts w:hint="eastAsia" w:ascii="宋体" w:hAnsi="宋体" w:eastAsia="宋体" w:cs="宋体"/>
          <w:b/>
          <w:bCs/>
          <w:sz w:val="24"/>
          <w:szCs w:val="24"/>
        </w:rPr>
      </w:pPr>
      <w:r>
        <w:rPr>
          <w:rFonts w:hint="eastAsia" w:ascii="宋体" w:hAnsi="宋体" w:eastAsia="宋体" w:cs="宋体"/>
          <w:b/>
          <w:bCs/>
          <w:sz w:val="24"/>
          <w:szCs w:val="24"/>
        </w:rPr>
        <w:t>一、总体要求</w:t>
      </w:r>
    </w:p>
    <w:p>
      <w:pPr>
        <w:pStyle w:val="87"/>
        <w:numPr>
          <w:ilvl w:val="0"/>
          <w:numId w:val="2"/>
        </w:numPr>
        <w:ind w:firstLineChars="0"/>
        <w:rPr>
          <w:rFonts w:hint="eastAsia" w:ascii="宋体" w:hAnsi="宋体" w:eastAsia="宋体" w:cs="宋体"/>
          <w:sz w:val="24"/>
          <w:szCs w:val="24"/>
        </w:rPr>
      </w:pPr>
      <w:r>
        <w:rPr>
          <w:rFonts w:hint="eastAsia" w:ascii="宋体" w:hAnsi="宋体" w:eastAsia="宋体" w:cs="宋体"/>
          <w:sz w:val="24"/>
          <w:szCs w:val="24"/>
        </w:rPr>
        <w:t>IT综合运维监控管理平台应从使用功能和实际状况出发，满足设计和使用要求，既要做到技术先进、经济实用、维护管理方便，又留有可扩充、可调整的余地，方便以后系统升级工作。</w:t>
      </w:r>
    </w:p>
    <w:p>
      <w:pPr>
        <w:pStyle w:val="87"/>
        <w:numPr>
          <w:ilvl w:val="0"/>
          <w:numId w:val="2"/>
        </w:numPr>
        <w:ind w:firstLineChars="0"/>
        <w:rPr>
          <w:rFonts w:hint="eastAsia" w:ascii="宋体" w:hAnsi="宋体" w:eastAsia="宋体" w:cs="宋体"/>
          <w:sz w:val="24"/>
          <w:szCs w:val="24"/>
        </w:rPr>
      </w:pPr>
      <w:r>
        <w:rPr>
          <w:rFonts w:hint="eastAsia" w:ascii="宋体" w:hAnsi="宋体" w:eastAsia="宋体" w:cs="宋体"/>
          <w:sz w:val="24"/>
          <w:szCs w:val="24"/>
        </w:rPr>
        <w:t>本次招标的IT综合运维监控管理平台，须在本院院内局域网环境下进行部署和实施。所建IT综合运维监控管理平台应以招标文件的功能要求为依据进行系统设计和系统的构成与系统配置。</w:t>
      </w:r>
    </w:p>
    <w:p>
      <w:pPr>
        <w:pStyle w:val="87"/>
        <w:numPr>
          <w:ilvl w:val="0"/>
          <w:numId w:val="2"/>
        </w:numPr>
        <w:ind w:firstLineChars="0"/>
        <w:rPr>
          <w:rFonts w:hint="eastAsia" w:ascii="宋体" w:hAnsi="宋体" w:eastAsia="宋体" w:cs="宋体"/>
          <w:sz w:val="24"/>
          <w:szCs w:val="24"/>
        </w:rPr>
      </w:pPr>
      <w:r>
        <w:rPr>
          <w:rFonts w:hint="eastAsia" w:ascii="宋体" w:hAnsi="宋体" w:eastAsia="宋体" w:cs="宋体"/>
          <w:sz w:val="24"/>
          <w:szCs w:val="24"/>
        </w:rPr>
        <w:t>系统控制、运用软件及操作、显示界面应完全汉化，以便于管理人员操作与使用。</w:t>
      </w:r>
    </w:p>
    <w:p>
      <w:pPr>
        <w:pStyle w:val="87"/>
        <w:numPr>
          <w:ilvl w:val="0"/>
          <w:numId w:val="2"/>
        </w:numPr>
        <w:ind w:firstLineChars="0"/>
        <w:rPr>
          <w:rFonts w:hint="eastAsia" w:ascii="宋体" w:hAnsi="宋体" w:eastAsia="宋体" w:cs="宋体"/>
          <w:sz w:val="24"/>
          <w:szCs w:val="24"/>
        </w:rPr>
      </w:pPr>
      <w:r>
        <w:rPr>
          <w:rFonts w:hint="eastAsia" w:ascii="宋体" w:hAnsi="宋体" w:eastAsia="宋体" w:cs="宋体"/>
          <w:sz w:val="24"/>
          <w:szCs w:val="24"/>
        </w:rPr>
        <w:t>系统的设计方案、系统构成和系统配置、施工、安装、部署等应符合和满足现行的有关国家规范和标准要求。</w:t>
      </w:r>
    </w:p>
    <w:p>
      <w:pPr>
        <w:pStyle w:val="87"/>
        <w:numPr>
          <w:ilvl w:val="0"/>
          <w:numId w:val="2"/>
        </w:numPr>
        <w:ind w:firstLineChars="0"/>
        <w:rPr>
          <w:rFonts w:hint="eastAsia" w:ascii="宋体" w:hAnsi="宋体" w:eastAsia="宋体" w:cs="宋体"/>
          <w:sz w:val="24"/>
          <w:szCs w:val="24"/>
        </w:rPr>
      </w:pPr>
      <w:r>
        <w:rPr>
          <w:rFonts w:hint="eastAsia" w:ascii="宋体" w:hAnsi="宋体" w:eastAsia="宋体" w:cs="宋体"/>
          <w:sz w:val="24"/>
          <w:szCs w:val="24"/>
        </w:rPr>
        <w:t>系统应具有集成监控功能，其接口应符合统一的互联标准及技术协议的要求。</w:t>
      </w:r>
    </w:p>
    <w:p>
      <w:pPr>
        <w:pStyle w:val="87"/>
        <w:numPr>
          <w:ilvl w:val="0"/>
          <w:numId w:val="2"/>
        </w:numPr>
        <w:ind w:firstLineChars="0"/>
        <w:rPr>
          <w:rFonts w:hint="eastAsia" w:ascii="宋体" w:hAnsi="宋体" w:eastAsia="宋体" w:cs="宋体"/>
          <w:sz w:val="24"/>
          <w:szCs w:val="24"/>
        </w:rPr>
      </w:pPr>
      <w:r>
        <w:rPr>
          <w:rFonts w:hint="eastAsia" w:ascii="宋体" w:hAnsi="宋体" w:eastAsia="宋体" w:cs="宋体"/>
          <w:sz w:val="24"/>
          <w:szCs w:val="24"/>
        </w:rPr>
        <w:t>系统应按照以人为本的原则，要求做到安全、稳定、操作简洁。系统应进行精心设计和优化集成，满足技术的先进性、系统的扩展性和可靠性等要求，构筑成一个现代化的院级IT综合运维监控管理平台。</w:t>
      </w:r>
    </w:p>
    <w:p>
      <w:pPr>
        <w:pStyle w:val="87"/>
        <w:numPr>
          <w:ilvl w:val="0"/>
          <w:numId w:val="2"/>
        </w:numPr>
        <w:ind w:firstLineChars="0"/>
        <w:rPr>
          <w:rFonts w:hint="eastAsia" w:ascii="宋体" w:hAnsi="宋体" w:eastAsia="宋体" w:cs="宋体"/>
          <w:sz w:val="24"/>
          <w:szCs w:val="24"/>
        </w:rPr>
      </w:pPr>
      <w:r>
        <w:rPr>
          <w:rFonts w:hint="eastAsia" w:ascii="宋体" w:hAnsi="宋体" w:eastAsia="宋体" w:cs="宋体"/>
          <w:sz w:val="24"/>
          <w:szCs w:val="24"/>
        </w:rPr>
        <w:t>IT综合运维监控管理平台作为一个完整的运维体系，要从设备、网络、软件到业务的多维度管理，以及监控、报警、巡检、运维、报表、分析、配置、资产、系统等多个模块的有机结合，体现出从运维信息管理到监控大数据分析的全生命周期管理。</w:t>
      </w:r>
    </w:p>
    <w:p>
      <w:pPr>
        <w:spacing w:before="156" w:beforeLines="50" w:after="156" w:afterLines="50"/>
        <w:rPr>
          <w:rFonts w:hint="eastAsia" w:ascii="宋体" w:hAnsi="宋体" w:eastAsia="宋体" w:cs="宋体"/>
          <w:b/>
          <w:bCs/>
          <w:sz w:val="24"/>
          <w:szCs w:val="24"/>
        </w:rPr>
      </w:pPr>
      <w:r>
        <w:rPr>
          <w:rFonts w:hint="eastAsia" w:ascii="宋体" w:hAnsi="宋体" w:eastAsia="宋体" w:cs="宋体"/>
          <w:b/>
          <w:bCs/>
          <w:sz w:val="24"/>
          <w:szCs w:val="24"/>
        </w:rPr>
        <w:t>二、IT综合运维监控管理平台参数表</w:t>
      </w:r>
    </w:p>
    <w:tbl>
      <w:tblPr>
        <w:tblStyle w:val="33"/>
        <w:tblW w:w="921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2747"/>
        <w:gridCol w:w="5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48" w:type="dxa"/>
            <w:shd w:val="clear" w:color="auto" w:fill="D8D8D8" w:themeFill="background1" w:themeFillShade="D9"/>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2747" w:type="dxa"/>
            <w:shd w:val="clear" w:color="auto" w:fill="D8D8D8" w:themeFill="background1" w:themeFillShade="D9"/>
          </w:tcPr>
          <w:p>
            <w:pPr>
              <w:rPr>
                <w:rFonts w:hint="eastAsia" w:ascii="宋体" w:hAnsi="宋体" w:eastAsia="宋体" w:cs="宋体"/>
                <w:sz w:val="24"/>
                <w:szCs w:val="24"/>
              </w:rPr>
            </w:pPr>
            <w:r>
              <w:rPr>
                <w:rFonts w:hint="eastAsia" w:ascii="宋体" w:hAnsi="宋体" w:eastAsia="宋体" w:cs="宋体"/>
                <w:sz w:val="24"/>
                <w:szCs w:val="24"/>
              </w:rPr>
              <w:t>技术和性能参数名称</w:t>
            </w:r>
          </w:p>
        </w:tc>
        <w:tc>
          <w:tcPr>
            <w:tcW w:w="5623" w:type="dxa"/>
            <w:shd w:val="clear" w:color="auto" w:fill="D8D8D8" w:themeFill="background1" w:themeFillShade="D9"/>
          </w:tcPr>
          <w:p>
            <w:pPr>
              <w:rPr>
                <w:rFonts w:hint="eastAsia" w:ascii="宋体" w:hAnsi="宋体" w:eastAsia="宋体" w:cs="宋体"/>
                <w:sz w:val="24"/>
                <w:szCs w:val="24"/>
              </w:rPr>
            </w:pPr>
            <w:r>
              <w:rPr>
                <w:rFonts w:hint="eastAsia" w:ascii="宋体" w:hAnsi="宋体" w:eastAsia="宋体" w:cs="宋体"/>
                <w:sz w:val="24"/>
                <w:szCs w:val="24"/>
              </w:rPr>
              <w:t>招标参数和性能要求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848" w:type="dxa"/>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2747" w:type="dxa"/>
          </w:tcPr>
          <w:p>
            <w:pPr>
              <w:rPr>
                <w:rFonts w:hint="eastAsia" w:ascii="宋体" w:hAnsi="宋体" w:eastAsia="宋体" w:cs="宋体"/>
                <w:sz w:val="24"/>
                <w:szCs w:val="24"/>
              </w:rPr>
            </w:pPr>
            <w:r>
              <w:rPr>
                <w:rFonts w:hint="eastAsia" w:ascii="宋体" w:hAnsi="宋体" w:eastAsia="宋体" w:cs="宋体"/>
                <w:sz w:val="24"/>
                <w:szCs w:val="24"/>
              </w:rPr>
              <w:t>产品运行环境要求</w:t>
            </w:r>
          </w:p>
        </w:tc>
        <w:tc>
          <w:tcPr>
            <w:tcW w:w="5623" w:type="dxa"/>
          </w:tcPr>
          <w:p>
            <w:pPr>
              <w:rPr>
                <w:rFonts w:hint="eastAsia" w:ascii="宋体" w:hAnsi="宋体" w:eastAsia="宋体" w:cs="宋体"/>
                <w:sz w:val="24"/>
                <w:szCs w:val="24"/>
              </w:rPr>
            </w:pPr>
            <w:r>
              <w:rPr>
                <w:rFonts w:hint="eastAsia" w:ascii="宋体" w:hAnsi="宋体" w:eastAsia="宋体" w:cs="宋体"/>
                <w:spacing w:val="-6"/>
                <w:sz w:val="24"/>
                <w:szCs w:val="24"/>
              </w:rPr>
              <w:t>★ 1、</w:t>
            </w:r>
            <w:r>
              <w:rPr>
                <w:rFonts w:hint="eastAsia" w:ascii="宋体" w:hAnsi="宋体" w:eastAsia="宋体" w:cs="宋体"/>
                <w:sz w:val="24"/>
                <w:szCs w:val="24"/>
              </w:rPr>
              <w:t>要求平台基于开源数据库运行，医院无需另行购买数据库授权。</w:t>
            </w:r>
          </w:p>
          <w:p>
            <w:pPr>
              <w:rPr>
                <w:rFonts w:hint="eastAsia" w:ascii="宋体" w:hAnsi="宋体" w:eastAsia="宋体" w:cs="宋体"/>
                <w:sz w:val="24"/>
                <w:szCs w:val="24"/>
              </w:rPr>
            </w:pPr>
            <w:r>
              <w:rPr>
                <w:rFonts w:hint="eastAsia" w:ascii="宋体" w:hAnsi="宋体" w:eastAsia="宋体" w:cs="宋体"/>
                <w:b/>
                <w:bCs/>
                <w:sz w:val="24"/>
                <w:szCs w:val="24"/>
              </w:rPr>
              <w:t>要求提供加盖原厂商公章的证明材料。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848" w:type="dxa"/>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2747" w:type="dxa"/>
          </w:tcPr>
          <w:p>
            <w:pPr>
              <w:rPr>
                <w:rFonts w:hint="eastAsia" w:ascii="宋体" w:hAnsi="宋体" w:eastAsia="宋体" w:cs="宋体"/>
                <w:sz w:val="24"/>
                <w:szCs w:val="24"/>
              </w:rPr>
            </w:pPr>
            <w:r>
              <w:rPr>
                <w:rFonts w:hint="eastAsia" w:ascii="宋体" w:hAnsi="宋体" w:eastAsia="宋体" w:cs="宋体"/>
                <w:sz w:val="24"/>
                <w:szCs w:val="24"/>
              </w:rPr>
              <w:t>产品使用授权要求</w:t>
            </w:r>
          </w:p>
        </w:tc>
        <w:tc>
          <w:tcPr>
            <w:tcW w:w="5623" w:type="dxa"/>
          </w:tcPr>
          <w:p>
            <w:pPr>
              <w:rPr>
                <w:rFonts w:hint="eastAsia" w:ascii="宋体" w:hAnsi="宋体" w:eastAsia="宋体" w:cs="宋体"/>
                <w:sz w:val="24"/>
                <w:szCs w:val="24"/>
              </w:rPr>
            </w:pPr>
            <w:r>
              <w:rPr>
                <w:rFonts w:hint="eastAsia" w:ascii="宋体" w:hAnsi="宋体" w:eastAsia="宋体" w:cs="宋体"/>
                <w:spacing w:val="-6"/>
                <w:sz w:val="24"/>
                <w:szCs w:val="24"/>
              </w:rPr>
              <w:t>★ 2、</w:t>
            </w:r>
            <w:r>
              <w:rPr>
                <w:rFonts w:hint="eastAsia" w:ascii="宋体" w:hAnsi="宋体" w:eastAsia="宋体" w:cs="宋体"/>
                <w:sz w:val="24"/>
                <w:szCs w:val="24"/>
              </w:rPr>
              <w:t>要求平台为终身授权，开放系统所有模块供医院使用，且被监控对象授权数量不做限制，支持无限扩容，不限制使用场所，医院可在所有院区（含未来建成并投入使用的院区）使用产品。质保期内，免费提供产品售后及升级服务。</w:t>
            </w:r>
          </w:p>
          <w:p>
            <w:pPr>
              <w:rPr>
                <w:rFonts w:hint="eastAsia" w:ascii="宋体" w:hAnsi="宋体" w:eastAsia="宋体" w:cs="宋体"/>
                <w:sz w:val="24"/>
                <w:szCs w:val="24"/>
              </w:rPr>
            </w:pPr>
            <w:r>
              <w:rPr>
                <w:rFonts w:hint="eastAsia" w:ascii="宋体" w:hAnsi="宋体" w:eastAsia="宋体" w:cs="宋体"/>
                <w:b/>
                <w:bCs/>
                <w:sz w:val="24"/>
                <w:szCs w:val="24"/>
              </w:rPr>
              <w:t>要求提供加盖原厂商公章的承诺材料。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atLeast"/>
        </w:trPr>
        <w:tc>
          <w:tcPr>
            <w:tcW w:w="848" w:type="dxa"/>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2747" w:type="dxa"/>
          </w:tcPr>
          <w:p>
            <w:pPr>
              <w:rPr>
                <w:rFonts w:hint="eastAsia" w:ascii="宋体" w:hAnsi="宋体" w:eastAsia="宋体" w:cs="宋体"/>
                <w:sz w:val="24"/>
                <w:szCs w:val="24"/>
              </w:rPr>
            </w:pPr>
            <w:r>
              <w:rPr>
                <w:rFonts w:hint="eastAsia" w:ascii="宋体" w:hAnsi="宋体" w:eastAsia="宋体" w:cs="宋体"/>
                <w:sz w:val="24"/>
                <w:szCs w:val="24"/>
              </w:rPr>
              <w:t>监控范围及报警方式</w:t>
            </w:r>
          </w:p>
        </w:tc>
        <w:tc>
          <w:tcPr>
            <w:tcW w:w="5623" w:type="dxa"/>
          </w:tcPr>
          <w:p>
            <w:pPr>
              <w:rPr>
                <w:rFonts w:hint="eastAsia" w:ascii="宋体" w:hAnsi="宋体" w:eastAsia="宋体" w:cs="宋体"/>
                <w:spacing w:val="-6"/>
                <w:sz w:val="24"/>
                <w:szCs w:val="24"/>
              </w:rPr>
            </w:pPr>
            <w:r>
              <w:rPr>
                <w:rFonts w:hint="eastAsia" w:ascii="宋体" w:hAnsi="宋体" w:eastAsia="宋体" w:cs="宋体"/>
                <w:spacing w:val="-6"/>
                <w:sz w:val="24"/>
                <w:szCs w:val="24"/>
              </w:rPr>
              <w:t>3、要求平台为基于内网的企业级运维监控产品，平台以业务系统监控为主线，实现集业务、软件（包含数据库、中间件、虚拟化软件、负载均衡、消息队列、Webservice等）、网络、设备的多维度立体化统一运维监控及数据分析。支持微信公众号报警推送功能，同时支持以短信、邮件、页面、声音的多种报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atLeast"/>
        </w:trPr>
        <w:tc>
          <w:tcPr>
            <w:tcW w:w="848" w:type="dxa"/>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2747" w:type="dxa"/>
          </w:tcPr>
          <w:p>
            <w:pPr>
              <w:rPr>
                <w:rFonts w:hint="eastAsia" w:ascii="宋体" w:hAnsi="宋体" w:eastAsia="宋体" w:cs="宋体"/>
                <w:sz w:val="24"/>
                <w:szCs w:val="24"/>
              </w:rPr>
            </w:pPr>
            <w:r>
              <w:rPr>
                <w:rFonts w:hint="eastAsia" w:ascii="宋体" w:hAnsi="宋体" w:eastAsia="宋体" w:cs="宋体"/>
                <w:sz w:val="24"/>
                <w:szCs w:val="24"/>
              </w:rPr>
              <w:t>系统全文检索功能</w:t>
            </w:r>
          </w:p>
        </w:tc>
        <w:tc>
          <w:tcPr>
            <w:tcW w:w="5623" w:type="dxa"/>
          </w:tcPr>
          <w:p>
            <w:pPr>
              <w:rPr>
                <w:rFonts w:hint="eastAsia" w:ascii="宋体" w:hAnsi="宋体" w:eastAsia="宋体" w:cs="宋体"/>
                <w:spacing w:val="-6"/>
                <w:sz w:val="24"/>
                <w:szCs w:val="24"/>
              </w:rPr>
            </w:pPr>
            <w:r>
              <w:rPr>
                <w:rFonts w:hint="eastAsia" w:ascii="宋体" w:hAnsi="宋体" w:eastAsia="宋体" w:cs="宋体"/>
                <w:spacing w:val="-6"/>
                <w:sz w:val="24"/>
                <w:szCs w:val="24"/>
              </w:rPr>
              <w:t>4、要求平台支持全文检索功能，可对报警信息、配置信息、日志信息等按内容建立全文索引，支持按关键字查找相关内容。提供综合展示界面，检索全部信息,可综合系统信息，软件信息，报警信息，笔记信息，日志信息等进行关键词综合搜索，帮助医院进行信息定位。</w:t>
            </w:r>
          </w:p>
          <w:p>
            <w:pPr>
              <w:rPr>
                <w:rFonts w:hint="eastAsia" w:ascii="宋体" w:hAnsi="宋体" w:eastAsia="宋体" w:cs="宋体"/>
                <w:spacing w:val="-6"/>
                <w:sz w:val="24"/>
                <w:szCs w:val="24"/>
              </w:rPr>
            </w:pPr>
            <w:r>
              <w:rPr>
                <w:rFonts w:hint="eastAsia" w:ascii="宋体" w:hAnsi="宋体" w:eastAsia="宋体" w:cs="宋体"/>
                <w:b/>
                <w:bCs/>
                <w:spacing w:val="-6"/>
                <w:sz w:val="24"/>
                <w:szCs w:val="24"/>
              </w:rPr>
              <w:t>要求提供截图等相关证明材料。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atLeast"/>
        </w:trPr>
        <w:tc>
          <w:tcPr>
            <w:tcW w:w="848" w:type="dxa"/>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2747" w:type="dxa"/>
          </w:tcPr>
          <w:p>
            <w:pPr>
              <w:rPr>
                <w:rFonts w:hint="eastAsia" w:ascii="宋体" w:hAnsi="宋体" w:eastAsia="宋体" w:cs="宋体"/>
                <w:sz w:val="24"/>
                <w:szCs w:val="24"/>
              </w:rPr>
            </w:pPr>
            <w:r>
              <w:rPr>
                <w:rFonts w:hint="eastAsia" w:ascii="宋体" w:hAnsi="宋体" w:eastAsia="宋体" w:cs="宋体"/>
                <w:sz w:val="24"/>
                <w:szCs w:val="24"/>
              </w:rPr>
              <w:t>业务监控及下钻分析</w:t>
            </w:r>
          </w:p>
        </w:tc>
        <w:tc>
          <w:tcPr>
            <w:tcW w:w="5623" w:type="dxa"/>
          </w:tcPr>
          <w:p>
            <w:pPr>
              <w:rPr>
                <w:rFonts w:hint="eastAsia" w:ascii="宋体" w:hAnsi="宋体" w:eastAsia="宋体" w:cs="宋体"/>
                <w:sz w:val="24"/>
                <w:szCs w:val="24"/>
              </w:rPr>
            </w:pPr>
            <w:r>
              <w:rPr>
                <w:rFonts w:hint="eastAsia" w:ascii="宋体" w:hAnsi="宋体" w:eastAsia="宋体" w:cs="宋体"/>
                <w:spacing w:val="-6"/>
                <w:sz w:val="24"/>
                <w:szCs w:val="24"/>
              </w:rPr>
              <w:t>5、</w:t>
            </w:r>
            <w:r>
              <w:rPr>
                <w:rFonts w:hint="eastAsia" w:ascii="宋体" w:hAnsi="宋体" w:eastAsia="宋体" w:cs="宋体"/>
                <w:sz w:val="24"/>
                <w:szCs w:val="24"/>
              </w:rPr>
              <w:t>要求平台提供对全院业务系统健康状况报警、提醒、正常的直观展示，支持对业务报警进行逐层下钻；支持以业务拓扑图方式展示报警信息；要求提供对业务所关联服务器的性能、系统、网口、配置、日志的报警展示，支持运维笔记、文档管理、及支撑业务运行的所有软硬件报警、提醒、恢复、笔记等全方位时间轴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848" w:type="dxa"/>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2747" w:type="dxa"/>
          </w:tcPr>
          <w:p>
            <w:pPr>
              <w:rPr>
                <w:rFonts w:hint="eastAsia" w:ascii="宋体" w:hAnsi="宋体" w:eastAsia="宋体" w:cs="宋体"/>
                <w:sz w:val="24"/>
                <w:szCs w:val="24"/>
              </w:rPr>
            </w:pPr>
            <w:r>
              <w:rPr>
                <w:rFonts w:hint="eastAsia" w:ascii="宋体" w:hAnsi="宋体" w:eastAsia="宋体" w:cs="宋体"/>
                <w:sz w:val="24"/>
                <w:szCs w:val="24"/>
              </w:rPr>
              <w:t>责任到人巡检管理体系</w:t>
            </w:r>
          </w:p>
        </w:tc>
        <w:tc>
          <w:tcPr>
            <w:tcW w:w="5623" w:type="dxa"/>
          </w:tcPr>
          <w:p>
            <w:pPr>
              <w:rPr>
                <w:rFonts w:hint="eastAsia" w:ascii="宋体" w:hAnsi="宋体" w:eastAsia="宋体" w:cs="宋体"/>
                <w:spacing w:val="-6"/>
                <w:sz w:val="24"/>
                <w:szCs w:val="24"/>
              </w:rPr>
            </w:pPr>
            <w:r>
              <w:rPr>
                <w:rFonts w:hint="eastAsia" w:ascii="宋体" w:hAnsi="宋体" w:eastAsia="宋体" w:cs="宋体"/>
                <w:spacing w:val="-6"/>
                <w:sz w:val="24"/>
                <w:szCs w:val="24"/>
              </w:rPr>
              <w:t>6、要求平台支持网格化巡检功能，支持“谁的业务谁负责巡检”的管理体系，支持巡检内容、频度的自定义配置；系统自动生成巡检计划，巡检结果自动生成，只需人工核实，完成巡检，管理者即可直观了解巡检情况及健康度。</w:t>
            </w:r>
          </w:p>
          <w:p>
            <w:pPr>
              <w:rPr>
                <w:rFonts w:hint="eastAsia" w:ascii="宋体" w:hAnsi="宋体" w:eastAsia="宋体" w:cs="宋体"/>
                <w:b/>
                <w:bCs/>
                <w:spacing w:val="-6"/>
                <w:sz w:val="24"/>
                <w:szCs w:val="24"/>
              </w:rPr>
            </w:pPr>
            <w:r>
              <w:rPr>
                <w:rFonts w:hint="eastAsia" w:ascii="宋体" w:hAnsi="宋体" w:eastAsia="宋体" w:cs="宋体"/>
                <w:b/>
                <w:bCs/>
                <w:spacing w:val="-6"/>
                <w:sz w:val="24"/>
                <w:szCs w:val="24"/>
              </w:rPr>
              <w:t>要求提供截图等相关证明材料。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trPr>
        <w:tc>
          <w:tcPr>
            <w:tcW w:w="848" w:type="dxa"/>
          </w:tcPr>
          <w:p>
            <w:pPr>
              <w:jc w:val="center"/>
              <w:rPr>
                <w:rFonts w:hint="eastAsia" w:ascii="宋体" w:hAnsi="宋体" w:eastAsia="宋体" w:cs="宋体"/>
                <w:sz w:val="24"/>
                <w:szCs w:val="24"/>
              </w:rPr>
            </w:pPr>
            <w:r>
              <w:rPr>
                <w:rFonts w:hint="eastAsia" w:ascii="宋体" w:hAnsi="宋体" w:eastAsia="宋体" w:cs="宋体"/>
                <w:sz w:val="24"/>
                <w:szCs w:val="24"/>
              </w:rPr>
              <w:t>7</w:t>
            </w:r>
          </w:p>
        </w:tc>
        <w:tc>
          <w:tcPr>
            <w:tcW w:w="2747" w:type="dxa"/>
          </w:tcPr>
          <w:p>
            <w:pPr>
              <w:rPr>
                <w:rFonts w:hint="eastAsia" w:ascii="宋体" w:hAnsi="宋体" w:eastAsia="宋体" w:cs="宋体"/>
                <w:sz w:val="24"/>
                <w:szCs w:val="24"/>
              </w:rPr>
            </w:pPr>
            <w:r>
              <w:rPr>
                <w:rFonts w:hint="eastAsia" w:ascii="宋体" w:hAnsi="宋体" w:eastAsia="宋体" w:cs="宋体"/>
                <w:sz w:val="24"/>
                <w:szCs w:val="24"/>
              </w:rPr>
              <w:t>资源预期预判功能</w:t>
            </w:r>
          </w:p>
        </w:tc>
        <w:tc>
          <w:tcPr>
            <w:tcW w:w="5623" w:type="dxa"/>
          </w:tcPr>
          <w:p>
            <w:pPr>
              <w:rPr>
                <w:rFonts w:hint="eastAsia" w:ascii="宋体" w:hAnsi="宋体" w:eastAsia="宋体" w:cs="宋体"/>
                <w:sz w:val="24"/>
                <w:szCs w:val="24"/>
              </w:rPr>
            </w:pPr>
            <w:r>
              <w:rPr>
                <w:rFonts w:hint="eastAsia" w:ascii="宋体" w:hAnsi="宋体" w:eastAsia="宋体" w:cs="宋体"/>
                <w:sz w:val="24"/>
                <w:szCs w:val="24"/>
              </w:rPr>
              <w:t>▲ 7、要求平台支持对Windows、Linux磁盘空间、Oracle表空间、ASM共享存储空间预计用完日期的预期预判，同时平台支持对空间用尽剩余天数，做报警提醒。</w:t>
            </w:r>
          </w:p>
          <w:p>
            <w:pPr>
              <w:rPr>
                <w:rFonts w:hint="eastAsia" w:ascii="宋体" w:hAnsi="宋体" w:eastAsia="宋体" w:cs="宋体"/>
                <w:sz w:val="24"/>
                <w:szCs w:val="24"/>
              </w:rPr>
            </w:pPr>
            <w:r>
              <w:rPr>
                <w:rFonts w:hint="eastAsia" w:ascii="宋体" w:hAnsi="宋体" w:eastAsia="宋体" w:cs="宋体"/>
                <w:b/>
                <w:bCs/>
                <w:spacing w:val="-6"/>
                <w:sz w:val="24"/>
                <w:szCs w:val="24"/>
              </w:rPr>
              <w:t>要求提供截图等相关证明材料。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848" w:type="dxa"/>
          </w:tcPr>
          <w:p>
            <w:pPr>
              <w:jc w:val="center"/>
              <w:rPr>
                <w:rFonts w:hint="eastAsia" w:ascii="宋体" w:hAnsi="宋体" w:eastAsia="宋体" w:cs="宋体"/>
                <w:sz w:val="24"/>
                <w:szCs w:val="24"/>
              </w:rPr>
            </w:pPr>
            <w:r>
              <w:rPr>
                <w:rFonts w:hint="eastAsia" w:ascii="宋体" w:hAnsi="宋体" w:eastAsia="宋体" w:cs="宋体"/>
                <w:sz w:val="24"/>
                <w:szCs w:val="24"/>
              </w:rPr>
              <w:t>8</w:t>
            </w:r>
          </w:p>
        </w:tc>
        <w:tc>
          <w:tcPr>
            <w:tcW w:w="2747" w:type="dxa"/>
          </w:tcPr>
          <w:p>
            <w:pPr>
              <w:rPr>
                <w:rFonts w:hint="eastAsia" w:ascii="宋体" w:hAnsi="宋体" w:eastAsia="宋体" w:cs="宋体"/>
                <w:sz w:val="24"/>
                <w:szCs w:val="24"/>
              </w:rPr>
            </w:pPr>
            <w:r>
              <w:rPr>
                <w:rFonts w:hint="eastAsia" w:ascii="宋体" w:hAnsi="宋体" w:eastAsia="宋体" w:cs="宋体"/>
                <w:sz w:val="24"/>
                <w:szCs w:val="24"/>
              </w:rPr>
              <w:t>资源分配合理度分析</w:t>
            </w:r>
          </w:p>
        </w:tc>
        <w:tc>
          <w:tcPr>
            <w:tcW w:w="5623" w:type="dxa"/>
          </w:tcPr>
          <w:p>
            <w:pPr>
              <w:rPr>
                <w:rFonts w:hint="eastAsia" w:ascii="宋体" w:hAnsi="宋体" w:eastAsia="宋体" w:cs="宋体"/>
                <w:spacing w:val="-6"/>
                <w:sz w:val="24"/>
                <w:szCs w:val="24"/>
              </w:rPr>
            </w:pPr>
            <w:r>
              <w:rPr>
                <w:rFonts w:hint="eastAsia" w:ascii="宋体" w:hAnsi="宋体" w:eastAsia="宋体" w:cs="宋体"/>
                <w:sz w:val="24"/>
                <w:szCs w:val="24"/>
              </w:rPr>
              <w:t xml:space="preserve">▲ </w:t>
            </w:r>
            <w:r>
              <w:rPr>
                <w:rFonts w:hint="eastAsia" w:ascii="宋体" w:hAnsi="宋体" w:eastAsia="宋体" w:cs="宋体"/>
                <w:spacing w:val="-6"/>
                <w:sz w:val="24"/>
                <w:szCs w:val="24"/>
              </w:rPr>
              <w:t>8、要求平台提供全网服务器、虚拟机资源的CPU、内存、硬盘资源的分配情况及分配合理度进行分析，同时支持台账导出功能。</w:t>
            </w:r>
          </w:p>
          <w:p>
            <w:pPr>
              <w:rPr>
                <w:rFonts w:hint="eastAsia" w:ascii="宋体" w:hAnsi="宋体" w:eastAsia="宋体" w:cs="宋体"/>
                <w:spacing w:val="-6"/>
                <w:sz w:val="24"/>
                <w:szCs w:val="24"/>
              </w:rPr>
            </w:pPr>
            <w:r>
              <w:rPr>
                <w:rFonts w:hint="eastAsia" w:ascii="宋体" w:hAnsi="宋体" w:eastAsia="宋体" w:cs="宋体"/>
                <w:b/>
                <w:bCs/>
                <w:spacing w:val="-6"/>
                <w:sz w:val="24"/>
                <w:szCs w:val="24"/>
              </w:rPr>
              <w:t>要求提供截图等相关证明材料。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848" w:type="dxa"/>
          </w:tcPr>
          <w:p>
            <w:pPr>
              <w:jc w:val="center"/>
              <w:rPr>
                <w:rFonts w:hint="eastAsia" w:ascii="宋体" w:hAnsi="宋体" w:eastAsia="宋体" w:cs="宋体"/>
                <w:sz w:val="24"/>
                <w:szCs w:val="24"/>
              </w:rPr>
            </w:pPr>
            <w:r>
              <w:rPr>
                <w:rFonts w:hint="eastAsia" w:ascii="宋体" w:hAnsi="宋体" w:eastAsia="宋体" w:cs="宋体"/>
                <w:sz w:val="24"/>
                <w:szCs w:val="24"/>
              </w:rPr>
              <w:t>9</w:t>
            </w:r>
          </w:p>
        </w:tc>
        <w:tc>
          <w:tcPr>
            <w:tcW w:w="2747" w:type="dxa"/>
          </w:tcPr>
          <w:p>
            <w:pPr>
              <w:rPr>
                <w:rFonts w:hint="eastAsia" w:ascii="宋体" w:hAnsi="宋体" w:eastAsia="宋体" w:cs="宋体"/>
                <w:sz w:val="24"/>
                <w:szCs w:val="24"/>
              </w:rPr>
            </w:pPr>
            <w:r>
              <w:rPr>
                <w:rFonts w:hint="eastAsia" w:ascii="宋体" w:hAnsi="宋体" w:eastAsia="宋体" w:cs="宋体"/>
                <w:sz w:val="24"/>
                <w:szCs w:val="24"/>
              </w:rPr>
              <w:t>业务健康度分析报告</w:t>
            </w:r>
          </w:p>
        </w:tc>
        <w:tc>
          <w:tcPr>
            <w:tcW w:w="5623" w:type="dxa"/>
          </w:tcPr>
          <w:p>
            <w:pPr>
              <w:rPr>
                <w:rFonts w:hint="eastAsia" w:ascii="宋体" w:hAnsi="宋体" w:eastAsia="宋体" w:cs="宋体"/>
                <w:sz w:val="24"/>
                <w:szCs w:val="24"/>
              </w:rPr>
            </w:pPr>
            <w:r>
              <w:rPr>
                <w:rFonts w:hint="eastAsia" w:ascii="宋体" w:hAnsi="宋体" w:eastAsia="宋体" w:cs="宋体"/>
                <w:spacing w:val="-6"/>
                <w:sz w:val="24"/>
                <w:szCs w:val="24"/>
              </w:rPr>
              <w:t>9、</w:t>
            </w:r>
            <w:r>
              <w:rPr>
                <w:rFonts w:hint="eastAsia" w:ascii="宋体" w:hAnsi="宋体" w:eastAsia="宋体" w:cs="宋体"/>
                <w:sz w:val="24"/>
                <w:szCs w:val="24"/>
              </w:rPr>
              <w:t>要求平台支持自定义生成一段时间内业务系统运行的健康度分析报告，包括资源分配的合理度、报警分析、业务可用性监控分析等，同时支持导出为PDF文件。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848" w:type="dxa"/>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2747" w:type="dxa"/>
          </w:tcPr>
          <w:p>
            <w:pPr>
              <w:rPr>
                <w:rFonts w:hint="eastAsia" w:ascii="宋体" w:hAnsi="宋体" w:eastAsia="宋体" w:cs="宋体"/>
                <w:sz w:val="24"/>
                <w:szCs w:val="24"/>
              </w:rPr>
            </w:pPr>
            <w:r>
              <w:rPr>
                <w:rFonts w:hint="eastAsia" w:ascii="宋体" w:hAnsi="宋体" w:eastAsia="宋体" w:cs="宋体"/>
                <w:sz w:val="24"/>
                <w:szCs w:val="24"/>
              </w:rPr>
              <w:t>完善的设备速查功能</w:t>
            </w:r>
          </w:p>
        </w:tc>
        <w:tc>
          <w:tcPr>
            <w:tcW w:w="5623" w:type="dxa"/>
          </w:tcPr>
          <w:p>
            <w:pPr>
              <w:rPr>
                <w:rFonts w:hint="eastAsia" w:ascii="宋体" w:hAnsi="宋体" w:eastAsia="宋体" w:cs="宋体"/>
                <w:spacing w:val="-6"/>
                <w:sz w:val="24"/>
                <w:szCs w:val="24"/>
              </w:rPr>
            </w:pPr>
            <w:r>
              <w:rPr>
                <w:rFonts w:hint="eastAsia" w:ascii="宋体" w:hAnsi="宋体" w:eastAsia="宋体" w:cs="宋体"/>
                <w:spacing w:val="-6"/>
                <w:sz w:val="24"/>
                <w:szCs w:val="24"/>
              </w:rPr>
              <w:t>10、要求平台支持设备速查功能，可以快速查询单台服务器的资源配置情况、使用情况、合理度分析三个维度在同一个页面内的直观对比展示，支持对CPU、内存性能昨日、今日、近一周平均的三线环比对照分析，支持对服务器报警情况进行日度/月度的环比对照，以及该服务器近一周报警类型占比情况的分析。</w:t>
            </w:r>
          </w:p>
          <w:p>
            <w:pPr>
              <w:rPr>
                <w:rFonts w:hint="eastAsia" w:ascii="宋体" w:hAnsi="宋体" w:eastAsia="宋体" w:cs="宋体"/>
                <w:spacing w:val="-6"/>
                <w:sz w:val="24"/>
                <w:szCs w:val="24"/>
              </w:rPr>
            </w:pPr>
            <w:r>
              <w:rPr>
                <w:rFonts w:hint="eastAsia" w:ascii="宋体" w:hAnsi="宋体" w:eastAsia="宋体" w:cs="宋体"/>
                <w:b/>
                <w:bCs/>
                <w:spacing w:val="-6"/>
                <w:sz w:val="24"/>
                <w:szCs w:val="24"/>
              </w:rPr>
              <w:t>要求提供截图等相关证明材料。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848" w:type="dxa"/>
          </w:tcPr>
          <w:p>
            <w:pPr>
              <w:jc w:val="center"/>
              <w:rPr>
                <w:rFonts w:hint="eastAsia" w:ascii="宋体" w:hAnsi="宋体" w:eastAsia="宋体" w:cs="宋体"/>
                <w:sz w:val="24"/>
                <w:szCs w:val="24"/>
              </w:rPr>
            </w:pPr>
            <w:r>
              <w:rPr>
                <w:rFonts w:hint="eastAsia" w:ascii="宋体" w:hAnsi="宋体" w:eastAsia="宋体" w:cs="宋体"/>
                <w:sz w:val="24"/>
                <w:szCs w:val="24"/>
              </w:rPr>
              <w:t>11</w:t>
            </w:r>
          </w:p>
        </w:tc>
        <w:tc>
          <w:tcPr>
            <w:tcW w:w="2747" w:type="dxa"/>
          </w:tcPr>
          <w:p>
            <w:pPr>
              <w:rPr>
                <w:rFonts w:hint="eastAsia" w:ascii="宋体" w:hAnsi="宋体" w:eastAsia="宋体" w:cs="宋体"/>
                <w:sz w:val="24"/>
                <w:szCs w:val="24"/>
              </w:rPr>
            </w:pPr>
            <w:r>
              <w:rPr>
                <w:rFonts w:hint="eastAsia" w:ascii="宋体" w:hAnsi="宋体" w:eastAsia="宋体" w:cs="宋体"/>
                <w:sz w:val="24"/>
                <w:szCs w:val="24"/>
              </w:rPr>
              <w:t>重要端口服务进程监控</w:t>
            </w:r>
          </w:p>
        </w:tc>
        <w:tc>
          <w:tcPr>
            <w:tcW w:w="5623" w:type="dxa"/>
          </w:tcPr>
          <w:p>
            <w:pPr>
              <w:rPr>
                <w:rFonts w:hint="eastAsia" w:ascii="宋体" w:hAnsi="宋体" w:eastAsia="宋体" w:cs="宋体"/>
                <w:sz w:val="24"/>
                <w:szCs w:val="24"/>
              </w:rPr>
            </w:pPr>
            <w:r>
              <w:rPr>
                <w:rFonts w:hint="eastAsia" w:ascii="宋体" w:hAnsi="宋体" w:eastAsia="宋体" w:cs="宋体"/>
                <w:spacing w:val="-6"/>
                <w:sz w:val="24"/>
                <w:szCs w:val="24"/>
              </w:rPr>
              <w:t>11、</w:t>
            </w:r>
            <w:r>
              <w:rPr>
                <w:rFonts w:hint="eastAsia" w:ascii="宋体" w:hAnsi="宋体" w:eastAsia="宋体" w:cs="宋体"/>
                <w:sz w:val="24"/>
                <w:szCs w:val="24"/>
              </w:rPr>
              <w:t>要求平台支持对支撑业务系统正常运行的重要端口、服务、进程的可用性进行监控。当状态出现异常时，第一时间发出报警信息。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1" w:hRule="atLeast"/>
        </w:trPr>
        <w:tc>
          <w:tcPr>
            <w:tcW w:w="848" w:type="dxa"/>
          </w:tcPr>
          <w:p>
            <w:pPr>
              <w:jc w:val="center"/>
              <w:rPr>
                <w:rFonts w:hint="eastAsia" w:ascii="宋体" w:hAnsi="宋体" w:eastAsia="宋体" w:cs="宋体"/>
                <w:sz w:val="24"/>
                <w:szCs w:val="24"/>
              </w:rPr>
            </w:pPr>
            <w:r>
              <w:rPr>
                <w:rFonts w:hint="eastAsia" w:ascii="宋体" w:hAnsi="宋体" w:eastAsia="宋体" w:cs="宋体"/>
                <w:sz w:val="24"/>
                <w:szCs w:val="24"/>
              </w:rPr>
              <w:t>12</w:t>
            </w:r>
          </w:p>
        </w:tc>
        <w:tc>
          <w:tcPr>
            <w:tcW w:w="2747" w:type="dxa"/>
          </w:tcPr>
          <w:p>
            <w:pPr>
              <w:rPr>
                <w:rFonts w:hint="eastAsia" w:ascii="宋体" w:hAnsi="宋体" w:eastAsia="宋体" w:cs="宋体"/>
                <w:sz w:val="24"/>
                <w:szCs w:val="24"/>
              </w:rPr>
            </w:pPr>
            <w:r>
              <w:rPr>
                <w:rFonts w:hint="eastAsia" w:ascii="宋体" w:hAnsi="宋体" w:eastAsia="宋体" w:cs="宋体"/>
                <w:sz w:val="24"/>
                <w:szCs w:val="24"/>
              </w:rPr>
              <w:t>WebService接口监控</w:t>
            </w:r>
          </w:p>
        </w:tc>
        <w:tc>
          <w:tcPr>
            <w:tcW w:w="5623" w:type="dxa"/>
          </w:tcPr>
          <w:p>
            <w:pPr>
              <w:rPr>
                <w:rFonts w:hint="eastAsia" w:ascii="宋体" w:hAnsi="宋体" w:eastAsia="宋体" w:cs="宋体"/>
                <w:sz w:val="24"/>
                <w:szCs w:val="24"/>
              </w:rPr>
            </w:pPr>
            <w:bookmarkStart w:id="41" w:name="_Hlk111727361"/>
            <w:bookmarkEnd w:id="41"/>
            <w:r>
              <w:rPr>
                <w:rFonts w:hint="eastAsia" w:ascii="宋体" w:hAnsi="宋体" w:eastAsia="宋体" w:cs="宋体"/>
                <w:sz w:val="24"/>
                <w:szCs w:val="24"/>
              </w:rPr>
              <w:t>▲ 12、要求平台支持对WebService的深度监控，支持对运行于Windows操作系统IIS环境下的WebService具备自动发现机制，通过WebService调用记录自动发现WebService地址、访问者IP、调用结果、响应时长等信息，支持对Webservice调用失败率及平均调用时长分析。支持手动添加WEB地址，并对其地址访问情况进行监控。同时系统支持对WSDL地址可用性进行监控。</w:t>
            </w:r>
          </w:p>
          <w:p>
            <w:pPr>
              <w:rPr>
                <w:rFonts w:hint="eastAsia" w:ascii="宋体" w:hAnsi="宋体" w:eastAsia="宋体" w:cs="宋体"/>
                <w:b/>
                <w:bCs/>
                <w:spacing w:val="-6"/>
                <w:sz w:val="24"/>
                <w:szCs w:val="24"/>
              </w:rPr>
            </w:pPr>
            <w:r>
              <w:rPr>
                <w:rFonts w:hint="eastAsia" w:ascii="宋体" w:hAnsi="宋体" w:eastAsia="宋体" w:cs="宋体"/>
                <w:b/>
                <w:bCs/>
                <w:sz w:val="24"/>
                <w:szCs w:val="24"/>
              </w:rPr>
              <w:t>要求提供截图等相关证明材料。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8" w:type="dxa"/>
          </w:tcPr>
          <w:p>
            <w:pPr>
              <w:jc w:val="center"/>
              <w:rPr>
                <w:rFonts w:hint="eastAsia" w:ascii="宋体" w:hAnsi="宋体" w:eastAsia="宋体" w:cs="宋体"/>
                <w:sz w:val="24"/>
                <w:szCs w:val="24"/>
              </w:rPr>
            </w:pPr>
            <w:r>
              <w:rPr>
                <w:rFonts w:hint="eastAsia" w:ascii="宋体" w:hAnsi="宋体" w:eastAsia="宋体" w:cs="宋体"/>
                <w:sz w:val="24"/>
                <w:szCs w:val="24"/>
              </w:rPr>
              <w:t>13</w:t>
            </w:r>
          </w:p>
        </w:tc>
        <w:tc>
          <w:tcPr>
            <w:tcW w:w="2747" w:type="dxa"/>
          </w:tcPr>
          <w:p>
            <w:pPr>
              <w:rPr>
                <w:rFonts w:hint="eastAsia" w:ascii="宋体" w:hAnsi="宋体" w:eastAsia="宋体" w:cs="宋体"/>
                <w:sz w:val="24"/>
                <w:szCs w:val="24"/>
              </w:rPr>
            </w:pPr>
            <w:r>
              <w:rPr>
                <w:rFonts w:hint="eastAsia" w:ascii="宋体" w:hAnsi="宋体" w:eastAsia="宋体" w:cs="宋体"/>
                <w:sz w:val="24"/>
                <w:szCs w:val="24"/>
              </w:rPr>
              <w:t>CMDB调用链关系展示</w:t>
            </w:r>
          </w:p>
        </w:tc>
        <w:tc>
          <w:tcPr>
            <w:tcW w:w="5623" w:type="dxa"/>
          </w:tcPr>
          <w:p>
            <w:pPr>
              <w:rPr>
                <w:rFonts w:hint="eastAsia" w:ascii="宋体" w:hAnsi="宋体" w:eastAsia="宋体" w:cs="宋体"/>
                <w:spacing w:val="-6"/>
                <w:sz w:val="24"/>
                <w:szCs w:val="24"/>
              </w:rPr>
            </w:pPr>
            <w:r>
              <w:rPr>
                <w:rFonts w:hint="eastAsia" w:ascii="宋体" w:hAnsi="宋体" w:eastAsia="宋体" w:cs="宋体"/>
                <w:spacing w:val="-6"/>
                <w:sz w:val="24"/>
                <w:szCs w:val="24"/>
              </w:rPr>
              <w:t>13、要求平台支持生成端口、服务、进程的调用链，并以图形方式展示端口、服务、进程的调用关系。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1" w:hRule="atLeast"/>
        </w:trPr>
        <w:tc>
          <w:tcPr>
            <w:tcW w:w="848" w:type="dxa"/>
          </w:tcPr>
          <w:p>
            <w:pPr>
              <w:jc w:val="center"/>
              <w:rPr>
                <w:rFonts w:hint="eastAsia" w:ascii="宋体" w:hAnsi="宋体" w:eastAsia="宋体" w:cs="宋体"/>
                <w:sz w:val="24"/>
                <w:szCs w:val="24"/>
              </w:rPr>
            </w:pPr>
            <w:r>
              <w:rPr>
                <w:rFonts w:hint="eastAsia" w:ascii="宋体" w:hAnsi="宋体" w:eastAsia="宋体" w:cs="宋体"/>
                <w:sz w:val="24"/>
                <w:szCs w:val="24"/>
              </w:rPr>
              <w:t>14</w:t>
            </w:r>
          </w:p>
        </w:tc>
        <w:tc>
          <w:tcPr>
            <w:tcW w:w="2747" w:type="dxa"/>
          </w:tcPr>
          <w:p>
            <w:pPr>
              <w:rPr>
                <w:rFonts w:hint="eastAsia" w:ascii="宋体" w:hAnsi="宋体" w:eastAsia="宋体" w:cs="宋体"/>
                <w:sz w:val="24"/>
                <w:szCs w:val="24"/>
              </w:rPr>
            </w:pPr>
            <w:r>
              <w:rPr>
                <w:rFonts w:hint="eastAsia" w:ascii="宋体" w:hAnsi="宋体" w:eastAsia="宋体" w:cs="宋体"/>
                <w:sz w:val="24"/>
                <w:szCs w:val="24"/>
              </w:rPr>
              <w:t>Oracle数据库监控</w:t>
            </w:r>
          </w:p>
        </w:tc>
        <w:tc>
          <w:tcPr>
            <w:tcW w:w="5623" w:type="dxa"/>
          </w:tcPr>
          <w:p>
            <w:pPr>
              <w:rPr>
                <w:rFonts w:hint="eastAsia" w:ascii="宋体" w:hAnsi="宋体" w:eastAsia="宋体" w:cs="宋体"/>
                <w:sz w:val="24"/>
                <w:szCs w:val="24"/>
              </w:rPr>
            </w:pPr>
            <w:r>
              <w:rPr>
                <w:rFonts w:hint="eastAsia" w:ascii="宋体" w:hAnsi="宋体" w:eastAsia="宋体" w:cs="宋体"/>
                <w:sz w:val="24"/>
                <w:szCs w:val="24"/>
              </w:rPr>
              <w:t>14、要求平台支持对Oracle（含RAC）数据库的监控，包括如：数据库监听、表空间、会话、进程、阻塞、作业、RMAN、AWR、DG、SGA、实时Top SQL等的监控。支持对Oracle数据库阻塞的监控，支持对主从阻塞的识别，可定位导致阻塞的会话，及引起阻塞的SQL语句，并支持自动生成解锁命令。</w:t>
            </w:r>
          </w:p>
          <w:p>
            <w:pPr>
              <w:rPr>
                <w:rFonts w:hint="eastAsia" w:ascii="宋体" w:hAnsi="宋体" w:eastAsia="宋体" w:cs="宋体"/>
                <w:b/>
                <w:bCs/>
                <w:sz w:val="24"/>
                <w:szCs w:val="24"/>
              </w:rPr>
            </w:pPr>
            <w:r>
              <w:rPr>
                <w:rFonts w:hint="eastAsia" w:ascii="宋体" w:hAnsi="宋体" w:eastAsia="宋体" w:cs="宋体"/>
                <w:b/>
                <w:bCs/>
                <w:sz w:val="24"/>
                <w:szCs w:val="24"/>
              </w:rPr>
              <w:t>要求提供截图等相关证明材料。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trPr>
        <w:tc>
          <w:tcPr>
            <w:tcW w:w="848" w:type="dxa"/>
          </w:tcPr>
          <w:p>
            <w:pPr>
              <w:jc w:val="center"/>
              <w:rPr>
                <w:rFonts w:hint="eastAsia" w:ascii="宋体" w:hAnsi="宋体" w:eastAsia="宋体" w:cs="宋体"/>
                <w:sz w:val="24"/>
                <w:szCs w:val="24"/>
              </w:rPr>
            </w:pPr>
            <w:r>
              <w:rPr>
                <w:rFonts w:hint="eastAsia" w:ascii="宋体" w:hAnsi="宋体" w:eastAsia="宋体" w:cs="宋体"/>
                <w:sz w:val="24"/>
                <w:szCs w:val="24"/>
              </w:rPr>
              <w:t>15</w:t>
            </w:r>
          </w:p>
        </w:tc>
        <w:tc>
          <w:tcPr>
            <w:tcW w:w="2747" w:type="dxa"/>
          </w:tcPr>
          <w:p>
            <w:pPr>
              <w:rPr>
                <w:rFonts w:hint="eastAsia" w:ascii="宋体" w:hAnsi="宋体" w:eastAsia="宋体" w:cs="宋体"/>
                <w:sz w:val="24"/>
                <w:szCs w:val="24"/>
              </w:rPr>
            </w:pPr>
            <w:r>
              <w:rPr>
                <w:rFonts w:hint="eastAsia" w:ascii="宋体" w:hAnsi="宋体" w:eastAsia="宋体" w:cs="宋体"/>
                <w:sz w:val="24"/>
                <w:szCs w:val="24"/>
              </w:rPr>
              <w:t>Caché数据库监控</w:t>
            </w:r>
          </w:p>
        </w:tc>
        <w:tc>
          <w:tcPr>
            <w:tcW w:w="5623" w:type="dxa"/>
          </w:tcPr>
          <w:p>
            <w:pPr>
              <w:rPr>
                <w:rFonts w:hint="eastAsia" w:ascii="宋体" w:hAnsi="宋体" w:eastAsia="宋体" w:cs="宋体"/>
                <w:sz w:val="24"/>
                <w:szCs w:val="24"/>
              </w:rPr>
            </w:pPr>
            <w:r>
              <w:rPr>
                <w:rFonts w:hint="eastAsia" w:ascii="宋体" w:hAnsi="宋体" w:eastAsia="宋体" w:cs="宋体"/>
                <w:sz w:val="24"/>
                <w:szCs w:val="24"/>
              </w:rPr>
              <w:t>▲ 15、要求平台支持对Intersystem Caché数据库的监控，包括总览、连通性、License、连接数、性能、共享内存、ECP、数据库、锁、CSP会话、Journal、备份、报警等的监控。</w:t>
            </w:r>
          </w:p>
          <w:p>
            <w:pPr>
              <w:rPr>
                <w:rFonts w:hint="eastAsia" w:ascii="宋体" w:hAnsi="宋体" w:eastAsia="宋体" w:cs="宋体"/>
                <w:b/>
                <w:bCs/>
                <w:sz w:val="24"/>
                <w:szCs w:val="24"/>
              </w:rPr>
            </w:pPr>
            <w:r>
              <w:rPr>
                <w:rFonts w:hint="eastAsia" w:ascii="宋体" w:hAnsi="宋体" w:eastAsia="宋体" w:cs="宋体"/>
                <w:b/>
                <w:bCs/>
                <w:sz w:val="24"/>
                <w:szCs w:val="24"/>
              </w:rPr>
              <w:t>要求提供截图等相关证明材料。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1" w:hRule="atLeast"/>
        </w:trPr>
        <w:tc>
          <w:tcPr>
            <w:tcW w:w="848" w:type="dxa"/>
          </w:tcPr>
          <w:p>
            <w:pPr>
              <w:jc w:val="center"/>
              <w:rPr>
                <w:rFonts w:hint="eastAsia" w:ascii="宋体" w:hAnsi="宋体" w:eastAsia="宋体" w:cs="宋体"/>
                <w:sz w:val="24"/>
                <w:szCs w:val="24"/>
              </w:rPr>
            </w:pPr>
            <w:r>
              <w:rPr>
                <w:rFonts w:hint="eastAsia" w:ascii="宋体" w:hAnsi="宋体" w:eastAsia="宋体" w:cs="宋体"/>
                <w:sz w:val="24"/>
                <w:szCs w:val="24"/>
              </w:rPr>
              <w:t>16</w:t>
            </w:r>
          </w:p>
        </w:tc>
        <w:tc>
          <w:tcPr>
            <w:tcW w:w="2747" w:type="dxa"/>
          </w:tcPr>
          <w:p>
            <w:pPr>
              <w:rPr>
                <w:rFonts w:hint="eastAsia" w:ascii="宋体" w:hAnsi="宋体" w:eastAsia="宋体" w:cs="宋体"/>
                <w:sz w:val="24"/>
                <w:szCs w:val="24"/>
              </w:rPr>
            </w:pPr>
            <w:r>
              <w:rPr>
                <w:rFonts w:hint="eastAsia" w:ascii="宋体" w:hAnsi="宋体" w:eastAsia="宋体" w:cs="宋体"/>
                <w:sz w:val="24"/>
                <w:szCs w:val="24"/>
              </w:rPr>
              <w:t>MS SQL Server监控</w:t>
            </w:r>
          </w:p>
        </w:tc>
        <w:tc>
          <w:tcPr>
            <w:tcW w:w="5623" w:type="dxa"/>
          </w:tcPr>
          <w:p>
            <w:pPr>
              <w:rPr>
                <w:rFonts w:hint="eastAsia" w:ascii="宋体" w:hAnsi="宋体" w:eastAsia="宋体" w:cs="宋体"/>
                <w:sz w:val="24"/>
                <w:szCs w:val="24"/>
              </w:rPr>
            </w:pPr>
            <w:r>
              <w:rPr>
                <w:rFonts w:hint="eastAsia" w:ascii="宋体" w:hAnsi="宋体" w:eastAsia="宋体" w:cs="宋体"/>
                <w:sz w:val="24"/>
                <w:szCs w:val="24"/>
              </w:rPr>
              <w:t>16、要求平台支持对MS SQL Server数据库的监控，如：连通性、数据库文件、备份、阻塞、锁表、作业、会话等监控；提供对MS SQL Server数据库的查询统计功能，可对数据库近期执行的 SQL 语句按照执行次数、执行时长进行统计汇总，并以图表形式展现。支持对MS SQL SERVER数据库阻塞/锁表的监控，实现对主从阻塞的识别，支持定位导致阻塞的会话情况，及引起锁表的SQL语句，并可自动生成解锁命令。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48" w:type="dxa"/>
          </w:tcPr>
          <w:p>
            <w:pPr>
              <w:jc w:val="center"/>
              <w:rPr>
                <w:rFonts w:hint="eastAsia" w:ascii="宋体" w:hAnsi="宋体" w:eastAsia="宋体" w:cs="宋体"/>
                <w:sz w:val="24"/>
                <w:szCs w:val="24"/>
              </w:rPr>
            </w:pPr>
            <w:r>
              <w:rPr>
                <w:rFonts w:hint="eastAsia" w:ascii="宋体" w:hAnsi="宋体" w:eastAsia="宋体" w:cs="宋体"/>
                <w:sz w:val="24"/>
                <w:szCs w:val="24"/>
              </w:rPr>
              <w:t>17</w:t>
            </w:r>
          </w:p>
        </w:tc>
        <w:tc>
          <w:tcPr>
            <w:tcW w:w="2747" w:type="dxa"/>
          </w:tcPr>
          <w:p>
            <w:pPr>
              <w:rPr>
                <w:rFonts w:hint="eastAsia" w:ascii="宋体" w:hAnsi="宋体" w:eastAsia="宋体" w:cs="宋体"/>
                <w:sz w:val="24"/>
                <w:szCs w:val="24"/>
              </w:rPr>
            </w:pPr>
            <w:r>
              <w:rPr>
                <w:rFonts w:hint="eastAsia" w:ascii="宋体" w:hAnsi="宋体" w:eastAsia="宋体" w:cs="宋体"/>
                <w:sz w:val="24"/>
                <w:szCs w:val="24"/>
              </w:rPr>
              <w:t>网络设备监控</w:t>
            </w:r>
          </w:p>
        </w:tc>
        <w:tc>
          <w:tcPr>
            <w:tcW w:w="5623" w:type="dxa"/>
          </w:tcPr>
          <w:p>
            <w:pPr>
              <w:rPr>
                <w:rFonts w:hint="eastAsia" w:ascii="宋体" w:hAnsi="宋体" w:eastAsia="宋体" w:cs="宋体"/>
                <w:sz w:val="24"/>
                <w:szCs w:val="24"/>
              </w:rPr>
            </w:pPr>
            <w:r>
              <w:rPr>
                <w:rFonts w:hint="eastAsia" w:ascii="宋体" w:hAnsi="宋体" w:eastAsia="宋体" w:cs="宋体"/>
                <w:sz w:val="24"/>
                <w:szCs w:val="24"/>
              </w:rPr>
              <w:t>17、要求平台支持SNMP V1/V2/V3版本的兼容。要求平台支持对核心、汇聚、接入层交换机的网络拓扑（包含子拓扑）的自动发现、自动生成拓扑图功能，及端口流量、链路聚合、设备堆叠、网络设备硬件级及系统级的监控功能、以及网络设备配置信息的自动备份功能。以及针对重要端口（级连端口或其他重要端口）可以手动添加监控信息，如果出现重要端口连接中断可及时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atLeast"/>
        </w:trPr>
        <w:tc>
          <w:tcPr>
            <w:tcW w:w="848" w:type="dxa"/>
          </w:tcPr>
          <w:p>
            <w:pPr>
              <w:jc w:val="center"/>
              <w:rPr>
                <w:rFonts w:hint="eastAsia" w:ascii="宋体" w:hAnsi="宋体" w:eastAsia="宋体" w:cs="宋体"/>
                <w:sz w:val="24"/>
                <w:szCs w:val="24"/>
              </w:rPr>
            </w:pPr>
            <w:r>
              <w:rPr>
                <w:rFonts w:hint="eastAsia" w:ascii="宋体" w:hAnsi="宋体" w:eastAsia="宋体" w:cs="宋体"/>
                <w:sz w:val="24"/>
                <w:szCs w:val="24"/>
              </w:rPr>
              <w:t>18</w:t>
            </w:r>
          </w:p>
        </w:tc>
        <w:tc>
          <w:tcPr>
            <w:tcW w:w="2747" w:type="dxa"/>
          </w:tcPr>
          <w:p>
            <w:pPr>
              <w:rPr>
                <w:rFonts w:hint="eastAsia" w:ascii="宋体" w:hAnsi="宋体" w:eastAsia="宋体" w:cs="宋体"/>
                <w:sz w:val="24"/>
                <w:szCs w:val="24"/>
              </w:rPr>
            </w:pPr>
            <w:r>
              <w:rPr>
                <w:rFonts w:hint="eastAsia" w:ascii="宋体" w:hAnsi="宋体" w:eastAsia="宋体" w:cs="宋体"/>
                <w:sz w:val="24"/>
                <w:szCs w:val="24"/>
              </w:rPr>
              <w:t>服务器存储监控</w:t>
            </w:r>
          </w:p>
        </w:tc>
        <w:tc>
          <w:tcPr>
            <w:tcW w:w="5623" w:type="dxa"/>
          </w:tcPr>
          <w:p>
            <w:pPr>
              <w:rPr>
                <w:rFonts w:hint="eastAsia" w:ascii="宋体" w:hAnsi="宋体" w:eastAsia="宋体" w:cs="宋体"/>
                <w:sz w:val="24"/>
                <w:szCs w:val="24"/>
              </w:rPr>
            </w:pPr>
            <w:r>
              <w:rPr>
                <w:rFonts w:hint="eastAsia" w:ascii="宋体" w:hAnsi="宋体" w:eastAsia="宋体" w:cs="宋体"/>
                <w:sz w:val="24"/>
                <w:szCs w:val="24"/>
              </w:rPr>
              <w:t>18、要求平台能够提供适配业界常见的X86服务器、小型机、存储的带外管理口（即IPMI）的监控，以实现对物理服务器、存储设备的硬件状态监控，包括：电源、风扇、磁盘、内存、处理器、温度、全局健康等指标项的统一监控，出现异常时自动报警。同时，要求平台可监控服务器磁盘吞吐量与磁盘IOPS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848" w:type="dxa"/>
          </w:tcPr>
          <w:p>
            <w:pPr>
              <w:jc w:val="center"/>
              <w:rPr>
                <w:rFonts w:hint="eastAsia" w:ascii="宋体" w:hAnsi="宋体" w:eastAsia="宋体" w:cs="宋体"/>
                <w:sz w:val="24"/>
                <w:szCs w:val="24"/>
              </w:rPr>
            </w:pPr>
            <w:r>
              <w:rPr>
                <w:rFonts w:hint="eastAsia" w:ascii="宋体" w:hAnsi="宋体" w:eastAsia="宋体" w:cs="宋体"/>
                <w:sz w:val="24"/>
                <w:szCs w:val="24"/>
              </w:rPr>
              <w:t>19</w:t>
            </w:r>
          </w:p>
        </w:tc>
        <w:tc>
          <w:tcPr>
            <w:tcW w:w="2747" w:type="dxa"/>
          </w:tcPr>
          <w:p>
            <w:pPr>
              <w:rPr>
                <w:rFonts w:hint="eastAsia" w:ascii="宋体" w:hAnsi="宋体" w:eastAsia="宋体" w:cs="宋体"/>
                <w:sz w:val="24"/>
                <w:szCs w:val="24"/>
              </w:rPr>
            </w:pPr>
            <w:r>
              <w:rPr>
                <w:rFonts w:hint="eastAsia" w:ascii="宋体" w:hAnsi="宋体" w:eastAsia="宋体" w:cs="宋体"/>
                <w:sz w:val="24"/>
                <w:szCs w:val="24"/>
              </w:rPr>
              <w:t>虚拟化平台监控</w:t>
            </w:r>
          </w:p>
        </w:tc>
        <w:tc>
          <w:tcPr>
            <w:tcW w:w="5623" w:type="dxa"/>
          </w:tcPr>
          <w:p>
            <w:pPr>
              <w:rPr>
                <w:rFonts w:hint="eastAsia" w:ascii="宋体" w:hAnsi="宋体" w:eastAsia="宋体" w:cs="宋体"/>
                <w:sz w:val="24"/>
                <w:szCs w:val="24"/>
              </w:rPr>
            </w:pPr>
            <w:r>
              <w:rPr>
                <w:rFonts w:hint="eastAsia" w:ascii="宋体" w:hAnsi="宋体" w:eastAsia="宋体" w:cs="宋体"/>
                <w:sz w:val="24"/>
                <w:szCs w:val="24"/>
              </w:rPr>
              <w:t>19、要求平台能够接入常见虚拟化平台（VMware、H3C等），同步虚拟化平台内报警信息，并在本平台进行报警。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848" w:type="dxa"/>
          </w:tcPr>
          <w:p>
            <w:pPr>
              <w:jc w:val="center"/>
              <w:rPr>
                <w:rFonts w:hint="eastAsia" w:ascii="宋体" w:hAnsi="宋体" w:eastAsia="宋体" w:cs="宋体"/>
                <w:sz w:val="24"/>
                <w:szCs w:val="24"/>
              </w:rPr>
            </w:pPr>
            <w:r>
              <w:rPr>
                <w:rFonts w:hint="eastAsia" w:ascii="宋体" w:hAnsi="宋体" w:eastAsia="宋体" w:cs="宋体"/>
                <w:sz w:val="24"/>
                <w:szCs w:val="24"/>
              </w:rPr>
              <w:t>20</w:t>
            </w:r>
          </w:p>
        </w:tc>
        <w:tc>
          <w:tcPr>
            <w:tcW w:w="2747" w:type="dxa"/>
          </w:tcPr>
          <w:p>
            <w:pPr>
              <w:rPr>
                <w:rFonts w:hint="eastAsia" w:ascii="宋体" w:hAnsi="宋体" w:eastAsia="宋体" w:cs="宋体"/>
                <w:sz w:val="24"/>
                <w:szCs w:val="24"/>
              </w:rPr>
            </w:pPr>
            <w:r>
              <w:rPr>
                <w:rFonts w:hint="eastAsia" w:ascii="宋体" w:hAnsi="宋体" w:eastAsia="宋体" w:cs="宋体"/>
                <w:sz w:val="24"/>
                <w:szCs w:val="24"/>
              </w:rPr>
              <w:t>地址扫描</w:t>
            </w:r>
          </w:p>
        </w:tc>
        <w:tc>
          <w:tcPr>
            <w:tcW w:w="5623" w:type="dxa"/>
          </w:tcPr>
          <w:p>
            <w:pPr>
              <w:rPr>
                <w:rFonts w:hint="eastAsia" w:ascii="宋体" w:hAnsi="宋体" w:eastAsia="宋体" w:cs="宋体"/>
                <w:sz w:val="24"/>
                <w:szCs w:val="24"/>
              </w:rPr>
            </w:pPr>
            <w:r>
              <w:rPr>
                <w:rFonts w:hint="eastAsia" w:ascii="宋体" w:hAnsi="宋体" w:eastAsia="宋体" w:cs="宋体"/>
                <w:sz w:val="24"/>
                <w:szCs w:val="24"/>
              </w:rPr>
              <w:t>20、要求平台能够支持IP地址扫描功能。能够手动添加网段并对其进行扫描形成可视化界面进行展示。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848" w:type="dxa"/>
          </w:tcPr>
          <w:p>
            <w:pPr>
              <w:jc w:val="center"/>
              <w:rPr>
                <w:rFonts w:hint="eastAsia" w:ascii="宋体" w:hAnsi="宋体" w:eastAsia="宋体" w:cs="宋体"/>
                <w:sz w:val="24"/>
                <w:szCs w:val="24"/>
              </w:rPr>
            </w:pPr>
            <w:r>
              <w:rPr>
                <w:rFonts w:hint="eastAsia" w:ascii="宋体" w:hAnsi="宋体" w:eastAsia="宋体" w:cs="宋体"/>
                <w:sz w:val="24"/>
                <w:szCs w:val="24"/>
              </w:rPr>
              <w:t>21</w:t>
            </w:r>
          </w:p>
        </w:tc>
        <w:tc>
          <w:tcPr>
            <w:tcW w:w="2747" w:type="dxa"/>
          </w:tcPr>
          <w:p>
            <w:pPr>
              <w:rPr>
                <w:rFonts w:hint="eastAsia" w:ascii="宋体" w:hAnsi="宋体" w:eastAsia="宋体" w:cs="宋体"/>
                <w:sz w:val="24"/>
                <w:szCs w:val="24"/>
              </w:rPr>
            </w:pPr>
            <w:r>
              <w:rPr>
                <w:rFonts w:hint="eastAsia" w:ascii="宋体" w:hAnsi="宋体" w:eastAsia="宋体" w:cs="宋体"/>
                <w:sz w:val="24"/>
                <w:szCs w:val="24"/>
              </w:rPr>
              <w:t>资产管理</w:t>
            </w:r>
          </w:p>
        </w:tc>
        <w:tc>
          <w:tcPr>
            <w:tcW w:w="5623" w:type="dxa"/>
          </w:tcPr>
          <w:p>
            <w:pPr>
              <w:rPr>
                <w:rFonts w:hint="eastAsia" w:ascii="宋体" w:hAnsi="宋体" w:eastAsia="宋体" w:cs="宋体"/>
                <w:sz w:val="24"/>
                <w:szCs w:val="24"/>
              </w:rPr>
            </w:pPr>
            <w:r>
              <w:rPr>
                <w:rFonts w:hint="eastAsia" w:ascii="宋体" w:hAnsi="宋体" w:eastAsia="宋体" w:cs="宋体"/>
                <w:sz w:val="24"/>
                <w:szCs w:val="24"/>
              </w:rPr>
              <w:t>21、要求平台对已经录入的资产形成报表，能够将资产表格进行导入导出操作，并</w:t>
            </w:r>
            <w:r>
              <w:rPr>
                <w:rFonts w:hint="eastAsia" w:ascii="宋体" w:hAnsi="宋体" w:eastAsia="宋体" w:cs="宋体"/>
                <w:spacing w:val="-6"/>
                <w:sz w:val="24"/>
                <w:szCs w:val="24"/>
              </w:rPr>
              <w:t>支持按关键字查找相关资产信息。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1" w:hRule="atLeast"/>
        </w:trPr>
        <w:tc>
          <w:tcPr>
            <w:tcW w:w="848" w:type="dxa"/>
          </w:tcPr>
          <w:p>
            <w:pPr>
              <w:jc w:val="center"/>
              <w:rPr>
                <w:rFonts w:hint="eastAsia" w:ascii="宋体" w:hAnsi="宋体" w:eastAsia="宋体" w:cs="宋体"/>
                <w:sz w:val="24"/>
                <w:szCs w:val="24"/>
              </w:rPr>
            </w:pPr>
            <w:r>
              <w:rPr>
                <w:rFonts w:hint="eastAsia" w:ascii="宋体" w:hAnsi="宋体" w:eastAsia="宋体" w:cs="宋体"/>
                <w:sz w:val="24"/>
                <w:szCs w:val="24"/>
              </w:rPr>
              <w:t>22</w:t>
            </w:r>
          </w:p>
        </w:tc>
        <w:tc>
          <w:tcPr>
            <w:tcW w:w="2747" w:type="dxa"/>
          </w:tcPr>
          <w:p>
            <w:pPr>
              <w:rPr>
                <w:rFonts w:hint="eastAsia" w:ascii="宋体" w:hAnsi="宋体" w:eastAsia="宋体" w:cs="宋体"/>
                <w:sz w:val="24"/>
                <w:szCs w:val="24"/>
              </w:rPr>
            </w:pPr>
            <w:r>
              <w:rPr>
                <w:rFonts w:hint="eastAsia" w:ascii="宋体" w:hAnsi="宋体" w:eastAsia="宋体" w:cs="宋体"/>
                <w:sz w:val="24"/>
                <w:szCs w:val="24"/>
              </w:rPr>
              <w:t>基线和异常增速报警</w:t>
            </w:r>
          </w:p>
        </w:tc>
        <w:tc>
          <w:tcPr>
            <w:tcW w:w="5623" w:type="dxa"/>
          </w:tcPr>
          <w:p>
            <w:pPr>
              <w:rPr>
                <w:rFonts w:hint="eastAsia" w:ascii="宋体" w:hAnsi="宋体" w:eastAsia="宋体" w:cs="宋体"/>
                <w:sz w:val="24"/>
                <w:szCs w:val="24"/>
              </w:rPr>
            </w:pPr>
            <w:r>
              <w:rPr>
                <w:rFonts w:hint="eastAsia" w:ascii="宋体" w:hAnsi="宋体" w:eastAsia="宋体" w:cs="宋体"/>
                <w:sz w:val="24"/>
                <w:szCs w:val="24"/>
              </w:rPr>
              <w:t>▲ 22、要求平台支持对CPU、内存使用率的超过或低于设定的基线范围时，自动触发报警，以及对磁盘使用率、Oracle表空间出现异常增速时，自动触发报警。同时，要求平台具备资源使用回溯功能，对于CPU、内存资源使用率超过报警阈值时，平台可展示该时间节点Top10进程资源（CPU或内存）占用信息。</w:t>
            </w:r>
          </w:p>
          <w:p>
            <w:pPr>
              <w:rPr>
                <w:rFonts w:hint="eastAsia" w:ascii="宋体" w:hAnsi="宋体" w:eastAsia="宋体" w:cs="宋体"/>
                <w:sz w:val="24"/>
                <w:szCs w:val="24"/>
              </w:rPr>
            </w:pPr>
            <w:r>
              <w:rPr>
                <w:rFonts w:hint="eastAsia" w:ascii="宋体" w:hAnsi="宋体" w:eastAsia="宋体" w:cs="宋体"/>
                <w:b/>
                <w:bCs/>
                <w:spacing w:val="-6"/>
                <w:sz w:val="24"/>
                <w:szCs w:val="24"/>
              </w:rPr>
              <w:t>要求提供截图等相关证明材料。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trPr>
        <w:tc>
          <w:tcPr>
            <w:tcW w:w="848" w:type="dxa"/>
          </w:tcPr>
          <w:p>
            <w:pPr>
              <w:jc w:val="center"/>
              <w:rPr>
                <w:rFonts w:hint="eastAsia" w:ascii="宋体" w:hAnsi="宋体" w:eastAsia="宋体" w:cs="宋体"/>
                <w:sz w:val="24"/>
                <w:szCs w:val="24"/>
              </w:rPr>
            </w:pPr>
            <w:r>
              <w:rPr>
                <w:rFonts w:hint="eastAsia" w:ascii="宋体" w:hAnsi="宋体" w:eastAsia="宋体" w:cs="宋体"/>
                <w:sz w:val="24"/>
                <w:szCs w:val="24"/>
              </w:rPr>
              <w:t>23</w:t>
            </w:r>
          </w:p>
        </w:tc>
        <w:tc>
          <w:tcPr>
            <w:tcW w:w="2747" w:type="dxa"/>
          </w:tcPr>
          <w:p>
            <w:pPr>
              <w:rPr>
                <w:rFonts w:hint="eastAsia" w:ascii="宋体" w:hAnsi="宋体" w:eastAsia="宋体" w:cs="宋体"/>
                <w:sz w:val="24"/>
                <w:szCs w:val="24"/>
              </w:rPr>
            </w:pPr>
            <w:r>
              <w:rPr>
                <w:rFonts w:hint="eastAsia" w:ascii="宋体" w:hAnsi="宋体" w:eastAsia="宋体" w:cs="宋体"/>
                <w:sz w:val="24"/>
                <w:szCs w:val="24"/>
              </w:rPr>
              <w:t>3D机房、大屏展示</w:t>
            </w:r>
          </w:p>
        </w:tc>
        <w:tc>
          <w:tcPr>
            <w:tcW w:w="5623" w:type="dxa"/>
          </w:tcPr>
          <w:p>
            <w:pPr>
              <w:rPr>
                <w:rFonts w:hint="eastAsia" w:ascii="宋体" w:hAnsi="宋体" w:eastAsia="宋体" w:cs="宋体"/>
                <w:sz w:val="24"/>
                <w:szCs w:val="24"/>
              </w:rPr>
            </w:pPr>
            <w:r>
              <w:rPr>
                <w:rFonts w:hint="eastAsia" w:ascii="宋体" w:hAnsi="宋体" w:eastAsia="宋体" w:cs="宋体"/>
                <w:sz w:val="24"/>
                <w:szCs w:val="24"/>
              </w:rPr>
              <w:t>23、要求平台实现3D机房体可视化设计功能，并能进行立体图形展示。展示时要与相应的机柜、服务器等硬件信息相结合，提供在3D机房机柜图上进行报警定位，同时要求平台提供多方位的报警分析、大屏展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atLeast"/>
        </w:trPr>
        <w:tc>
          <w:tcPr>
            <w:tcW w:w="848" w:type="dxa"/>
          </w:tcPr>
          <w:p>
            <w:pPr>
              <w:jc w:val="center"/>
              <w:rPr>
                <w:rFonts w:hint="eastAsia" w:ascii="宋体" w:hAnsi="宋体" w:eastAsia="宋体" w:cs="宋体"/>
                <w:sz w:val="24"/>
                <w:szCs w:val="24"/>
              </w:rPr>
            </w:pPr>
            <w:r>
              <w:rPr>
                <w:rFonts w:hint="eastAsia" w:ascii="宋体" w:hAnsi="宋体" w:eastAsia="宋体" w:cs="宋体"/>
                <w:sz w:val="24"/>
                <w:szCs w:val="24"/>
              </w:rPr>
              <w:t>24</w:t>
            </w:r>
          </w:p>
        </w:tc>
        <w:tc>
          <w:tcPr>
            <w:tcW w:w="2747" w:type="dxa"/>
          </w:tcPr>
          <w:p>
            <w:pPr>
              <w:rPr>
                <w:rFonts w:hint="eastAsia" w:ascii="宋体" w:hAnsi="宋体" w:eastAsia="宋体" w:cs="宋体"/>
                <w:sz w:val="24"/>
                <w:szCs w:val="24"/>
              </w:rPr>
            </w:pPr>
            <w:r>
              <w:rPr>
                <w:rFonts w:hint="eastAsia" w:ascii="宋体" w:hAnsi="宋体" w:eastAsia="宋体" w:cs="宋体"/>
                <w:sz w:val="24"/>
                <w:szCs w:val="24"/>
              </w:rPr>
              <w:t>自定义报警策略机制</w:t>
            </w:r>
          </w:p>
        </w:tc>
        <w:tc>
          <w:tcPr>
            <w:tcW w:w="5623" w:type="dxa"/>
          </w:tcPr>
          <w:p>
            <w:pPr>
              <w:rPr>
                <w:rFonts w:hint="eastAsia" w:ascii="宋体" w:hAnsi="宋体" w:eastAsia="宋体" w:cs="宋体"/>
                <w:sz w:val="24"/>
                <w:szCs w:val="24"/>
              </w:rPr>
            </w:pPr>
            <w:r>
              <w:rPr>
                <w:rFonts w:hint="eastAsia" w:ascii="宋体" w:hAnsi="宋体" w:eastAsia="宋体" w:cs="宋体"/>
                <w:sz w:val="24"/>
                <w:szCs w:val="24"/>
              </w:rPr>
              <w:t>▲24、要求平台支持对监控策略自定义配置功能，支持对状态类、阈值类、和数值类报警，进行报警策略配置；支持按照业务系统、IP地址、设备类型、监控指标等进行单独或分组配置；要求提供8级以上报警级别设置功能，支持报警图标与颜色的级别区分。</w:t>
            </w:r>
          </w:p>
          <w:p>
            <w:pPr>
              <w:rPr>
                <w:rFonts w:hint="eastAsia" w:ascii="宋体" w:hAnsi="宋体" w:eastAsia="宋体" w:cs="宋体"/>
                <w:sz w:val="24"/>
                <w:szCs w:val="24"/>
              </w:rPr>
            </w:pPr>
            <w:r>
              <w:rPr>
                <w:rFonts w:hint="eastAsia" w:ascii="宋体" w:hAnsi="宋体" w:eastAsia="宋体" w:cs="宋体"/>
                <w:b/>
                <w:bCs/>
                <w:spacing w:val="-6"/>
                <w:sz w:val="24"/>
                <w:szCs w:val="24"/>
              </w:rPr>
              <w:t>要求提供截图等相关证明材料。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1" w:hRule="atLeast"/>
        </w:trPr>
        <w:tc>
          <w:tcPr>
            <w:tcW w:w="848" w:type="dxa"/>
          </w:tcPr>
          <w:p>
            <w:pPr>
              <w:jc w:val="center"/>
              <w:rPr>
                <w:rFonts w:hint="eastAsia" w:ascii="宋体" w:hAnsi="宋体" w:eastAsia="宋体" w:cs="宋体"/>
                <w:sz w:val="24"/>
                <w:szCs w:val="24"/>
              </w:rPr>
            </w:pPr>
            <w:r>
              <w:rPr>
                <w:rFonts w:hint="eastAsia" w:ascii="宋体" w:hAnsi="宋体" w:eastAsia="宋体" w:cs="宋体"/>
                <w:sz w:val="24"/>
                <w:szCs w:val="24"/>
              </w:rPr>
              <w:t>25</w:t>
            </w:r>
          </w:p>
        </w:tc>
        <w:tc>
          <w:tcPr>
            <w:tcW w:w="2747" w:type="dxa"/>
          </w:tcPr>
          <w:p>
            <w:pPr>
              <w:rPr>
                <w:rFonts w:hint="eastAsia" w:ascii="宋体" w:hAnsi="宋体" w:eastAsia="宋体" w:cs="宋体"/>
                <w:sz w:val="24"/>
                <w:szCs w:val="24"/>
              </w:rPr>
            </w:pPr>
            <w:r>
              <w:rPr>
                <w:rFonts w:hint="eastAsia" w:ascii="宋体" w:hAnsi="宋体" w:eastAsia="宋体" w:cs="宋体"/>
                <w:sz w:val="24"/>
                <w:szCs w:val="24"/>
              </w:rPr>
              <w:t>产品验证要求</w:t>
            </w:r>
          </w:p>
        </w:tc>
        <w:tc>
          <w:tcPr>
            <w:tcW w:w="5623" w:type="dxa"/>
          </w:tcPr>
          <w:p>
            <w:pPr>
              <w:rPr>
                <w:rFonts w:hint="eastAsia" w:ascii="宋体" w:hAnsi="宋体" w:eastAsia="宋体" w:cs="宋体"/>
                <w:sz w:val="24"/>
                <w:szCs w:val="24"/>
              </w:rPr>
            </w:pPr>
            <w:r>
              <w:rPr>
                <w:rFonts w:hint="eastAsia" w:ascii="宋体" w:hAnsi="宋体" w:eastAsia="宋体" w:cs="宋体"/>
                <w:sz w:val="24"/>
                <w:szCs w:val="24"/>
              </w:rPr>
              <w:t>25、对于投标方承诺的符合要求的产品，招标方有权利在签订采购合同前，进行功能测试（所发生的费用由中标人承担），对招标参数的每项指标均进行功能有效性验证，以确保产品实际质量及交付功能满足需求。若中标产品有一项功能未能通过测试，将取消中标资格并追究其所有相应责任。</w:t>
            </w:r>
          </w:p>
          <w:p>
            <w:pPr>
              <w:rPr>
                <w:rFonts w:hint="eastAsia" w:ascii="宋体" w:hAnsi="宋体" w:eastAsia="宋体" w:cs="宋体"/>
                <w:sz w:val="24"/>
                <w:szCs w:val="24"/>
              </w:rPr>
            </w:pPr>
            <w:r>
              <w:rPr>
                <w:rFonts w:hint="eastAsia" w:ascii="宋体" w:hAnsi="宋体" w:eastAsia="宋体" w:cs="宋体"/>
                <w:b/>
                <w:bCs/>
                <w:sz w:val="24"/>
                <w:szCs w:val="24"/>
              </w:rPr>
              <w:t>要求提供加盖原厂商公章的承诺材料。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48" w:type="dxa"/>
          </w:tcPr>
          <w:p>
            <w:pPr>
              <w:jc w:val="center"/>
              <w:rPr>
                <w:rFonts w:hint="eastAsia" w:ascii="宋体" w:hAnsi="宋体" w:eastAsia="宋体" w:cs="宋体"/>
                <w:sz w:val="24"/>
                <w:szCs w:val="24"/>
              </w:rPr>
            </w:pPr>
            <w:r>
              <w:rPr>
                <w:rFonts w:hint="eastAsia" w:ascii="宋体" w:hAnsi="宋体" w:eastAsia="宋体" w:cs="宋体"/>
                <w:sz w:val="24"/>
                <w:szCs w:val="24"/>
              </w:rPr>
              <w:t>26</w:t>
            </w:r>
          </w:p>
        </w:tc>
        <w:tc>
          <w:tcPr>
            <w:tcW w:w="2747" w:type="dxa"/>
          </w:tcPr>
          <w:p>
            <w:pPr>
              <w:rPr>
                <w:rFonts w:hint="eastAsia" w:ascii="宋体" w:hAnsi="宋体" w:eastAsia="宋体" w:cs="宋体"/>
                <w:sz w:val="24"/>
                <w:szCs w:val="24"/>
              </w:rPr>
            </w:pPr>
            <w:r>
              <w:rPr>
                <w:rFonts w:hint="eastAsia" w:ascii="宋体" w:hAnsi="宋体" w:eastAsia="宋体" w:cs="宋体"/>
                <w:sz w:val="24"/>
                <w:szCs w:val="24"/>
              </w:rPr>
              <w:t>服务</w:t>
            </w:r>
          </w:p>
        </w:tc>
        <w:tc>
          <w:tcPr>
            <w:tcW w:w="5623" w:type="dxa"/>
          </w:tcPr>
          <w:p>
            <w:pPr>
              <w:rPr>
                <w:rFonts w:hint="eastAsia" w:ascii="宋体" w:hAnsi="宋体" w:eastAsia="宋体" w:cs="宋体"/>
                <w:sz w:val="24"/>
                <w:szCs w:val="24"/>
                <w:lang w:bidi="ar"/>
              </w:rPr>
            </w:pPr>
            <w:r>
              <w:rPr>
                <w:rFonts w:hint="eastAsia" w:ascii="宋体" w:hAnsi="宋体" w:eastAsia="宋体" w:cs="宋体"/>
                <w:spacing w:val="-6"/>
                <w:sz w:val="24"/>
                <w:szCs w:val="24"/>
              </w:rPr>
              <w:t>26、</w:t>
            </w:r>
            <w:r>
              <w:rPr>
                <w:rFonts w:hint="eastAsia" w:ascii="宋体" w:hAnsi="宋体" w:eastAsia="宋体" w:cs="宋体"/>
                <w:kern w:val="0"/>
                <w:sz w:val="24"/>
                <w:szCs w:val="24"/>
                <w:lang w:bidi="ar"/>
              </w:rPr>
              <w:t>提供≥3年原厂质保。</w:t>
            </w:r>
            <w:r>
              <w:rPr>
                <w:rFonts w:hint="eastAsia" w:ascii="宋体" w:hAnsi="宋体" w:eastAsia="宋体" w:cs="宋体"/>
                <w:color w:val="000000"/>
                <w:kern w:val="0"/>
                <w:sz w:val="24"/>
                <w:szCs w:val="24"/>
              </w:rPr>
              <w:t>提供原厂针对本项目的授权函及售后服务承诺函。</w:t>
            </w:r>
          </w:p>
        </w:tc>
      </w:tr>
    </w:tbl>
    <w:p>
      <w:pPr>
        <w:pStyle w:val="11"/>
        <w:numPr>
          <w:ilvl w:val="0"/>
          <w:numId w:val="3"/>
        </w:numPr>
        <w:spacing w:after="120"/>
        <w:rPr>
          <w:rFonts w:hint="eastAsia" w:ascii="宋体" w:hAnsi="宋体" w:eastAsia="宋体" w:cs="宋体"/>
          <w:sz w:val="24"/>
          <w:szCs w:val="24"/>
        </w:rPr>
      </w:pPr>
      <w:r>
        <w:rPr>
          <w:rFonts w:hint="eastAsia" w:ascii="宋体" w:hAnsi="宋体" w:eastAsia="宋体" w:cs="宋体"/>
          <w:sz w:val="24"/>
          <w:szCs w:val="24"/>
        </w:rPr>
        <w:t>加注“★”号的技术指标为关键指标，≥1项未达到招标文件要求，按无效投标处理。</w:t>
      </w:r>
    </w:p>
    <w:p>
      <w:pPr>
        <w:pStyle w:val="11"/>
        <w:numPr>
          <w:ilvl w:val="0"/>
          <w:numId w:val="3"/>
        </w:numPr>
        <w:spacing w:after="120"/>
        <w:rPr>
          <w:rFonts w:hint="eastAsia" w:ascii="宋体" w:hAnsi="宋体" w:eastAsia="宋体" w:cs="宋体"/>
          <w:sz w:val="24"/>
          <w:szCs w:val="24"/>
        </w:rPr>
      </w:pPr>
      <w:r>
        <w:rPr>
          <w:rFonts w:hint="eastAsia" w:ascii="宋体" w:hAnsi="宋体" w:eastAsia="宋体" w:cs="宋体"/>
          <w:sz w:val="24"/>
          <w:szCs w:val="24"/>
        </w:rPr>
        <w:t>加注“▲”号的技术指标为重要指标。</w:t>
      </w:r>
    </w:p>
    <w:p>
      <w:pPr>
        <w:spacing w:line="360" w:lineRule="auto"/>
        <w:ind w:firstLine="482" w:firstLineChars="20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售后服务条件及交货日期（或工期）：</w:t>
      </w:r>
    </w:p>
    <w:p>
      <w:pPr>
        <w:spacing w:line="360" w:lineRule="auto"/>
        <w:ind w:firstLine="420" w:firstLineChars="200"/>
        <w:rPr>
          <w:rFonts w:ascii="Times New Roman" w:hAnsi="Times New Roman" w:eastAsia="宋体"/>
          <w:szCs w:val="21"/>
        </w:rPr>
      </w:pPr>
      <w:r>
        <w:rPr>
          <w:rFonts w:hint="eastAsia" w:ascii="Times New Roman" w:hAnsi="Times New Roman" w:eastAsia="宋体"/>
          <w:szCs w:val="21"/>
        </w:rPr>
        <w:t>一、售后服务</w:t>
      </w:r>
    </w:p>
    <w:p>
      <w:pPr>
        <w:spacing w:line="360" w:lineRule="auto"/>
        <w:ind w:firstLine="720" w:firstLineChars="300"/>
        <w:rPr>
          <w:rFonts w:hint="eastAsia" w:ascii="宋体" w:hAnsi="宋体" w:eastAsia="宋体" w:cs="宋体"/>
          <w:sz w:val="24"/>
          <w:szCs w:val="24"/>
        </w:rPr>
      </w:pPr>
      <w:r>
        <w:rPr>
          <w:rFonts w:hint="eastAsia" w:ascii="宋体" w:hAnsi="宋体" w:eastAsia="宋体" w:cs="宋体"/>
          <w:sz w:val="24"/>
          <w:szCs w:val="24"/>
        </w:rPr>
        <w:t>1、质保期内，乙方按照以下规定提供服务。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（1）服务内容：包退、包修、技术支持、需求实现、接口对接、巡检维护、系统优化、系统升级、系统迁移等所有维保相关服务。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（2）服务方式：上门现场服务。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（3）服务时效：7*24小时服务，随时电话畅通。在标的物出现质量问题或甲方要求支持的情况下，乙方须在</w:t>
      </w:r>
      <w:r>
        <w:rPr>
          <w:rFonts w:hint="eastAsia" w:ascii="宋体" w:hAnsi="宋体" w:eastAsia="宋体" w:cs="宋体"/>
          <w:sz w:val="24"/>
          <w:szCs w:val="24"/>
          <w:u w:val="single"/>
        </w:rPr>
        <w:t xml:space="preserve"> 0.5 </w:t>
      </w:r>
      <w:r>
        <w:rPr>
          <w:rFonts w:hint="eastAsia" w:ascii="宋体" w:hAnsi="宋体" w:eastAsia="宋体" w:cs="宋体"/>
          <w:sz w:val="24"/>
          <w:szCs w:val="24"/>
        </w:rPr>
        <w:t>小时内响应，</w:t>
      </w:r>
      <w:r>
        <w:rPr>
          <w:rFonts w:hint="eastAsia" w:ascii="宋体" w:hAnsi="宋体" w:eastAsia="宋体" w:cs="宋体"/>
          <w:sz w:val="24"/>
          <w:szCs w:val="24"/>
          <w:u w:val="single"/>
        </w:rPr>
        <w:t xml:space="preserve"> 4 </w:t>
      </w:r>
      <w:r>
        <w:rPr>
          <w:rFonts w:hint="eastAsia" w:ascii="宋体" w:hAnsi="宋体" w:eastAsia="宋体" w:cs="宋体"/>
          <w:sz w:val="24"/>
          <w:szCs w:val="24"/>
        </w:rPr>
        <w:t>小时内到达现场，</w:t>
      </w:r>
      <w:r>
        <w:rPr>
          <w:rFonts w:hint="eastAsia" w:ascii="宋体" w:hAnsi="宋体" w:eastAsia="宋体" w:cs="宋体"/>
          <w:sz w:val="24"/>
          <w:szCs w:val="24"/>
          <w:u w:val="single"/>
        </w:rPr>
        <w:t xml:space="preserve"> 12 </w:t>
      </w:r>
      <w:r>
        <w:rPr>
          <w:rFonts w:hint="eastAsia" w:ascii="宋体" w:hAnsi="宋体" w:eastAsia="宋体" w:cs="宋体"/>
          <w:sz w:val="24"/>
          <w:szCs w:val="24"/>
        </w:rPr>
        <w:t>小时内解决问题。在甲方提交需求的情况下，乙方须在</w:t>
      </w:r>
      <w:r>
        <w:rPr>
          <w:rFonts w:hint="eastAsia" w:ascii="宋体" w:hAnsi="宋体" w:eastAsia="宋体" w:cs="宋体"/>
          <w:sz w:val="24"/>
          <w:szCs w:val="24"/>
          <w:u w:val="single"/>
        </w:rPr>
        <w:t xml:space="preserve"> 30 </w:t>
      </w:r>
      <w:r>
        <w:rPr>
          <w:rFonts w:hint="eastAsia" w:ascii="宋体" w:hAnsi="宋体" w:eastAsia="宋体" w:cs="宋体"/>
          <w:sz w:val="24"/>
          <w:szCs w:val="24"/>
        </w:rPr>
        <w:t>日内完成系统改造，实现甲方需求。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（4）其他规定：如标的物经乙方</w:t>
      </w:r>
      <w:r>
        <w:rPr>
          <w:rFonts w:hint="eastAsia" w:ascii="宋体" w:hAnsi="宋体" w:eastAsia="宋体" w:cs="宋体"/>
          <w:sz w:val="24"/>
          <w:szCs w:val="24"/>
          <w:u w:val="single"/>
        </w:rPr>
        <w:t xml:space="preserve"> 2 </w:t>
      </w:r>
      <w:r>
        <w:rPr>
          <w:rFonts w:hint="eastAsia" w:ascii="宋体" w:hAnsi="宋体" w:eastAsia="宋体" w:cs="宋体"/>
          <w:sz w:val="24"/>
          <w:szCs w:val="24"/>
        </w:rPr>
        <w:t>次维修或维修超过</w:t>
      </w:r>
      <w:r>
        <w:rPr>
          <w:rFonts w:hint="eastAsia" w:ascii="宋体" w:hAnsi="宋体" w:eastAsia="宋体" w:cs="宋体"/>
          <w:sz w:val="24"/>
          <w:szCs w:val="24"/>
          <w:u w:val="single"/>
        </w:rPr>
        <w:t xml:space="preserve"> 30 </w:t>
      </w:r>
      <w:r>
        <w:rPr>
          <w:rFonts w:hint="eastAsia" w:ascii="宋体" w:hAnsi="宋体" w:eastAsia="宋体" w:cs="宋体"/>
          <w:sz w:val="24"/>
          <w:szCs w:val="24"/>
        </w:rPr>
        <w:t>天仍不能达到本合同规定的标准，或标的物经甲方送交具有法定资格条件的质量技术监督机构检测后，如检测结果认定标的物质量不符合本合同规定标准的，则视作乙方不能交付标的物而违约，甲方有权退货并追究乙方的违约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（5）服务费用：质保期内，所有费用由乙方承担，乙方不得向甲方和第三方收取任何费用。</w:t>
      </w:r>
    </w:p>
    <w:p>
      <w:pPr>
        <w:spacing w:line="360" w:lineRule="auto"/>
        <w:ind w:firstLine="720" w:firstLineChars="300"/>
        <w:rPr>
          <w:rFonts w:hint="eastAsia" w:ascii="宋体" w:hAnsi="宋体" w:eastAsia="宋体" w:cs="宋体"/>
          <w:sz w:val="24"/>
          <w:szCs w:val="24"/>
        </w:rPr>
      </w:pPr>
      <w:r>
        <w:rPr>
          <w:rFonts w:hint="eastAsia" w:ascii="宋体" w:hAnsi="宋体" w:eastAsia="宋体" w:cs="宋体"/>
          <w:sz w:val="24"/>
          <w:szCs w:val="24"/>
        </w:rPr>
        <w:t>2、质保期结束后，甲方可按年购买乙方的维保服务。维保期内，乙方按照以下规定提供服务。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（1）服务内容：包修、技术支持、需求实现、接口对接、巡检维护、系统优化、系统升级、系统迁移、新院区开业系统改造等除包退以外的所有维保相关服务。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（2）服务方式：上门现场服务。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（3）服务时效：7*24小时服务，随时电话畅通。在标的物出现质量问题或甲方要求支持的情况下，乙方须在</w:t>
      </w:r>
      <w:r>
        <w:rPr>
          <w:rFonts w:hint="eastAsia" w:ascii="宋体" w:hAnsi="宋体" w:eastAsia="宋体" w:cs="宋体"/>
          <w:sz w:val="24"/>
          <w:szCs w:val="24"/>
          <w:u w:val="single"/>
        </w:rPr>
        <w:t xml:space="preserve">0.5 </w:t>
      </w:r>
      <w:r>
        <w:rPr>
          <w:rFonts w:hint="eastAsia" w:ascii="宋体" w:hAnsi="宋体" w:eastAsia="宋体" w:cs="宋体"/>
          <w:sz w:val="24"/>
          <w:szCs w:val="24"/>
        </w:rPr>
        <w:t>小时内响应，</w:t>
      </w:r>
      <w:r>
        <w:rPr>
          <w:rFonts w:hint="eastAsia" w:ascii="宋体" w:hAnsi="宋体" w:eastAsia="宋体" w:cs="宋体"/>
          <w:sz w:val="24"/>
          <w:szCs w:val="24"/>
          <w:u w:val="single"/>
        </w:rPr>
        <w:t xml:space="preserve"> 4 </w:t>
      </w:r>
      <w:r>
        <w:rPr>
          <w:rFonts w:hint="eastAsia" w:ascii="宋体" w:hAnsi="宋体" w:eastAsia="宋体" w:cs="宋体"/>
          <w:sz w:val="24"/>
          <w:szCs w:val="24"/>
        </w:rPr>
        <w:t>小时内到达现场，</w:t>
      </w:r>
      <w:r>
        <w:rPr>
          <w:rFonts w:hint="eastAsia" w:ascii="宋体" w:hAnsi="宋体" w:eastAsia="宋体" w:cs="宋体"/>
          <w:sz w:val="24"/>
          <w:szCs w:val="24"/>
          <w:u w:val="single"/>
        </w:rPr>
        <w:t xml:space="preserve"> 12 </w:t>
      </w:r>
      <w:r>
        <w:rPr>
          <w:rFonts w:hint="eastAsia" w:ascii="宋体" w:hAnsi="宋体" w:eastAsia="宋体" w:cs="宋体"/>
          <w:sz w:val="24"/>
          <w:szCs w:val="24"/>
        </w:rPr>
        <w:t>小时内解决问题。在甲方提交需求的情况下，乙方须在</w:t>
      </w:r>
      <w:r>
        <w:rPr>
          <w:rFonts w:hint="eastAsia" w:ascii="宋体" w:hAnsi="宋体" w:eastAsia="宋体" w:cs="宋体"/>
          <w:sz w:val="24"/>
          <w:szCs w:val="24"/>
          <w:u w:val="single"/>
        </w:rPr>
        <w:t xml:space="preserve"> 30 </w:t>
      </w:r>
      <w:r>
        <w:rPr>
          <w:rFonts w:hint="eastAsia" w:ascii="宋体" w:hAnsi="宋体" w:eastAsia="宋体" w:cs="宋体"/>
          <w:sz w:val="24"/>
          <w:szCs w:val="24"/>
        </w:rPr>
        <w:t>日内完成系统改造，实现甲方需求。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（4）服务费用：每年的费用不应高于标的物本合同价款的</w:t>
      </w:r>
      <w:r>
        <w:rPr>
          <w:rFonts w:hint="eastAsia" w:ascii="宋体" w:hAnsi="宋体" w:eastAsia="宋体" w:cs="宋体"/>
          <w:sz w:val="24"/>
          <w:szCs w:val="24"/>
          <w:u w:val="single"/>
        </w:rPr>
        <w:t xml:space="preserve"> 5% </w:t>
      </w:r>
      <w:r>
        <w:rPr>
          <w:rFonts w:hint="eastAsia" w:ascii="宋体" w:hAnsi="宋体" w:eastAsia="宋体" w:cs="宋体"/>
          <w:sz w:val="24"/>
          <w:szCs w:val="24"/>
        </w:rPr>
        <w:t>且不高于届时的市场维保价格；除维保服务费外，乙方不得向甲方和第三方收取任何费用。维保服务由甲方在需要时按年购买，乙方不得要求甲方连续性不间断购买维保服务。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对于隐蔽性的、合理的检查和试验都不能发觉的质量问题，即使质保期已过，无论甲方是否购买维保服务，由于标的物本身的设计缺陷、制造缺陷、安装缺陷造成的故障或对甲方和第三方的财产、人身损害，仍由乙方免费负责维修、更换和承担赔偿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4、乙方须指派专人负责与甲方联系售后服务事宜。</w:t>
      </w:r>
    </w:p>
    <w:p>
      <w:pPr>
        <w:rPr>
          <w:rFonts w:hint="eastAsia" w:ascii="宋体" w:hAnsi="宋体" w:eastAsia="宋体" w:cs="宋体"/>
          <w:sz w:val="24"/>
          <w:szCs w:val="24"/>
        </w:rPr>
      </w:pPr>
      <w:r>
        <w:rPr>
          <w:rFonts w:hint="eastAsia" w:ascii="宋体" w:hAnsi="宋体" w:eastAsia="宋体" w:cs="宋体"/>
          <w:sz w:val="24"/>
          <w:szCs w:val="24"/>
        </w:rPr>
        <w:t>二、安全保密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1、甲乙双方须共同遵守国家网络信息安全各项法律法规，以及甲方网络信息安全各项规章制度。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2、乙方在项目过程中接触到的甲方的任何资料、文件、数据无论是书面的还是电子的，以及为甲方服务形成的任何交付物，负有为甲方保密的责任。未经甲方书面授权，乙方不得向任何第三方透露。</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3、甲方向乙方提供的任何资料、文件和数据，在乙方服务结束后，乙方均应及时归还甲方，电子文档的应从乙方的电脑等存储设备上永久删除。</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4、乙方不得私自连接甲方内部网络，不得私自在甲方内部网络中连接外网，或使用U盘、移动硬盘、光盘等移动存储介质，不得发生传播计算机病毒，攻击网络和计算机系统，以及其他危害网络信息安全的行为。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5、乙方应及时修复标的物（含标的物所使用、内置或集成的第三方产品）存在的安全漏洞，确保标的物可供甲方安全使用。</w:t>
      </w:r>
    </w:p>
    <w:p>
      <w:pPr>
        <w:rPr>
          <w:rFonts w:hint="eastAsia" w:ascii="宋体" w:hAnsi="宋体" w:eastAsia="宋体" w:cs="宋体"/>
          <w:sz w:val="24"/>
          <w:szCs w:val="24"/>
        </w:rPr>
      </w:pPr>
      <w:r>
        <w:rPr>
          <w:rFonts w:hint="eastAsia" w:ascii="宋体" w:hAnsi="宋体" w:eastAsia="宋体" w:cs="宋体"/>
          <w:sz w:val="24"/>
          <w:szCs w:val="24"/>
        </w:rPr>
        <w:t>6、安全保密规定在合同终止后继续有效。</w:t>
      </w:r>
    </w:p>
    <w:p>
      <w:pPr>
        <w:rPr>
          <w:rFonts w:hint="eastAsia" w:ascii="宋体" w:hAnsi="宋体" w:eastAsia="宋体" w:cs="宋体"/>
          <w:sz w:val="24"/>
          <w:szCs w:val="24"/>
        </w:rPr>
      </w:pPr>
      <w:r>
        <w:rPr>
          <w:rFonts w:hint="eastAsia" w:ascii="宋体" w:hAnsi="宋体" w:eastAsia="宋体" w:cs="宋体"/>
          <w:sz w:val="24"/>
          <w:szCs w:val="24"/>
        </w:rPr>
        <w:t>三、违约责任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（1）乙方交付的标的物质量不符合合同约定标准的，乙方应按合同总价的百分之</w:t>
      </w:r>
      <w:r>
        <w:rPr>
          <w:rFonts w:hint="eastAsia" w:ascii="宋体" w:hAnsi="宋体" w:eastAsia="宋体" w:cs="宋体"/>
          <w:sz w:val="24"/>
          <w:szCs w:val="24"/>
          <w:u w:val="single"/>
        </w:rPr>
        <w:t xml:space="preserve"> 三 </w:t>
      </w:r>
      <w:r>
        <w:rPr>
          <w:rFonts w:hint="eastAsia" w:ascii="宋体" w:hAnsi="宋体" w:eastAsia="宋体" w:cs="宋体"/>
          <w:sz w:val="24"/>
          <w:szCs w:val="24"/>
        </w:rPr>
        <w:t>的款额向甲方支付违约金，并须在合同约定的交付期限内更换合格的标的物给甲方，否则，视作乙方逾期交付标的物而违约，按本条款下述第“（2）”项规定处理。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（2）乙方逾期交付标的物的，除应及时交足标的物外，还应向甲方支付合同总价的万分之</w:t>
      </w:r>
      <w:r>
        <w:rPr>
          <w:rFonts w:hint="eastAsia" w:ascii="宋体" w:hAnsi="宋体" w:eastAsia="宋体" w:cs="宋体"/>
          <w:sz w:val="24"/>
          <w:szCs w:val="24"/>
          <w:u w:val="single"/>
        </w:rPr>
        <w:t xml:space="preserve"> 五 </w:t>
      </w:r>
      <w:r>
        <w:rPr>
          <w:rFonts w:hint="eastAsia" w:ascii="宋体" w:hAnsi="宋体" w:eastAsia="宋体" w:cs="宋体"/>
          <w:sz w:val="24"/>
          <w:szCs w:val="24"/>
        </w:rPr>
        <w:t>/日的违约金；逾期交付超过</w:t>
      </w:r>
      <w:r>
        <w:rPr>
          <w:rFonts w:hint="eastAsia" w:ascii="宋体" w:hAnsi="宋体" w:eastAsia="宋体" w:cs="宋体"/>
          <w:sz w:val="24"/>
          <w:szCs w:val="24"/>
          <w:u w:val="single"/>
        </w:rPr>
        <w:t xml:space="preserve"> 七 </w:t>
      </w:r>
      <w:r>
        <w:rPr>
          <w:rFonts w:hint="eastAsia" w:ascii="宋体" w:hAnsi="宋体" w:eastAsia="宋体" w:cs="宋体"/>
          <w:sz w:val="24"/>
          <w:szCs w:val="24"/>
        </w:rPr>
        <w:t>天，甲方有权解除合同，乙方则应按合同总价的百分之</w:t>
      </w:r>
      <w:r>
        <w:rPr>
          <w:rFonts w:hint="eastAsia" w:ascii="宋体" w:hAnsi="宋体" w:eastAsia="宋体" w:cs="宋体"/>
          <w:sz w:val="24"/>
          <w:szCs w:val="24"/>
          <w:u w:val="single"/>
        </w:rPr>
        <w:t xml:space="preserve"> 三 </w:t>
      </w:r>
      <w:r>
        <w:rPr>
          <w:rFonts w:hint="eastAsia" w:ascii="宋体" w:hAnsi="宋体" w:eastAsia="宋体" w:cs="宋体"/>
          <w:sz w:val="24"/>
          <w:szCs w:val="24"/>
        </w:rPr>
        <w:t>的款额向甲方支付违约金。</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（3）乙方不能交付标的物的，乙方须在</w:t>
      </w:r>
      <w:r>
        <w:rPr>
          <w:rFonts w:hint="eastAsia" w:ascii="宋体" w:hAnsi="宋体" w:eastAsia="宋体" w:cs="宋体"/>
          <w:sz w:val="24"/>
          <w:szCs w:val="24"/>
          <w:u w:val="single"/>
        </w:rPr>
        <w:t xml:space="preserve"> 3 </w:t>
      </w:r>
      <w:r>
        <w:rPr>
          <w:rFonts w:hint="eastAsia" w:ascii="宋体" w:hAnsi="宋体" w:eastAsia="宋体" w:cs="宋体"/>
          <w:sz w:val="24"/>
          <w:szCs w:val="24"/>
        </w:rPr>
        <w:t>天内无条件提供合格的标的物，如逾期不能提供合格的标的物，甲方有权终止合同，乙方则应按合同总价的百分之</w:t>
      </w:r>
      <w:r>
        <w:rPr>
          <w:rFonts w:hint="eastAsia" w:ascii="宋体" w:hAnsi="宋体" w:eastAsia="宋体" w:cs="宋体"/>
          <w:sz w:val="24"/>
          <w:szCs w:val="24"/>
          <w:u w:val="single"/>
        </w:rPr>
        <w:t xml:space="preserve"> 三 </w:t>
      </w:r>
      <w:r>
        <w:rPr>
          <w:rFonts w:hint="eastAsia" w:ascii="宋体" w:hAnsi="宋体" w:eastAsia="宋体" w:cs="宋体"/>
          <w:sz w:val="24"/>
          <w:szCs w:val="24"/>
        </w:rPr>
        <w:t>的款额向甲方支付违约金，并须全额退还甲方已经付给乙方的货款及自甲方付款至退款期间的利息（按同期银行贷款利率）。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乙方应保证标的物的权利无瑕疵，包括标的物所有权及各项知识产权等权利无瑕疵。如任何第三方经法院（或仲裁机构）裁决有权对上述标的物主张权利或国家机关依法对标的物进行没收查处的，乙方除应向甲方返还已收款项外，还应另按合同总价的百分之</w:t>
      </w:r>
      <w:r>
        <w:rPr>
          <w:rFonts w:hint="eastAsia" w:ascii="宋体" w:hAnsi="宋体" w:eastAsia="宋体" w:cs="宋体"/>
          <w:sz w:val="24"/>
          <w:szCs w:val="24"/>
          <w:u w:val="single"/>
        </w:rPr>
        <w:t xml:space="preserve"> 三 </w:t>
      </w:r>
      <w:r>
        <w:rPr>
          <w:rFonts w:hint="eastAsia" w:ascii="宋体" w:hAnsi="宋体" w:eastAsia="宋体" w:cs="宋体"/>
          <w:sz w:val="24"/>
          <w:szCs w:val="24"/>
        </w:rPr>
        <w:t>向甲方支付违约金。</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（5）因标的物质量存在缺陷，或性能、质量不符合本合同规定标准而给甲方造成损失或者工作障碍的，乙方应承担赔偿责任。甲方业务因此中断超过</w:t>
      </w:r>
      <w:r>
        <w:rPr>
          <w:rFonts w:hint="eastAsia" w:ascii="宋体" w:hAnsi="宋体" w:eastAsia="宋体" w:cs="宋体"/>
          <w:sz w:val="24"/>
          <w:szCs w:val="24"/>
          <w:u w:val="single"/>
        </w:rPr>
        <w:t xml:space="preserve"> 2 </w:t>
      </w:r>
      <w:r>
        <w:rPr>
          <w:rFonts w:hint="eastAsia" w:ascii="宋体" w:hAnsi="宋体" w:eastAsia="宋体" w:cs="宋体"/>
          <w:sz w:val="24"/>
          <w:szCs w:val="24"/>
        </w:rPr>
        <w:t>个小时的，每次乙方应按合同总价的百分之</w:t>
      </w:r>
      <w:r>
        <w:rPr>
          <w:rFonts w:hint="eastAsia" w:ascii="宋体" w:hAnsi="宋体" w:eastAsia="宋体" w:cs="宋体"/>
          <w:sz w:val="24"/>
          <w:szCs w:val="24"/>
          <w:u w:val="single"/>
        </w:rPr>
        <w:t xml:space="preserve"> 一 </w:t>
      </w:r>
      <w:r>
        <w:rPr>
          <w:rFonts w:hint="eastAsia" w:ascii="宋体" w:hAnsi="宋体" w:eastAsia="宋体" w:cs="宋体"/>
          <w:sz w:val="24"/>
          <w:szCs w:val="24"/>
        </w:rPr>
        <w:t>的款额向甲方支付违约金；超过</w:t>
      </w:r>
      <w:r>
        <w:rPr>
          <w:rFonts w:hint="eastAsia" w:ascii="宋体" w:hAnsi="宋体" w:eastAsia="宋体" w:cs="宋体"/>
          <w:sz w:val="24"/>
          <w:szCs w:val="24"/>
          <w:u w:val="single"/>
        </w:rPr>
        <w:t xml:space="preserve"> 8 </w:t>
      </w:r>
      <w:r>
        <w:rPr>
          <w:rFonts w:hint="eastAsia" w:ascii="宋体" w:hAnsi="宋体" w:eastAsia="宋体" w:cs="宋体"/>
          <w:sz w:val="24"/>
          <w:szCs w:val="24"/>
        </w:rPr>
        <w:t>小时的，每次乙方应按合同总价的百分之</w:t>
      </w:r>
      <w:r>
        <w:rPr>
          <w:rFonts w:hint="eastAsia" w:ascii="宋体" w:hAnsi="宋体" w:eastAsia="宋体" w:cs="宋体"/>
          <w:sz w:val="24"/>
          <w:szCs w:val="24"/>
          <w:u w:val="single"/>
        </w:rPr>
        <w:t xml:space="preserve"> 三 </w:t>
      </w:r>
      <w:r>
        <w:rPr>
          <w:rFonts w:hint="eastAsia" w:ascii="宋体" w:hAnsi="宋体" w:eastAsia="宋体" w:cs="宋体"/>
          <w:sz w:val="24"/>
          <w:szCs w:val="24"/>
        </w:rPr>
        <w:t>的款额向甲方支付违约金；超过</w:t>
      </w:r>
      <w:r>
        <w:rPr>
          <w:rFonts w:hint="eastAsia" w:ascii="宋体" w:hAnsi="宋体" w:eastAsia="宋体" w:cs="宋体"/>
          <w:sz w:val="24"/>
          <w:szCs w:val="24"/>
          <w:u w:val="single"/>
        </w:rPr>
        <w:t xml:space="preserve"> 12 </w:t>
      </w:r>
      <w:r>
        <w:rPr>
          <w:rFonts w:hint="eastAsia" w:ascii="宋体" w:hAnsi="宋体" w:eastAsia="宋体" w:cs="宋体"/>
          <w:sz w:val="24"/>
          <w:szCs w:val="24"/>
        </w:rPr>
        <w:t>小时的，每次乙方应按合同总价的百分之</w:t>
      </w:r>
      <w:r>
        <w:rPr>
          <w:rFonts w:hint="eastAsia" w:ascii="宋体" w:hAnsi="宋体" w:eastAsia="宋体" w:cs="宋体"/>
          <w:sz w:val="24"/>
          <w:szCs w:val="24"/>
          <w:u w:val="single"/>
        </w:rPr>
        <w:t xml:space="preserve"> 五 </w:t>
      </w:r>
      <w:r>
        <w:rPr>
          <w:rFonts w:hint="eastAsia" w:ascii="宋体" w:hAnsi="宋体" w:eastAsia="宋体" w:cs="宋体"/>
          <w:sz w:val="24"/>
          <w:szCs w:val="24"/>
        </w:rPr>
        <w:t>的款额向甲方支付违约金。</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（6）乙方未按合同约定履行售后义务的情况发生1次的，乙方应按合同总价的百分之</w:t>
      </w:r>
      <w:r>
        <w:rPr>
          <w:rFonts w:hint="eastAsia" w:ascii="宋体" w:hAnsi="宋体" w:eastAsia="宋体" w:cs="宋体"/>
          <w:sz w:val="24"/>
          <w:szCs w:val="24"/>
          <w:u w:val="single"/>
        </w:rPr>
        <w:t xml:space="preserve"> 三 </w:t>
      </w:r>
      <w:r>
        <w:rPr>
          <w:rFonts w:hint="eastAsia" w:ascii="宋体" w:hAnsi="宋体" w:eastAsia="宋体" w:cs="宋体"/>
          <w:sz w:val="24"/>
          <w:szCs w:val="24"/>
        </w:rPr>
        <w:t>的款额向甲方支付违约金；发生2次的，乙方应按合同总价的百分之</w:t>
      </w:r>
      <w:r>
        <w:rPr>
          <w:rFonts w:hint="eastAsia" w:ascii="宋体" w:hAnsi="宋体" w:eastAsia="宋体" w:cs="宋体"/>
          <w:sz w:val="24"/>
          <w:szCs w:val="24"/>
          <w:u w:val="single"/>
        </w:rPr>
        <w:t xml:space="preserve"> 五 </w:t>
      </w:r>
      <w:r>
        <w:rPr>
          <w:rFonts w:hint="eastAsia" w:ascii="宋体" w:hAnsi="宋体" w:eastAsia="宋体" w:cs="宋体"/>
          <w:sz w:val="24"/>
          <w:szCs w:val="24"/>
        </w:rPr>
        <w:t>的款额向甲方支付违约金；发生3次的，乙方应按合同总价的百分之</w:t>
      </w:r>
      <w:r>
        <w:rPr>
          <w:rFonts w:hint="eastAsia" w:ascii="宋体" w:hAnsi="宋体" w:eastAsia="宋体" w:cs="宋体"/>
          <w:sz w:val="24"/>
          <w:szCs w:val="24"/>
          <w:u w:val="single"/>
        </w:rPr>
        <w:t xml:space="preserve"> 十 </w:t>
      </w:r>
      <w:r>
        <w:rPr>
          <w:rFonts w:hint="eastAsia" w:ascii="宋体" w:hAnsi="宋体" w:eastAsia="宋体" w:cs="宋体"/>
          <w:sz w:val="24"/>
          <w:szCs w:val="24"/>
        </w:rPr>
        <w:t>的款额向甲方支付违约金；乙方偿付的违约金由甲方从质保金中扣除，不足的款额由乙方另向甲方支付。</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（7）乙方应保证在甲方内部网络中，乙方所安装下载使用的开发、维护等任何软硬件为合法授权的正版软硬件。如乙方在甲方内部网络中使用盗版软硬件而被第三方追究的，乙方则应按合同总价的百分之</w:t>
      </w:r>
      <w:r>
        <w:rPr>
          <w:rFonts w:hint="eastAsia" w:ascii="宋体" w:hAnsi="宋体" w:eastAsia="宋体" w:cs="宋体"/>
          <w:sz w:val="24"/>
          <w:szCs w:val="24"/>
          <w:u w:val="single"/>
        </w:rPr>
        <w:t xml:space="preserve"> 三 </w:t>
      </w:r>
      <w:r>
        <w:rPr>
          <w:rFonts w:hint="eastAsia" w:ascii="宋体" w:hAnsi="宋体" w:eastAsia="宋体" w:cs="宋体"/>
          <w:sz w:val="24"/>
          <w:szCs w:val="24"/>
        </w:rPr>
        <w:t>的款额向甲方支付违约金，并由乙方承担全部侵权责任。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（8）乙方任何人员因违反合同安全保密规定给甲方造成损失的，乙方应按合同总价的百分之</w:t>
      </w:r>
      <w:r>
        <w:rPr>
          <w:rFonts w:hint="eastAsia" w:ascii="宋体" w:hAnsi="宋体" w:eastAsia="宋体" w:cs="宋体"/>
          <w:sz w:val="24"/>
          <w:szCs w:val="24"/>
          <w:u w:val="single"/>
        </w:rPr>
        <w:t xml:space="preserve"> 三 </w:t>
      </w:r>
      <w:r>
        <w:rPr>
          <w:rFonts w:hint="eastAsia" w:ascii="宋体" w:hAnsi="宋体" w:eastAsia="宋体" w:cs="宋体"/>
          <w:sz w:val="24"/>
          <w:szCs w:val="24"/>
        </w:rPr>
        <w:t>的款额向甲方支付违约金；乙方违约行为构成犯罪的，甲方依法移交司法机关追究其刑事责任。</w:t>
      </w:r>
    </w:p>
    <w:p>
      <w:pPr>
        <w:ind w:firstLine="480" w:firstLineChars="200"/>
        <w:rPr>
          <w:rFonts w:hint="eastAsia" w:ascii="宋体" w:hAnsi="宋体" w:eastAsia="宋体" w:cs="宋体"/>
          <w:b/>
          <w:bCs/>
          <w:kern w:val="2"/>
          <w:sz w:val="24"/>
          <w:szCs w:val="24"/>
          <w:lang w:val="en-US" w:eastAsia="zh-CN" w:bidi="ar-SA"/>
        </w:rPr>
      </w:pPr>
      <w:r>
        <w:rPr>
          <w:rFonts w:hint="eastAsia" w:ascii="宋体" w:hAnsi="宋体" w:eastAsia="宋体" w:cs="宋体"/>
          <w:sz w:val="24"/>
          <w:szCs w:val="24"/>
        </w:rPr>
        <w:t>（9）乙方偿付的违约金不足以弥补甲方损失的，还应按甲方损失尚未弥补的部分，支付赔偿金给甲方。</w:t>
      </w:r>
    </w:p>
    <w:p>
      <w:pPr>
        <w:pStyle w:val="12"/>
        <w:keepNext w:val="0"/>
        <w:keepLines w:val="0"/>
        <w:pageBreakBefore w:val="0"/>
        <w:kinsoku/>
        <w:wordWrap/>
        <w:overflowPunct/>
        <w:topLinePunct w:val="0"/>
        <w:autoSpaceDE/>
        <w:autoSpaceDN/>
        <w:bidi w:val="0"/>
        <w:adjustRightInd/>
        <w:snapToGrid/>
        <w:spacing w:beforeAutospacing="0" w:afterAutospacing="0" w:line="50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商务要求</w:t>
      </w:r>
    </w:p>
    <w:tbl>
      <w:tblPr>
        <w:tblStyle w:val="32"/>
        <w:tblpPr w:leftFromText="180" w:rightFromText="180" w:vertAnchor="text" w:tblpXSpec="center" w:tblpY="1"/>
        <w:tblOverlap w:val="never"/>
        <w:tblW w:w="925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42"/>
        <w:gridCol w:w="68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44" w:hRule="atLeast"/>
          <w:jc w:val="center"/>
        </w:trPr>
        <w:tc>
          <w:tcPr>
            <w:tcW w:w="2442"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合同签订时间</w:t>
            </w:r>
          </w:p>
        </w:tc>
        <w:tc>
          <w:tcPr>
            <w:tcW w:w="6811"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自成交通知书发出之日起三十个日历日内。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2442"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cs="宋体"/>
                <w:color w:val="000000" w:themeColor="text1"/>
                <w:sz w:val="24"/>
                <w:szCs w:val="24"/>
                <w:lang w:val="en-US" w:eastAsia="zh-CN"/>
                <w14:textFill>
                  <w14:solidFill>
                    <w14:schemeClr w14:val="tx1"/>
                  </w14:solidFill>
                </w14:textFill>
              </w:rPr>
              <w:t>交货</w:t>
            </w:r>
            <w:r>
              <w:rPr>
                <w:rFonts w:hint="eastAsia" w:ascii="宋体" w:hAnsi="宋体" w:eastAsia="宋体" w:cs="宋体"/>
                <w:color w:val="000000" w:themeColor="text1"/>
                <w:sz w:val="24"/>
                <w:szCs w:val="24"/>
                <w:lang w:val="en-US" w:eastAsia="zh-CN"/>
                <w14:textFill>
                  <w14:solidFill>
                    <w14:schemeClr w14:val="tx1"/>
                  </w14:solidFill>
                </w14:textFill>
              </w:rPr>
              <w:t>地点</w:t>
            </w:r>
          </w:p>
        </w:tc>
        <w:tc>
          <w:tcPr>
            <w:tcW w:w="6811"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2442"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cs="宋体"/>
                <w:color w:val="000000" w:themeColor="text1"/>
                <w:sz w:val="24"/>
                <w:szCs w:val="24"/>
                <w:lang w:val="en-US" w:eastAsia="zh-CN"/>
                <w14:textFill>
                  <w14:solidFill>
                    <w14:schemeClr w14:val="tx1"/>
                  </w14:solidFill>
                </w14:textFill>
              </w:rPr>
              <w:t>交货期</w:t>
            </w:r>
          </w:p>
        </w:tc>
        <w:tc>
          <w:tcPr>
            <w:tcW w:w="6811"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highlight w:val="none"/>
                <w:shd w:val="clear" w:color="auto" w:fill="FFFFFF"/>
              </w:rPr>
              <w:t>合同签署后30日内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8" w:hRule="atLeast"/>
          <w:jc w:val="center"/>
        </w:trPr>
        <w:tc>
          <w:tcPr>
            <w:tcW w:w="2442"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验   收</w:t>
            </w:r>
          </w:p>
        </w:tc>
        <w:tc>
          <w:tcPr>
            <w:tcW w:w="6811"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07" w:hRule="atLeast"/>
          <w:jc w:val="center"/>
        </w:trPr>
        <w:tc>
          <w:tcPr>
            <w:tcW w:w="2442"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center"/>
              <w:rPr>
                <w:rFonts w:hint="eastAsia" w:ascii="宋体" w:hAnsi="宋体" w:eastAsia="宋体" w:cs="宋体"/>
                <w:color w:val="auto"/>
                <w:sz w:val="24"/>
                <w:szCs w:val="24"/>
                <w:highlight w:val="none"/>
                <w:lang w:val="en-US" w:eastAsia="zh-CN"/>
              </w:rPr>
            </w:pPr>
            <w:r>
              <w:rPr>
                <w:rFonts w:hint="eastAsia" w:cs="宋体"/>
                <w:color w:val="auto"/>
                <w:sz w:val="24"/>
                <w:szCs w:val="24"/>
                <w:highlight w:val="none"/>
                <w:lang w:val="en-US" w:eastAsia="zh-CN"/>
              </w:rPr>
              <w:t>质量</w:t>
            </w:r>
            <w:r>
              <w:rPr>
                <w:rFonts w:hint="eastAsia" w:ascii="宋体" w:hAnsi="宋体" w:eastAsia="宋体" w:cs="宋体"/>
                <w:color w:val="auto"/>
                <w:sz w:val="24"/>
                <w:szCs w:val="24"/>
                <w:highlight w:val="none"/>
                <w:lang w:val="en-US" w:eastAsia="zh-CN"/>
              </w:rPr>
              <w:t>要求</w:t>
            </w:r>
          </w:p>
        </w:tc>
        <w:tc>
          <w:tcPr>
            <w:tcW w:w="6811"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合格（以采购人要求为准）。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3" w:hRule="atLeast"/>
          <w:jc w:val="center"/>
        </w:trPr>
        <w:tc>
          <w:tcPr>
            <w:tcW w:w="2442"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付款方式</w:t>
            </w:r>
          </w:p>
        </w:tc>
        <w:tc>
          <w:tcPr>
            <w:tcW w:w="6811"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以合同签订为准。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75" w:hRule="atLeast"/>
          <w:jc w:val="center"/>
        </w:trPr>
        <w:tc>
          <w:tcPr>
            <w:tcW w:w="2442"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售后技术服务要求、售后服务保障要求</w:t>
            </w:r>
          </w:p>
        </w:tc>
        <w:tc>
          <w:tcPr>
            <w:tcW w:w="6811"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中标人须提供后期服务保障和技术支持。</w:t>
            </w:r>
          </w:p>
        </w:tc>
      </w:tr>
    </w:tbl>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 采购人对项目的特殊要求及说明</w:t>
      </w:r>
    </w:p>
    <w:tbl>
      <w:tblPr>
        <w:tblStyle w:val="32"/>
        <w:tblW w:w="92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26"/>
        <w:gridCol w:w="72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9" w:hRule="atLeast"/>
          <w:jc w:val="center"/>
        </w:trPr>
        <w:tc>
          <w:tcPr>
            <w:tcW w:w="202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采购人的特殊要求及说明理由</w:t>
            </w:r>
          </w:p>
        </w:tc>
        <w:tc>
          <w:tcPr>
            <w:tcW w:w="7244" w:type="dxa"/>
            <w:tcBorders>
              <w:top w:val="single" w:color="auto" w:sz="4" w:space="0"/>
              <w:left w:val="single" w:color="auto" w:sz="4" w:space="0"/>
              <w:bottom w:val="single" w:color="auto" w:sz="4" w:space="0"/>
              <w:right w:val="single" w:color="auto" w:sz="4" w:space="0"/>
            </w:tcBorders>
            <w:vAlign w:val="center"/>
          </w:tcPr>
          <w:p>
            <w:pPr>
              <w:widowControl/>
              <w:numPr>
                <w:ilvl w:val="0"/>
                <w:numId w:val="4"/>
              </w:numPr>
              <w:snapToGrid w:val="0"/>
              <w:spacing w:line="360" w:lineRule="auto"/>
              <w:rPr>
                <w:rFonts w:hint="eastAsia" w:ascii="宋体" w:hAnsi="宋体" w:eastAsia="宋体" w:cs="宋体"/>
                <w:sz w:val="24"/>
                <w:szCs w:val="24"/>
              </w:rPr>
            </w:pPr>
            <w:r>
              <w:rPr>
                <w:rFonts w:hint="eastAsia" w:ascii="宋体" w:hAnsi="宋体" w:eastAsia="宋体" w:cs="宋体"/>
                <w:sz w:val="24"/>
                <w:szCs w:val="24"/>
              </w:rPr>
              <w:t>不接受联合体投标，不允许转包和分包。</w:t>
            </w:r>
          </w:p>
          <w:p>
            <w:pPr>
              <w:widowControl/>
              <w:snapToGrid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2、授权评标委员会确定一名中标人并推荐两名中标候选人。</w:t>
            </w:r>
          </w:p>
          <w:p>
            <w:pPr>
              <w:widowControl/>
              <w:snapToGrid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3、供应商应根据采购文件的要求提供技术响应表、商务响应表等内容以对采购文件作出响应。</w:t>
            </w:r>
          </w:p>
        </w:tc>
      </w:tr>
    </w:tbl>
    <w:p>
      <w:pPr>
        <w:jc w:val="both"/>
        <w:rPr>
          <w:rFonts w:hint="eastAsia" w:ascii="宋体" w:hAnsi="宋体" w:eastAsia="宋体" w:cs="宋体"/>
          <w:b/>
          <w:bCs/>
          <w:color w:val="auto"/>
          <w:sz w:val="32"/>
          <w:szCs w:val="32"/>
          <w:highlight w:val="none"/>
        </w:rPr>
        <w:sectPr>
          <w:pgSz w:w="11906" w:h="16838"/>
          <w:pgMar w:top="1417" w:right="1474" w:bottom="1417" w:left="1474" w:header="851" w:footer="624" w:gutter="0"/>
          <w:pgNumType w:fmt="decimal"/>
          <w:cols w:space="720" w:num="1"/>
          <w:docGrid w:type="lines" w:linePitch="319" w:charSpace="0"/>
        </w:sectPr>
      </w:pPr>
    </w:p>
    <w:p>
      <w:pPr>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 xml:space="preserve">第三章  </w:t>
      </w:r>
      <w:r>
        <w:rPr>
          <w:rFonts w:hint="eastAsia" w:ascii="宋体" w:hAnsi="宋体" w:eastAsia="宋体" w:cs="宋体"/>
          <w:b/>
          <w:bCs/>
          <w:color w:val="auto"/>
          <w:sz w:val="32"/>
          <w:szCs w:val="32"/>
          <w:highlight w:val="none"/>
          <w:lang w:eastAsia="zh-CN"/>
        </w:rPr>
        <w:t>供应商</w:t>
      </w:r>
      <w:r>
        <w:rPr>
          <w:rFonts w:hint="eastAsia" w:ascii="宋体" w:hAnsi="宋体" w:eastAsia="宋体" w:cs="宋体"/>
          <w:b/>
          <w:bCs/>
          <w:color w:val="auto"/>
          <w:sz w:val="32"/>
          <w:szCs w:val="32"/>
          <w:highlight w:val="none"/>
        </w:rPr>
        <w:t>须知</w:t>
      </w:r>
      <w:bookmarkEnd w:id="40"/>
    </w:p>
    <w:p>
      <w:pPr>
        <w:snapToGrid w:val="0"/>
        <w:spacing w:beforeLines="50"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供应商</w:t>
      </w:r>
      <w:r>
        <w:rPr>
          <w:rFonts w:hint="eastAsia" w:ascii="宋体" w:hAnsi="宋体" w:eastAsia="宋体" w:cs="宋体"/>
          <w:color w:val="auto"/>
          <w:sz w:val="28"/>
          <w:szCs w:val="28"/>
          <w:highlight w:val="none"/>
        </w:rPr>
        <w:t>须知前附表</w:t>
      </w:r>
    </w:p>
    <w:tbl>
      <w:tblPr>
        <w:tblStyle w:val="32"/>
        <w:tblW w:w="9239" w:type="dxa"/>
        <w:jc w:val="center"/>
        <w:tblLayout w:type="fixed"/>
        <w:tblCellMar>
          <w:top w:w="0" w:type="dxa"/>
          <w:left w:w="0" w:type="dxa"/>
          <w:bottom w:w="0" w:type="dxa"/>
          <w:right w:w="0" w:type="dxa"/>
        </w:tblCellMar>
      </w:tblPr>
      <w:tblGrid>
        <w:gridCol w:w="869"/>
        <w:gridCol w:w="8370"/>
      </w:tblGrid>
      <w:tr>
        <w:tblPrEx>
          <w:tblCellMar>
            <w:top w:w="0" w:type="dxa"/>
            <w:left w:w="0" w:type="dxa"/>
            <w:bottom w:w="0" w:type="dxa"/>
            <w:right w:w="0" w:type="dxa"/>
          </w:tblCellMar>
        </w:tblPrEx>
        <w:trPr>
          <w:trHeight w:val="523" w:hRule="atLeast"/>
          <w:jc w:val="center"/>
        </w:trPr>
        <w:tc>
          <w:tcPr>
            <w:tcW w:w="869"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序号</w:t>
            </w:r>
          </w:p>
        </w:tc>
        <w:tc>
          <w:tcPr>
            <w:tcW w:w="8370"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内容、要求</w:t>
            </w:r>
          </w:p>
        </w:tc>
      </w:tr>
      <w:tr>
        <w:tblPrEx>
          <w:tblCellMar>
            <w:top w:w="0" w:type="dxa"/>
            <w:left w:w="0" w:type="dxa"/>
            <w:bottom w:w="0" w:type="dxa"/>
            <w:right w:w="0" w:type="dxa"/>
          </w:tblCellMar>
        </w:tblPrEx>
        <w:trPr>
          <w:trHeight w:val="1432"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360" w:lineRule="auto"/>
              <w:jc w:val="left"/>
              <w:outlineLvl w:val="0"/>
              <w:rPr>
                <w:rFonts w:hint="eastAsia" w:ascii="宋体" w:hAnsi="宋体" w:eastAsia="宋体" w:cs="宋体"/>
                <w:sz w:val="24"/>
                <w:szCs w:val="24"/>
              </w:rPr>
            </w:pPr>
            <w:r>
              <w:rPr>
                <w:rFonts w:hint="eastAsia" w:ascii="宋体" w:hAnsi="宋体" w:eastAsia="宋体" w:cs="宋体"/>
                <w:color w:val="auto"/>
                <w:sz w:val="24"/>
                <w:szCs w:val="24"/>
                <w:highlight w:val="none"/>
              </w:rPr>
              <w:t>1.1项目名称：</w:t>
            </w:r>
            <w:r>
              <w:rPr>
                <w:rFonts w:hint="eastAsia" w:ascii="宋体" w:hAnsi="宋体" w:cs="宋体"/>
                <w:color w:val="auto"/>
                <w:sz w:val="24"/>
                <w:szCs w:val="24"/>
                <w:highlight w:val="none"/>
                <w:lang w:val="en-US" w:eastAsia="zh-CN"/>
              </w:rPr>
              <w:t>驻马店市中心医院IT运维监控管理系统采购项目</w:t>
            </w:r>
          </w:p>
          <w:p>
            <w:pPr>
              <w:widowControl/>
              <w:snapToGrid w:val="0"/>
              <w:spacing w:line="360" w:lineRule="auto"/>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1.2采购人名称：驻马店市中心医院</w:t>
            </w:r>
          </w:p>
          <w:p>
            <w:pPr>
              <w:widowControl/>
              <w:snapToGrid w:val="0"/>
              <w:spacing w:line="360" w:lineRule="auto"/>
              <w:jc w:val="left"/>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采购范围：详</w:t>
            </w:r>
            <w:r>
              <w:rPr>
                <w:rFonts w:hint="eastAsia" w:ascii="宋体" w:hAnsi="宋体" w:eastAsia="宋体" w:cs="宋体"/>
                <w:color w:val="auto"/>
                <w:sz w:val="24"/>
                <w:szCs w:val="24"/>
                <w:highlight w:val="none"/>
                <w:lang w:val="en-US" w:eastAsia="zh-CN"/>
              </w:rPr>
              <w:t>见第二章采购</w:t>
            </w:r>
            <w:r>
              <w:rPr>
                <w:rFonts w:hint="eastAsia" w:ascii="宋体" w:hAnsi="宋体" w:eastAsia="宋体" w:cs="宋体"/>
                <w:color w:val="auto"/>
                <w:sz w:val="24"/>
                <w:szCs w:val="24"/>
                <w:highlight w:val="none"/>
              </w:rPr>
              <w:t>需求</w:t>
            </w:r>
          </w:p>
        </w:tc>
      </w:tr>
      <w:tr>
        <w:tblPrEx>
          <w:tblCellMar>
            <w:top w:w="0" w:type="dxa"/>
            <w:left w:w="0" w:type="dxa"/>
            <w:bottom w:w="0" w:type="dxa"/>
            <w:right w:w="0" w:type="dxa"/>
          </w:tblCellMar>
        </w:tblPrEx>
        <w:trPr>
          <w:trHeight w:val="70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合格</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：具备</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公告第二项规定的条件。</w:t>
            </w:r>
          </w:p>
        </w:tc>
      </w:tr>
      <w:tr>
        <w:tblPrEx>
          <w:tblCellMar>
            <w:top w:w="0" w:type="dxa"/>
            <w:left w:w="0" w:type="dxa"/>
            <w:bottom w:w="0" w:type="dxa"/>
            <w:right w:w="0" w:type="dxa"/>
          </w:tblCellMar>
        </w:tblPrEx>
        <w:trPr>
          <w:trHeight w:val="1903"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360" w:lineRule="auto"/>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采购预算（最高投标限价）：</w:t>
            </w:r>
            <w:r>
              <w:rPr>
                <w:rFonts w:hint="eastAsia" w:ascii="宋体" w:hAnsi="宋体" w:cs="宋体"/>
                <w:color w:val="auto"/>
                <w:kern w:val="0"/>
                <w:sz w:val="24"/>
                <w:szCs w:val="24"/>
                <w:highlight w:val="none"/>
                <w:lang w:val="en-US" w:eastAsia="zh-CN"/>
              </w:rPr>
              <w:t>48</w:t>
            </w:r>
            <w:r>
              <w:rPr>
                <w:rFonts w:hint="eastAsia" w:ascii="宋体" w:hAnsi="宋体" w:eastAsia="宋体" w:cs="宋体"/>
                <w:color w:val="auto"/>
                <w:kern w:val="0"/>
                <w:sz w:val="24"/>
                <w:szCs w:val="24"/>
                <w:highlight w:val="none"/>
                <w:lang w:val="en-US" w:eastAsia="zh-CN"/>
              </w:rPr>
              <w:t>万</w:t>
            </w:r>
            <w:r>
              <w:rPr>
                <w:rFonts w:hint="eastAsia" w:ascii="宋体" w:hAnsi="宋体" w:eastAsia="宋体" w:cs="宋体"/>
                <w:color w:val="auto"/>
                <w:kern w:val="0"/>
                <w:sz w:val="24"/>
                <w:szCs w:val="24"/>
                <w:highlight w:val="none"/>
              </w:rPr>
              <w:t>元</w:t>
            </w:r>
          </w:p>
          <w:p>
            <w:pPr>
              <w:widowControl/>
              <w:snapToGrid w:val="0"/>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3.1 本项目投标以人民币报价。</w:t>
            </w:r>
          </w:p>
          <w:p>
            <w:pPr>
              <w:widowControl/>
              <w:snapToGrid w:val="0"/>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3.2 供应商的报价超过采购预算，采购人不能支付的，按废标处理。</w:t>
            </w:r>
          </w:p>
          <w:p>
            <w:pPr>
              <w:widowControl/>
              <w:snapToGrid w:val="0"/>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3.3 本项目</w:t>
            </w:r>
            <w:r>
              <w:rPr>
                <w:rFonts w:hint="eastAsia" w:ascii="宋体" w:hAnsi="宋体" w:eastAsia="宋体" w:cs="宋体"/>
                <w:color w:val="auto"/>
                <w:kern w:val="0"/>
                <w:sz w:val="24"/>
                <w:szCs w:val="24"/>
                <w:highlight w:val="none"/>
                <w:lang w:val="en-US" w:eastAsia="zh-CN"/>
              </w:rPr>
              <w:t>由成交供应商缴纳</w:t>
            </w:r>
            <w:r>
              <w:rPr>
                <w:rFonts w:hint="eastAsia" w:ascii="宋体" w:hAnsi="宋体" w:eastAsia="宋体" w:cs="宋体"/>
                <w:color w:val="auto"/>
                <w:kern w:val="0"/>
                <w:sz w:val="24"/>
                <w:szCs w:val="24"/>
                <w:highlight w:val="none"/>
              </w:rPr>
              <w:t>招标代理服务费。</w:t>
            </w:r>
          </w:p>
        </w:tc>
      </w:tr>
      <w:tr>
        <w:tblPrEx>
          <w:tblCellMar>
            <w:top w:w="0" w:type="dxa"/>
            <w:left w:w="0" w:type="dxa"/>
            <w:bottom w:w="0" w:type="dxa"/>
            <w:right w:w="0" w:type="dxa"/>
          </w:tblCellMar>
        </w:tblPrEx>
        <w:trPr>
          <w:trHeight w:val="70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现场踏勘或标前答疑：本项目不组织现场踏勘或标前答疑会。</w:t>
            </w:r>
          </w:p>
        </w:tc>
      </w:tr>
      <w:tr>
        <w:tblPrEx>
          <w:tblCellMar>
            <w:top w:w="0" w:type="dxa"/>
            <w:left w:w="0" w:type="dxa"/>
            <w:bottom w:w="0" w:type="dxa"/>
            <w:right w:w="0" w:type="dxa"/>
          </w:tblCellMar>
        </w:tblPrEx>
        <w:trPr>
          <w:trHeight w:val="70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lang w:eastAsia="zh-CN"/>
              </w:rPr>
              <w:t>响应性文件</w:t>
            </w:r>
            <w:r>
              <w:rPr>
                <w:rFonts w:hint="eastAsia" w:ascii="宋体" w:hAnsi="宋体" w:eastAsia="宋体" w:cs="宋体"/>
                <w:sz w:val="24"/>
                <w:szCs w:val="24"/>
              </w:rPr>
              <w:t>组成：纸质</w:t>
            </w:r>
            <w:r>
              <w:rPr>
                <w:rFonts w:hint="eastAsia" w:ascii="宋体" w:hAnsi="宋体" w:eastAsia="宋体" w:cs="宋体"/>
                <w:sz w:val="24"/>
                <w:szCs w:val="24"/>
                <w:lang w:eastAsia="zh-CN"/>
              </w:rPr>
              <w:t>响应性文件</w:t>
            </w:r>
            <w:r>
              <w:rPr>
                <w:rFonts w:hint="eastAsia" w:ascii="宋体" w:hAnsi="宋体" w:eastAsia="宋体" w:cs="宋体"/>
                <w:sz w:val="24"/>
                <w:szCs w:val="24"/>
              </w:rPr>
              <w:t>正本1份</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副本2份</w:t>
            </w:r>
            <w:r>
              <w:rPr>
                <w:rFonts w:hint="eastAsia" w:ascii="宋体" w:hAnsi="宋体" w:eastAsia="宋体" w:cs="宋体"/>
                <w:sz w:val="24"/>
                <w:szCs w:val="24"/>
              </w:rPr>
              <w:t>。</w:t>
            </w:r>
          </w:p>
        </w:tc>
      </w:tr>
      <w:tr>
        <w:tblPrEx>
          <w:tblCellMar>
            <w:top w:w="0" w:type="dxa"/>
            <w:left w:w="0" w:type="dxa"/>
            <w:bottom w:w="0" w:type="dxa"/>
            <w:right w:w="0" w:type="dxa"/>
          </w:tblCellMar>
        </w:tblPrEx>
        <w:trPr>
          <w:trHeight w:val="961"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投标截止时间</w:t>
            </w:r>
            <w:r>
              <w:rPr>
                <w:rFonts w:hint="eastAsia" w:ascii="宋体" w:hAnsi="宋体" w:eastAsia="宋体" w:cs="宋体"/>
                <w:color w:val="auto"/>
                <w:kern w:val="0"/>
                <w:sz w:val="24"/>
                <w:szCs w:val="24"/>
                <w:highlight w:val="none"/>
                <w:lang w:val="en-US" w:eastAsia="zh-CN"/>
              </w:rPr>
              <w:t>及开标时间</w:t>
            </w:r>
            <w:r>
              <w:rPr>
                <w:rFonts w:hint="eastAsia" w:ascii="宋体" w:hAnsi="宋体" w:eastAsia="宋体" w:cs="宋体"/>
                <w:color w:val="auto"/>
                <w:kern w:val="0"/>
                <w:sz w:val="24"/>
                <w:szCs w:val="24"/>
                <w:highlight w:val="none"/>
              </w:rPr>
              <w:t>：</w:t>
            </w:r>
            <w:r>
              <w:rPr>
                <w:rFonts w:hint="eastAsia" w:ascii="宋体" w:hAnsi="宋体" w:eastAsia="宋体" w:cs="宋体"/>
                <w:color w:val="000000"/>
                <w:sz w:val="24"/>
                <w:szCs w:val="24"/>
                <w:highlight w:val="none"/>
                <w:lang w:val="en-US" w:eastAsia="zh-CN"/>
              </w:rPr>
              <w:t>另行通知</w:t>
            </w:r>
          </w:p>
          <w:p>
            <w:pPr>
              <w:widowControl/>
              <w:snapToGrid w:val="0"/>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递交地点</w:t>
            </w:r>
            <w:r>
              <w:rPr>
                <w:rFonts w:hint="eastAsia" w:ascii="宋体" w:hAnsi="宋体" w:eastAsia="宋体" w:cs="宋体"/>
                <w:color w:val="auto"/>
                <w:kern w:val="0"/>
                <w:sz w:val="24"/>
                <w:szCs w:val="24"/>
                <w:highlight w:val="none"/>
                <w:lang w:val="en-US" w:eastAsia="zh-CN"/>
              </w:rPr>
              <w:t>及开标地点</w:t>
            </w:r>
            <w:r>
              <w:rPr>
                <w:rFonts w:hint="eastAsia" w:ascii="宋体" w:hAnsi="宋体" w:eastAsia="宋体" w:cs="宋体"/>
                <w:color w:val="auto"/>
                <w:kern w:val="0"/>
                <w:sz w:val="24"/>
                <w:szCs w:val="24"/>
                <w:highlight w:val="none"/>
              </w:rPr>
              <w:t>：</w:t>
            </w:r>
            <w:r>
              <w:rPr>
                <w:rFonts w:hint="eastAsia" w:ascii="宋体" w:hAnsi="宋体" w:eastAsia="宋体" w:cs="宋体"/>
                <w:color w:val="000000"/>
                <w:sz w:val="24"/>
                <w:szCs w:val="24"/>
                <w:highlight w:val="none"/>
                <w:lang w:val="en-US" w:eastAsia="zh-CN"/>
              </w:rPr>
              <w:t>另行通知</w:t>
            </w:r>
            <w:r>
              <w:rPr>
                <w:rFonts w:hint="eastAsia" w:ascii="宋体" w:hAnsi="宋体" w:eastAsia="宋体" w:cs="宋体"/>
                <w:color w:val="auto"/>
                <w:kern w:val="0"/>
                <w:sz w:val="24"/>
                <w:szCs w:val="24"/>
                <w:highlight w:val="none"/>
              </w:rPr>
              <w:t>。</w:t>
            </w:r>
          </w:p>
        </w:tc>
      </w:tr>
      <w:tr>
        <w:tblPrEx>
          <w:tblCellMar>
            <w:top w:w="0" w:type="dxa"/>
            <w:left w:w="0" w:type="dxa"/>
            <w:bottom w:w="0" w:type="dxa"/>
            <w:right w:w="0" w:type="dxa"/>
          </w:tblCellMar>
        </w:tblPrEx>
        <w:trPr>
          <w:trHeight w:val="98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评审委员会成</w:t>
            </w:r>
            <w:r>
              <w:rPr>
                <w:rFonts w:hint="eastAsia" w:ascii="宋体" w:hAnsi="宋体" w:eastAsia="宋体" w:cs="宋体"/>
                <w:color w:val="auto"/>
                <w:kern w:val="0"/>
                <w:sz w:val="24"/>
                <w:szCs w:val="24"/>
                <w:highlight w:val="none"/>
              </w:rPr>
              <w:t>员：</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人</w:t>
            </w:r>
            <w:r>
              <w:rPr>
                <w:rFonts w:hint="eastAsia" w:ascii="宋体" w:hAnsi="宋体" w:eastAsia="宋体" w:cs="宋体"/>
                <w:color w:val="auto"/>
                <w:sz w:val="24"/>
                <w:szCs w:val="24"/>
                <w:highlight w:val="none"/>
                <w:lang w:val="en-US" w:eastAsia="zh-CN"/>
              </w:rPr>
              <w:t>及以上单数</w:t>
            </w:r>
            <w:r>
              <w:rPr>
                <w:rFonts w:hint="eastAsia" w:ascii="宋体" w:hAnsi="宋体" w:eastAsia="宋体" w:cs="宋体"/>
                <w:color w:val="auto"/>
                <w:kern w:val="0"/>
                <w:sz w:val="24"/>
                <w:szCs w:val="24"/>
                <w:highlight w:val="none"/>
              </w:rPr>
              <w:t>。</w:t>
            </w:r>
          </w:p>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专家确定方式：</w:t>
            </w:r>
            <w:r>
              <w:rPr>
                <w:rFonts w:hint="eastAsia" w:ascii="宋体" w:hAnsi="宋体" w:eastAsia="宋体" w:cs="宋体"/>
                <w:color w:val="auto"/>
                <w:kern w:val="0"/>
                <w:sz w:val="24"/>
                <w:szCs w:val="24"/>
                <w:highlight w:val="none"/>
              </w:rPr>
              <w:t>由采购人</w:t>
            </w:r>
            <w:r>
              <w:rPr>
                <w:rFonts w:hint="eastAsia" w:ascii="宋体" w:hAnsi="宋体" w:eastAsia="宋体" w:cs="宋体"/>
                <w:color w:val="auto"/>
                <w:kern w:val="0"/>
                <w:sz w:val="24"/>
                <w:szCs w:val="24"/>
                <w:highlight w:val="none"/>
                <w:lang w:val="en-US" w:eastAsia="zh-CN"/>
              </w:rPr>
              <w:t>抽取相关的技术人员组成</w:t>
            </w:r>
            <w:r>
              <w:rPr>
                <w:rFonts w:hint="eastAsia" w:ascii="宋体" w:hAnsi="宋体" w:eastAsia="宋体" w:cs="宋体"/>
                <w:color w:val="auto"/>
                <w:kern w:val="0"/>
                <w:sz w:val="24"/>
                <w:szCs w:val="24"/>
                <w:highlight w:val="none"/>
              </w:rPr>
              <w:t>。</w:t>
            </w:r>
          </w:p>
        </w:tc>
      </w:tr>
      <w:tr>
        <w:tblPrEx>
          <w:tblCellMar>
            <w:top w:w="0" w:type="dxa"/>
            <w:left w:w="0" w:type="dxa"/>
            <w:bottom w:w="0" w:type="dxa"/>
            <w:right w:w="0" w:type="dxa"/>
          </w:tblCellMar>
        </w:tblPrEx>
        <w:trPr>
          <w:trHeight w:val="70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8 </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评标办法：</w:t>
            </w:r>
            <w:r>
              <w:rPr>
                <w:rFonts w:hint="eastAsia" w:ascii="宋体" w:hAnsi="宋体" w:eastAsia="宋体" w:cs="宋体"/>
                <w:color w:val="auto"/>
                <w:kern w:val="0"/>
                <w:sz w:val="24"/>
                <w:szCs w:val="24"/>
                <w:highlight w:val="none"/>
              </w:rPr>
              <w:t>本项目采用</w:t>
            </w:r>
            <w:r>
              <w:rPr>
                <w:rFonts w:hint="eastAsia" w:ascii="宋体" w:hAnsi="宋体" w:eastAsia="宋体" w:cs="宋体"/>
                <w:color w:val="auto"/>
                <w:sz w:val="24"/>
                <w:szCs w:val="24"/>
                <w:highlight w:val="none"/>
              </w:rPr>
              <w:t>综合评分法</w:t>
            </w:r>
            <w:r>
              <w:rPr>
                <w:rFonts w:hint="eastAsia" w:ascii="宋体" w:hAnsi="宋体" w:eastAsia="宋体" w:cs="宋体"/>
                <w:color w:val="auto"/>
                <w:kern w:val="0"/>
                <w:sz w:val="24"/>
                <w:szCs w:val="24"/>
                <w:highlight w:val="none"/>
              </w:rPr>
              <w:t>。</w:t>
            </w:r>
          </w:p>
        </w:tc>
      </w:tr>
      <w:tr>
        <w:tblPrEx>
          <w:tblCellMar>
            <w:top w:w="0" w:type="dxa"/>
            <w:left w:w="0" w:type="dxa"/>
            <w:bottom w:w="0" w:type="dxa"/>
            <w:right w:w="0" w:type="dxa"/>
          </w:tblCellMar>
        </w:tblPrEx>
        <w:trPr>
          <w:trHeight w:val="1468"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中标</w:t>
            </w:r>
            <w:r>
              <w:rPr>
                <w:rFonts w:hint="eastAsia" w:ascii="宋体" w:hAnsi="宋体" w:eastAsia="宋体" w:cs="宋体"/>
                <w:color w:val="auto"/>
                <w:kern w:val="0"/>
                <w:sz w:val="24"/>
                <w:szCs w:val="24"/>
                <w:highlight w:val="none"/>
              </w:rPr>
              <w:t>公告及</w:t>
            </w:r>
            <w:r>
              <w:rPr>
                <w:rFonts w:hint="eastAsia" w:ascii="宋体" w:hAnsi="宋体" w:cs="宋体"/>
                <w:color w:val="auto"/>
                <w:kern w:val="0"/>
                <w:sz w:val="24"/>
                <w:szCs w:val="24"/>
                <w:highlight w:val="none"/>
                <w:lang w:val="en-US" w:eastAsia="zh-CN"/>
              </w:rPr>
              <w:t>中标</w:t>
            </w:r>
            <w:r>
              <w:rPr>
                <w:rFonts w:hint="eastAsia" w:ascii="宋体" w:hAnsi="宋体" w:eastAsia="宋体" w:cs="宋体"/>
                <w:color w:val="auto"/>
                <w:kern w:val="0"/>
                <w:sz w:val="24"/>
                <w:szCs w:val="24"/>
                <w:highlight w:val="none"/>
              </w:rPr>
              <w:t>通知书：由采购人授权</w:t>
            </w:r>
            <w:r>
              <w:rPr>
                <w:rFonts w:hint="eastAsia" w:ascii="宋体" w:hAnsi="宋体" w:eastAsia="宋体" w:cs="宋体"/>
                <w:color w:val="auto"/>
                <w:kern w:val="0"/>
                <w:sz w:val="24"/>
                <w:szCs w:val="24"/>
                <w:highlight w:val="none"/>
                <w:lang w:eastAsia="zh-CN"/>
              </w:rPr>
              <w:t>评标委员会</w:t>
            </w:r>
            <w:r>
              <w:rPr>
                <w:rFonts w:hint="eastAsia" w:ascii="宋体" w:hAnsi="宋体" w:eastAsia="宋体" w:cs="宋体"/>
                <w:color w:val="auto"/>
                <w:kern w:val="0"/>
                <w:sz w:val="24"/>
                <w:szCs w:val="24"/>
                <w:highlight w:val="none"/>
              </w:rPr>
              <w:t>确定一名</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并推荐两名</w:t>
            </w:r>
            <w:r>
              <w:rPr>
                <w:rFonts w:hint="eastAsia" w:ascii="宋体" w:hAnsi="宋体" w:eastAsia="宋体" w:cs="宋体"/>
                <w:color w:val="auto"/>
                <w:kern w:val="0"/>
                <w:sz w:val="24"/>
                <w:szCs w:val="24"/>
                <w:highlight w:val="none"/>
                <w:lang w:eastAsia="zh-CN"/>
              </w:rPr>
              <w:t>中标候选人</w:t>
            </w:r>
            <w:r>
              <w:rPr>
                <w:rFonts w:hint="eastAsia" w:ascii="宋体" w:hAnsi="宋体" w:eastAsia="宋体" w:cs="宋体"/>
                <w:color w:val="auto"/>
                <w:kern w:val="0"/>
                <w:sz w:val="24"/>
                <w:szCs w:val="24"/>
                <w:highlight w:val="none"/>
              </w:rPr>
              <w:t>。评审结束后</w:t>
            </w:r>
            <w:r>
              <w:rPr>
                <w:rFonts w:hint="eastAsia" w:ascii="宋体" w:hAnsi="宋体" w:eastAsia="宋体" w:cs="宋体"/>
                <w:color w:val="auto"/>
                <w:kern w:val="0"/>
                <w:sz w:val="24"/>
                <w:szCs w:val="24"/>
                <w:highlight w:val="none"/>
                <w:lang w:val="en-US" w:eastAsia="zh-CN"/>
              </w:rPr>
              <w:t>在</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驻马店市中心医院网</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上发布</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公告，</w:t>
            </w:r>
            <w:r>
              <w:rPr>
                <w:rFonts w:hint="eastAsia" w:ascii="宋体" w:hAnsi="宋体" w:eastAsia="宋体" w:cs="宋体"/>
                <w:color w:val="auto"/>
                <w:kern w:val="0"/>
                <w:sz w:val="24"/>
                <w:szCs w:val="24"/>
                <w:highlight w:val="none"/>
                <w:lang w:val="en-US" w:eastAsia="zh-CN"/>
              </w:rPr>
              <w:t>公示期结束后</w:t>
            </w:r>
            <w:r>
              <w:rPr>
                <w:rFonts w:hint="eastAsia" w:ascii="宋体" w:hAnsi="宋体" w:eastAsia="宋体" w:cs="宋体"/>
                <w:color w:val="auto"/>
                <w:kern w:val="0"/>
                <w:sz w:val="24"/>
                <w:szCs w:val="24"/>
                <w:highlight w:val="none"/>
              </w:rPr>
              <w:t>向</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发出</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通知书。</w:t>
            </w:r>
          </w:p>
        </w:tc>
      </w:tr>
      <w:tr>
        <w:tblPrEx>
          <w:tblCellMar>
            <w:top w:w="0" w:type="dxa"/>
            <w:left w:w="0" w:type="dxa"/>
            <w:bottom w:w="0" w:type="dxa"/>
            <w:right w:w="0" w:type="dxa"/>
          </w:tblCellMar>
        </w:tblPrEx>
        <w:trPr>
          <w:trHeight w:val="70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签订合同：自</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通知书发出之日起</w:t>
            </w:r>
            <w:r>
              <w:rPr>
                <w:rFonts w:hint="eastAsia" w:ascii="宋体" w:hAnsi="宋体" w:eastAsia="宋体" w:cs="宋体"/>
                <w:color w:val="auto"/>
                <w:kern w:val="0"/>
                <w:sz w:val="24"/>
                <w:szCs w:val="24"/>
                <w:highlight w:val="none"/>
                <w:lang w:val="en-US" w:eastAsia="zh-CN"/>
              </w:rPr>
              <w:t>三十</w:t>
            </w:r>
            <w:r>
              <w:rPr>
                <w:rFonts w:hint="eastAsia" w:ascii="宋体" w:hAnsi="宋体" w:eastAsia="宋体" w:cs="宋体"/>
                <w:color w:val="auto"/>
                <w:kern w:val="0"/>
                <w:sz w:val="24"/>
                <w:szCs w:val="24"/>
                <w:highlight w:val="none"/>
              </w:rPr>
              <w:t>个</w:t>
            </w:r>
            <w:r>
              <w:rPr>
                <w:rFonts w:hint="eastAsia" w:ascii="宋体" w:hAnsi="宋体" w:eastAsia="宋体" w:cs="宋体"/>
                <w:color w:val="auto"/>
                <w:kern w:val="0"/>
                <w:sz w:val="24"/>
                <w:szCs w:val="24"/>
                <w:highlight w:val="none"/>
                <w:lang w:val="en-US" w:eastAsia="zh-CN"/>
              </w:rPr>
              <w:t>日历</w:t>
            </w:r>
            <w:r>
              <w:rPr>
                <w:rFonts w:hint="eastAsia" w:ascii="宋体" w:hAnsi="宋体" w:eastAsia="宋体" w:cs="宋体"/>
                <w:color w:val="auto"/>
                <w:kern w:val="0"/>
                <w:sz w:val="24"/>
                <w:szCs w:val="24"/>
                <w:highlight w:val="none"/>
              </w:rPr>
              <w:t>日内。</w:t>
            </w:r>
          </w:p>
        </w:tc>
      </w:tr>
      <w:tr>
        <w:tblPrEx>
          <w:tblCellMar>
            <w:top w:w="0" w:type="dxa"/>
            <w:left w:w="0" w:type="dxa"/>
            <w:bottom w:w="0" w:type="dxa"/>
            <w:right w:w="0" w:type="dxa"/>
          </w:tblCellMar>
        </w:tblPrEx>
        <w:trPr>
          <w:trHeight w:val="70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FF0000"/>
                <w:kern w:val="0"/>
                <w:sz w:val="24"/>
                <w:szCs w:val="24"/>
                <w:highlight w:val="none"/>
              </w:rPr>
            </w:pPr>
            <w:r>
              <w:rPr>
                <w:rFonts w:hint="eastAsia" w:ascii="宋体" w:hAnsi="宋体" w:eastAsia="宋体" w:cs="宋体"/>
                <w:color w:val="auto"/>
                <w:kern w:val="0"/>
                <w:sz w:val="24"/>
                <w:szCs w:val="24"/>
                <w:highlight w:val="none"/>
              </w:rPr>
              <w:t>11</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FF0000"/>
                <w:kern w:val="0"/>
                <w:sz w:val="24"/>
                <w:szCs w:val="24"/>
                <w:highlight w:val="none"/>
              </w:rPr>
            </w:pPr>
            <w:r>
              <w:rPr>
                <w:rFonts w:hint="eastAsia" w:ascii="宋体" w:hAnsi="宋体" w:eastAsia="宋体" w:cs="宋体"/>
                <w:color w:val="auto"/>
                <w:kern w:val="0"/>
                <w:sz w:val="24"/>
                <w:szCs w:val="24"/>
                <w:highlight w:val="none"/>
              </w:rPr>
              <w:t>采购资金来源：自筹资金。</w:t>
            </w:r>
          </w:p>
        </w:tc>
      </w:tr>
      <w:tr>
        <w:tblPrEx>
          <w:tblCellMar>
            <w:top w:w="0" w:type="dxa"/>
            <w:left w:w="0" w:type="dxa"/>
            <w:bottom w:w="0" w:type="dxa"/>
            <w:right w:w="0" w:type="dxa"/>
          </w:tblCellMar>
        </w:tblPrEx>
        <w:trPr>
          <w:trHeight w:val="70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付款方式：详见第二章</w:t>
            </w:r>
            <w:r>
              <w:rPr>
                <w:rFonts w:hint="eastAsia" w:ascii="宋体" w:hAnsi="宋体" w:eastAsia="宋体" w:cs="宋体"/>
                <w:color w:val="auto"/>
                <w:kern w:val="0"/>
                <w:sz w:val="24"/>
                <w:szCs w:val="24"/>
                <w:highlight w:val="none"/>
                <w:lang w:eastAsia="zh-CN"/>
              </w:rPr>
              <w:t>采购</w:t>
            </w:r>
            <w:r>
              <w:rPr>
                <w:rFonts w:hint="eastAsia" w:ascii="宋体" w:hAnsi="宋体" w:eastAsia="宋体" w:cs="宋体"/>
                <w:color w:val="auto"/>
                <w:kern w:val="0"/>
                <w:sz w:val="24"/>
                <w:szCs w:val="24"/>
                <w:highlight w:val="none"/>
              </w:rPr>
              <w:t>需求。</w:t>
            </w:r>
          </w:p>
        </w:tc>
      </w:tr>
      <w:tr>
        <w:tblPrEx>
          <w:tblCellMar>
            <w:top w:w="0" w:type="dxa"/>
            <w:left w:w="0" w:type="dxa"/>
            <w:bottom w:w="0" w:type="dxa"/>
            <w:right w:w="0" w:type="dxa"/>
          </w:tblCellMar>
        </w:tblPrEx>
        <w:trPr>
          <w:trHeight w:val="98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有效期：</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lang w:val="en-US" w:eastAsia="zh-CN"/>
              </w:rPr>
              <w:t>递交</w:t>
            </w:r>
            <w:r>
              <w:rPr>
                <w:rFonts w:hint="eastAsia" w:ascii="宋体" w:hAnsi="宋体" w:eastAsia="宋体" w:cs="宋体"/>
                <w:color w:val="auto"/>
                <w:kern w:val="0"/>
                <w:sz w:val="24"/>
                <w:szCs w:val="24"/>
                <w:highlight w:val="none"/>
              </w:rPr>
              <w:t>截止期结束后</w:t>
            </w:r>
            <w:r>
              <w:rPr>
                <w:rFonts w:hint="eastAsia" w:ascii="宋体" w:hAnsi="宋体" w:eastAsia="宋体" w:cs="宋体"/>
                <w:color w:val="auto"/>
                <w:kern w:val="0"/>
                <w:sz w:val="24"/>
                <w:szCs w:val="24"/>
                <w:highlight w:val="none"/>
                <w:lang w:val="en-US" w:eastAsia="zh-CN"/>
              </w:rPr>
              <w:t>90</w:t>
            </w:r>
            <w:r>
              <w:rPr>
                <w:rFonts w:hint="eastAsia" w:ascii="宋体" w:hAnsi="宋体" w:eastAsia="宋体" w:cs="宋体"/>
                <w:color w:val="auto"/>
                <w:kern w:val="0"/>
                <w:sz w:val="24"/>
                <w:szCs w:val="24"/>
                <w:highlight w:val="none"/>
              </w:rPr>
              <w:t>日。</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的</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是合同的组成部分,有效期至合同完全履行止。 </w:t>
            </w:r>
          </w:p>
        </w:tc>
      </w:tr>
      <w:tr>
        <w:tblPrEx>
          <w:tblCellMar>
            <w:top w:w="0" w:type="dxa"/>
            <w:left w:w="0" w:type="dxa"/>
            <w:bottom w:w="0" w:type="dxa"/>
            <w:right w:w="0" w:type="dxa"/>
          </w:tblCellMar>
        </w:tblPrEx>
        <w:trPr>
          <w:trHeight w:val="704"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供应商须提供信用中国网站、中国政府采购网网站查询的网页截图。</w:t>
            </w:r>
          </w:p>
        </w:tc>
      </w:tr>
      <w:tr>
        <w:tblPrEx>
          <w:tblCellMar>
            <w:top w:w="0" w:type="dxa"/>
            <w:left w:w="0" w:type="dxa"/>
            <w:bottom w:w="0" w:type="dxa"/>
            <w:right w:w="0" w:type="dxa"/>
          </w:tblCellMar>
        </w:tblPrEx>
        <w:trPr>
          <w:trHeight w:val="1951"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eastAsia="宋体" w:cs="宋体"/>
                <w:color w:val="auto"/>
                <w:sz w:val="24"/>
                <w:szCs w:val="24"/>
                <w:highlight w:val="none"/>
              </w:rPr>
              <w:t>。</w:t>
            </w:r>
          </w:p>
        </w:tc>
      </w:tr>
      <w:tr>
        <w:tblPrEx>
          <w:tblCellMar>
            <w:top w:w="0" w:type="dxa"/>
            <w:left w:w="0" w:type="dxa"/>
            <w:bottom w:w="0" w:type="dxa"/>
            <w:right w:w="0" w:type="dxa"/>
          </w:tblCellMar>
        </w:tblPrEx>
        <w:trPr>
          <w:trHeight w:val="3399"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hint="eastAsia" w:ascii="宋体" w:hAnsi="宋体" w:eastAsia="宋体" w:cs="宋体"/>
                <w:color w:val="auto"/>
                <w:kern w:val="0"/>
                <w:sz w:val="24"/>
                <w:szCs w:val="24"/>
                <w:highlight w:val="none"/>
              </w:rPr>
            </w:pPr>
            <w:r>
              <w:rPr>
                <w:rFonts w:hint="eastAsia" w:ascii="宋体" w:hAnsi="宋体" w:eastAsia="宋体" w:cs="宋体"/>
                <w:bCs/>
                <w:color w:val="auto"/>
                <w:kern w:val="0"/>
                <w:sz w:val="24"/>
                <w:szCs w:val="24"/>
                <w:highlight w:val="none"/>
              </w:rPr>
              <w:t>质疑和投诉：供应商认为</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文件使自己的合法权益受到损害的，</w:t>
            </w:r>
            <w:r>
              <w:rPr>
                <w:rFonts w:hint="eastAsia" w:ascii="宋体" w:hAnsi="宋体" w:eastAsia="宋体" w:cs="宋体"/>
                <w:color w:val="auto"/>
                <w:kern w:val="0"/>
                <w:sz w:val="24"/>
                <w:szCs w:val="24"/>
                <w:highlight w:val="none"/>
              </w:rPr>
              <w:t>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公告期限届满之日(或收到</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文件之日)起</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个工作日之内向</w:t>
            </w:r>
            <w:r>
              <w:rPr>
                <w:rFonts w:hint="eastAsia" w:ascii="宋体" w:hAnsi="宋体" w:eastAsia="宋体" w:cs="宋体"/>
                <w:bCs/>
                <w:color w:val="auto"/>
                <w:kern w:val="0"/>
                <w:sz w:val="24"/>
                <w:szCs w:val="24"/>
                <w:highlight w:val="none"/>
              </w:rPr>
              <w:t>采购人提出质疑；供应商认为</w:t>
            </w:r>
            <w:r>
              <w:rPr>
                <w:rFonts w:hint="eastAsia" w:ascii="宋体" w:hAnsi="宋体" w:eastAsia="宋体" w:cs="宋体"/>
                <w:bCs/>
                <w:color w:val="auto"/>
                <w:kern w:val="0"/>
                <w:sz w:val="24"/>
                <w:szCs w:val="24"/>
                <w:highlight w:val="none"/>
                <w:lang w:eastAsia="zh-CN"/>
              </w:rPr>
              <w:t>磋商</w:t>
            </w:r>
            <w:r>
              <w:rPr>
                <w:rFonts w:hint="eastAsia" w:ascii="宋体" w:hAnsi="宋体" w:eastAsia="宋体" w:cs="宋体"/>
                <w:bCs/>
                <w:color w:val="auto"/>
                <w:kern w:val="0"/>
                <w:sz w:val="24"/>
                <w:szCs w:val="24"/>
                <w:highlight w:val="none"/>
              </w:rPr>
              <w:t>过程和</w:t>
            </w:r>
            <w:r>
              <w:rPr>
                <w:rFonts w:hint="eastAsia" w:ascii="宋体" w:hAnsi="宋体" w:eastAsia="宋体" w:cs="宋体"/>
                <w:bCs/>
                <w:color w:val="auto"/>
                <w:kern w:val="0"/>
                <w:sz w:val="24"/>
                <w:szCs w:val="24"/>
                <w:highlight w:val="none"/>
                <w:lang w:eastAsia="zh-CN"/>
              </w:rPr>
              <w:t>成交</w:t>
            </w:r>
            <w:r>
              <w:rPr>
                <w:rFonts w:hint="eastAsia" w:ascii="宋体" w:hAnsi="宋体" w:eastAsia="宋体" w:cs="宋体"/>
                <w:bCs/>
                <w:color w:val="auto"/>
                <w:kern w:val="0"/>
                <w:sz w:val="24"/>
                <w:szCs w:val="24"/>
                <w:highlight w:val="none"/>
              </w:rPr>
              <w:t>结果使自己的合法权益受到损害的，应当在知道或者应知其权益受到损害之日起</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个工作日内提出质疑。</w:t>
            </w:r>
            <w:r>
              <w:rPr>
                <w:rFonts w:hint="eastAsia" w:ascii="宋体" w:hAnsi="宋体" w:eastAsia="宋体" w:cs="宋体"/>
                <w:color w:val="auto"/>
                <w:kern w:val="0"/>
                <w:sz w:val="24"/>
                <w:szCs w:val="24"/>
                <w:highlight w:val="none"/>
              </w:rPr>
              <w:t>逾期不再受理,</w:t>
            </w:r>
            <w:r>
              <w:rPr>
                <w:rFonts w:hint="eastAsia" w:ascii="宋体" w:hAnsi="宋体" w:eastAsia="宋体" w:cs="宋体"/>
                <w:bCs/>
                <w:color w:val="auto"/>
                <w:kern w:val="0"/>
                <w:sz w:val="24"/>
                <w:szCs w:val="24"/>
                <w:highlight w:val="none"/>
              </w:rPr>
              <w:t>供应商在法定质疑期内应一次性提出针对同一采购环节的质疑</w:t>
            </w:r>
            <w:r>
              <w:rPr>
                <w:rFonts w:hint="eastAsia" w:ascii="宋体" w:hAnsi="宋体" w:eastAsia="宋体" w:cs="宋体"/>
                <w:bCs/>
                <w:color w:val="auto"/>
                <w:kern w:val="0"/>
                <w:sz w:val="24"/>
                <w:szCs w:val="24"/>
                <w:highlight w:val="none"/>
                <w:lang w:eastAsia="zh-CN"/>
              </w:rPr>
              <w:t>。</w:t>
            </w:r>
            <w:r>
              <w:rPr>
                <w:rFonts w:hint="eastAsia" w:ascii="宋体" w:hAnsi="宋体" w:eastAsia="宋体" w:cs="宋体"/>
                <w:color w:val="auto"/>
                <w:kern w:val="0"/>
                <w:sz w:val="24"/>
                <w:szCs w:val="24"/>
                <w:highlight w:val="none"/>
              </w:rPr>
              <w:t>供应商对</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的质疑答复不满意,或</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3902"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解释：1、构成本</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文件的各个组成文件应互为解释，互为说明；如有不明确或不一致，构成合同文件组成内容的，以合同文件约定内容为准；除</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文件中有特殊规定外，仅适用于招标投标阶段的规定，按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公告、供应商须知、评标办法、</w:t>
            </w:r>
            <w:r>
              <w:rPr>
                <w:rFonts w:hint="eastAsia" w:ascii="宋体" w:hAnsi="宋体" w:eastAsia="宋体" w:cs="宋体"/>
                <w:color w:val="auto"/>
                <w:sz w:val="24"/>
                <w:szCs w:val="24"/>
                <w:highlight w:val="none"/>
                <w:lang w:eastAsia="zh-CN"/>
              </w:rPr>
              <w:t>响应性文件</w:t>
            </w:r>
            <w:r>
              <w:rPr>
                <w:rFonts w:hint="eastAsia" w:ascii="宋体" w:hAnsi="宋体" w:eastAsia="宋体" w:cs="宋体"/>
                <w:color w:val="auto"/>
                <w:sz w:val="24"/>
                <w:szCs w:val="24"/>
                <w:highlight w:val="none"/>
              </w:rPr>
              <w:t>格式的先后顺序解释；同一组成文件中就同一事项的规定或约定不一致的，以编排顺序在后者为准；当</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文件与</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2、本</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文件解释权归采购人。</w:t>
            </w:r>
          </w:p>
        </w:tc>
      </w:tr>
    </w:tbl>
    <w:p>
      <w:pPr>
        <w:rPr>
          <w:rFonts w:hint="eastAsia" w:ascii="宋体" w:hAnsi="宋体" w:eastAsia="宋体" w:cs="宋体"/>
          <w:color w:val="auto"/>
          <w:highlight w:val="none"/>
        </w:rPr>
      </w:pP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
          <w:bCs/>
          <w:color w:val="auto"/>
          <w:kern w:val="0"/>
          <w:sz w:val="28"/>
          <w:szCs w:val="28"/>
          <w:highlight w:val="none"/>
        </w:rPr>
        <w:t>一 、说 明</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1.适用范围</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auto"/>
          <w:kern w:val="0"/>
          <w:sz w:val="24"/>
          <w:szCs w:val="24"/>
          <w:highlight w:val="none"/>
        </w:rPr>
        <w:t>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文件仅适用于</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000000" w:themeColor="text1"/>
          <w:kern w:val="0"/>
          <w:sz w:val="24"/>
          <w:szCs w:val="24"/>
          <w:highlight w:val="none"/>
          <w14:textFill>
            <w14:solidFill>
              <w14:schemeClr w14:val="tx1"/>
            </w14:solidFill>
          </w14:textFill>
        </w:rPr>
        <w:t>公告中所叙述项目的服务采购。</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2.定义</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auto"/>
          <w:kern w:val="0"/>
          <w:sz w:val="24"/>
          <w:szCs w:val="24"/>
          <w:highlight w:val="none"/>
        </w:rPr>
        <w:t>2.1 “采购人</w:t>
      </w:r>
      <w:r>
        <w:rPr>
          <w:rFonts w:hint="eastAsia" w:ascii="宋体" w:hAnsi="宋体" w:eastAsia="宋体" w:cs="宋体"/>
          <w:color w:val="000000" w:themeColor="text1"/>
          <w:kern w:val="0"/>
          <w:sz w:val="24"/>
          <w:szCs w:val="24"/>
          <w:highlight w:val="none"/>
          <w14:textFill>
            <w14:solidFill>
              <w14:schemeClr w14:val="tx1"/>
            </w14:solidFill>
          </w14:textFill>
        </w:rPr>
        <w:t>”系指本次采购项目的业主方。</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2.2 “</w:t>
      </w:r>
      <w:r>
        <w:rPr>
          <w:rFonts w:hint="eastAsia" w:ascii="宋体" w:hAnsi="宋体" w:eastAsia="宋体" w:cs="宋体"/>
          <w:color w:val="000000" w:themeColor="text1"/>
          <w:kern w:val="0"/>
          <w:sz w:val="24"/>
          <w:szCs w:val="24"/>
          <w:highlight w:val="none"/>
          <w:lang w:eastAsia="zh-CN"/>
          <w14:textFill>
            <w14:solidFill>
              <w14:schemeClr w14:val="tx1"/>
            </w14:solidFill>
          </w14:textFill>
        </w:rPr>
        <w:t>供应商</w:t>
      </w:r>
      <w:r>
        <w:rPr>
          <w:rFonts w:hint="eastAsia" w:ascii="宋体" w:hAnsi="宋体" w:eastAsia="宋体" w:cs="宋体"/>
          <w:color w:val="000000" w:themeColor="text1"/>
          <w:kern w:val="0"/>
          <w:sz w:val="24"/>
          <w:szCs w:val="24"/>
          <w:highlight w:val="none"/>
          <w14:textFill>
            <w14:solidFill>
              <w14:schemeClr w14:val="tx1"/>
            </w14:solidFill>
          </w14:textFill>
        </w:rPr>
        <w:t>”系指</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领取</w:t>
      </w:r>
      <w:r>
        <w:rPr>
          <w:rFonts w:hint="eastAsia" w:ascii="宋体" w:hAnsi="宋体" w:eastAsia="宋体" w:cs="宋体"/>
          <w:color w:val="000000" w:themeColor="text1"/>
          <w:kern w:val="0"/>
          <w:sz w:val="24"/>
          <w:szCs w:val="24"/>
          <w:highlight w:val="none"/>
          <w14:textFill>
            <w14:solidFill>
              <w14:schemeClr w14:val="tx1"/>
            </w14:solidFill>
          </w14:textFill>
        </w:rPr>
        <w:t>了本</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采购</w:t>
      </w:r>
      <w:r>
        <w:rPr>
          <w:rFonts w:hint="eastAsia" w:ascii="宋体" w:hAnsi="宋体" w:eastAsia="宋体" w:cs="宋体"/>
          <w:color w:val="000000" w:themeColor="text1"/>
          <w:kern w:val="0"/>
          <w:sz w:val="24"/>
          <w:szCs w:val="24"/>
          <w:highlight w:val="none"/>
          <w14:textFill>
            <w14:solidFill>
              <w14:schemeClr w14:val="tx1"/>
            </w14:solidFill>
          </w14:textFill>
        </w:rPr>
        <w:t>文件，且已经提交本次</w:t>
      </w:r>
      <w:r>
        <w:rPr>
          <w:rFonts w:hint="eastAsia" w:ascii="宋体" w:hAnsi="宋体" w:eastAsia="宋体" w:cs="宋体"/>
          <w:color w:val="000000" w:themeColor="text1"/>
          <w:kern w:val="0"/>
          <w:sz w:val="24"/>
          <w:szCs w:val="24"/>
          <w:highlight w:val="none"/>
          <w:lang w:eastAsia="zh-CN"/>
          <w14:textFill>
            <w14:solidFill>
              <w14:schemeClr w14:val="tx1"/>
            </w14:solidFill>
          </w14:textFill>
        </w:rPr>
        <w:t>响应性文件</w:t>
      </w:r>
      <w:r>
        <w:rPr>
          <w:rFonts w:hint="eastAsia" w:ascii="宋体" w:hAnsi="宋体" w:eastAsia="宋体" w:cs="宋体"/>
          <w:color w:val="000000" w:themeColor="text1"/>
          <w:kern w:val="0"/>
          <w:sz w:val="24"/>
          <w:szCs w:val="24"/>
          <w:highlight w:val="none"/>
          <w14:textFill>
            <w14:solidFill>
              <w14:schemeClr w14:val="tx1"/>
            </w14:solidFill>
          </w14:textFill>
        </w:rPr>
        <w:t>的</w:t>
      </w:r>
      <w:r>
        <w:rPr>
          <w:rFonts w:hint="eastAsia" w:ascii="宋体" w:hAnsi="宋体" w:eastAsia="宋体" w:cs="宋体"/>
          <w:color w:val="000000" w:themeColor="text1"/>
          <w:kern w:val="0"/>
          <w:sz w:val="24"/>
          <w:szCs w:val="24"/>
          <w:highlight w:val="none"/>
          <w:lang w:eastAsia="zh-CN"/>
          <w14:textFill>
            <w14:solidFill>
              <w14:schemeClr w14:val="tx1"/>
            </w14:solidFill>
          </w14:textFill>
        </w:rPr>
        <w:t>供应商</w:t>
      </w:r>
      <w:r>
        <w:rPr>
          <w:rFonts w:hint="eastAsia" w:ascii="宋体" w:hAnsi="宋体" w:eastAsia="宋体" w:cs="宋体"/>
          <w:color w:val="000000" w:themeColor="text1"/>
          <w:kern w:val="0"/>
          <w:sz w:val="24"/>
          <w:szCs w:val="24"/>
          <w:highlight w:val="none"/>
          <w14:textFill>
            <w14:solidFill>
              <w14:schemeClr w14:val="tx1"/>
            </w14:solidFill>
          </w14:textFill>
        </w:rPr>
        <w:t>。</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2.3 “</w:t>
      </w:r>
      <w:r>
        <w:rPr>
          <w:rFonts w:hint="eastAsia" w:ascii="宋体" w:hAnsi="宋体" w:eastAsia="宋体" w:cs="宋体"/>
          <w:color w:val="000000" w:themeColor="text1"/>
          <w:kern w:val="0"/>
          <w:sz w:val="24"/>
          <w:szCs w:val="24"/>
          <w:highlight w:val="none"/>
          <w:lang w:eastAsia="zh-CN"/>
          <w14:textFill>
            <w14:solidFill>
              <w14:schemeClr w14:val="tx1"/>
            </w14:solidFill>
          </w14:textFill>
        </w:rPr>
        <w:t>供应商</w:t>
      </w:r>
      <w:r>
        <w:rPr>
          <w:rFonts w:hint="eastAsia" w:ascii="宋体" w:hAnsi="宋体" w:eastAsia="宋体" w:cs="宋体"/>
          <w:color w:val="000000" w:themeColor="text1"/>
          <w:kern w:val="0"/>
          <w:sz w:val="24"/>
          <w:szCs w:val="24"/>
          <w:highlight w:val="none"/>
          <w14:textFill>
            <w14:solidFill>
              <w14:schemeClr w14:val="tx1"/>
            </w14:solidFill>
          </w14:textFill>
        </w:rPr>
        <w:t>代表”系指代表</w:t>
      </w:r>
      <w:r>
        <w:rPr>
          <w:rFonts w:hint="eastAsia" w:ascii="宋体" w:hAnsi="宋体" w:eastAsia="宋体" w:cs="宋体"/>
          <w:color w:val="000000" w:themeColor="text1"/>
          <w:kern w:val="0"/>
          <w:sz w:val="24"/>
          <w:szCs w:val="24"/>
          <w:highlight w:val="none"/>
          <w:lang w:eastAsia="zh-CN"/>
          <w14:textFill>
            <w14:solidFill>
              <w14:schemeClr w14:val="tx1"/>
            </w14:solidFill>
          </w14:textFill>
        </w:rPr>
        <w:t>供应商</w:t>
      </w:r>
      <w:r>
        <w:rPr>
          <w:rFonts w:hint="eastAsia" w:ascii="宋体" w:hAnsi="宋体" w:eastAsia="宋体" w:cs="宋体"/>
          <w:color w:val="000000" w:themeColor="text1"/>
          <w:kern w:val="0"/>
          <w:sz w:val="24"/>
          <w:szCs w:val="24"/>
          <w:highlight w:val="none"/>
          <w14:textFill>
            <w14:solidFill>
              <w14:schemeClr w14:val="tx1"/>
            </w14:solidFill>
          </w14:textFill>
        </w:rPr>
        <w:t>参加本次</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采购</w:t>
      </w:r>
      <w:r>
        <w:rPr>
          <w:rFonts w:hint="eastAsia" w:ascii="宋体" w:hAnsi="宋体" w:eastAsia="宋体" w:cs="宋体"/>
          <w:color w:val="000000" w:themeColor="text1"/>
          <w:kern w:val="0"/>
          <w:sz w:val="24"/>
          <w:szCs w:val="24"/>
          <w:highlight w:val="none"/>
          <w14:textFill>
            <w14:solidFill>
              <w14:schemeClr w14:val="tx1"/>
            </w14:solidFill>
          </w14:textFill>
        </w:rPr>
        <w:t>活动的</w:t>
      </w:r>
      <w:r>
        <w:rPr>
          <w:rFonts w:hint="eastAsia" w:ascii="宋体" w:hAnsi="宋体" w:eastAsia="宋体" w:cs="宋体"/>
          <w:color w:val="000000" w:themeColor="text1"/>
          <w:kern w:val="0"/>
          <w:sz w:val="24"/>
          <w:szCs w:val="24"/>
          <w:highlight w:val="none"/>
          <w:lang w:eastAsia="zh-CN"/>
          <w14:textFill>
            <w14:solidFill>
              <w14:schemeClr w14:val="tx1"/>
            </w14:solidFill>
          </w14:textFill>
        </w:rPr>
        <w:t>供应商</w:t>
      </w:r>
      <w:r>
        <w:rPr>
          <w:rFonts w:hint="eastAsia" w:ascii="宋体" w:hAnsi="宋体" w:eastAsia="宋体" w:cs="宋体"/>
          <w:color w:val="000000" w:themeColor="text1"/>
          <w:kern w:val="0"/>
          <w:sz w:val="24"/>
          <w:szCs w:val="24"/>
          <w:highlight w:val="none"/>
          <w14:textFill>
            <w14:solidFill>
              <w14:schemeClr w14:val="tx1"/>
            </w14:solidFill>
          </w14:textFill>
        </w:rPr>
        <w:t>的法定代表人或其委托代理人。</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2.4 “服务”系指供应商按采购文件规定向采购人提供的一切工作内容。</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3.本次采购预算（最高限价）为</w:t>
      </w:r>
      <w:r>
        <w:rPr>
          <w:rFonts w:hint="eastAsia" w:ascii="宋体" w:hAnsi="宋体" w:cs="宋体"/>
          <w:b/>
          <w:bCs/>
          <w:color w:val="auto"/>
          <w:kern w:val="0"/>
          <w:sz w:val="24"/>
          <w:szCs w:val="24"/>
          <w:highlight w:val="none"/>
          <w:lang w:val="en-US" w:eastAsia="zh-CN"/>
        </w:rPr>
        <w:t>48</w:t>
      </w:r>
      <w:r>
        <w:rPr>
          <w:rFonts w:hint="eastAsia" w:ascii="宋体" w:hAnsi="宋体" w:eastAsia="宋体" w:cs="宋体"/>
          <w:b/>
          <w:bCs/>
          <w:color w:val="auto"/>
          <w:kern w:val="0"/>
          <w:sz w:val="24"/>
          <w:szCs w:val="24"/>
          <w:highlight w:val="none"/>
          <w:lang w:val="en-US" w:eastAsia="zh-CN"/>
        </w:rPr>
        <w:t>万</w:t>
      </w:r>
      <w:r>
        <w:rPr>
          <w:rFonts w:hint="eastAsia" w:ascii="宋体" w:hAnsi="宋体" w:eastAsia="宋体" w:cs="宋体"/>
          <w:b/>
          <w:bCs/>
          <w:color w:val="auto"/>
          <w:kern w:val="0"/>
          <w:sz w:val="24"/>
          <w:szCs w:val="24"/>
          <w:highlight w:val="none"/>
        </w:rPr>
        <w:t>元</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rPr>
        <w:t>4.</w:t>
      </w:r>
      <w:r>
        <w:rPr>
          <w:rFonts w:hint="eastAsia" w:ascii="宋体" w:hAnsi="宋体" w:eastAsia="宋体" w:cs="宋体"/>
          <w:b/>
          <w:bCs/>
          <w:color w:val="auto"/>
          <w:kern w:val="0"/>
          <w:sz w:val="24"/>
          <w:szCs w:val="24"/>
          <w:highlight w:val="none"/>
          <w:lang w:eastAsia="zh-CN"/>
        </w:rPr>
        <w:t>供应商</w:t>
      </w:r>
      <w:r>
        <w:rPr>
          <w:rFonts w:hint="eastAsia" w:ascii="宋体" w:hAnsi="宋体" w:eastAsia="宋体" w:cs="宋体"/>
          <w:b/>
          <w:bCs/>
          <w:color w:val="auto"/>
          <w:kern w:val="0"/>
          <w:sz w:val="24"/>
          <w:szCs w:val="24"/>
          <w:highlight w:val="none"/>
        </w:rPr>
        <w:t>应提交的证明文件</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 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 供应商应提供2021年度或2022年度经审计的财务报告或者其基本开户银行出具的资信证明；采购活动前近三个月内或</w:t>
      </w:r>
      <w:r>
        <w:rPr>
          <w:rFonts w:hint="eastAsia" w:ascii="宋体" w:hAnsi="宋体" w:eastAsia="宋体" w:cs="宋体"/>
          <w:color w:val="auto"/>
          <w:kern w:val="2"/>
          <w:sz w:val="24"/>
          <w:szCs w:val="32"/>
          <w:lang w:val="en-US" w:eastAsia="zh-CN" w:bidi="ar-SA"/>
        </w:rPr>
        <w:t>上个季度任一个月</w:t>
      </w:r>
      <w:r>
        <w:rPr>
          <w:rFonts w:hint="eastAsia" w:ascii="宋体" w:hAnsi="宋体" w:eastAsia="宋体" w:cs="宋体"/>
          <w:color w:val="auto"/>
          <w:sz w:val="24"/>
          <w:szCs w:val="24"/>
          <w:lang w:val="en-US" w:eastAsia="zh-CN"/>
        </w:rPr>
        <w:t>的依法缴纳税收的凭据和缴纳社会保险的凭据；依法免税或不需要缴纳社会保障资金的供应商，应提供相应文件证明其依法免税或不需要缴纳社会保障资金。（新成立企业从成立之日起计算）。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 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4.4 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4.5 符合法律、行政法规规定的其他条件。</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 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不论投标结果如何，</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7.1 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9.1 </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9.2</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代表只能接受一个</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的委托参加投标。</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9.3《政府采购法》第二十二条第五款“参加政府采购活动前三年内，在经营活动中没有重大违法记录”，“重大违法记录”包括</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或者其法定代表人、董事、监事、高级管理人员因经营活动中的违法行为受到行政处罚，但警告和罚款额在人民币3万元以下的行政处罚除外；</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9.4</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10.质疑和投诉</w:t>
      </w:r>
    </w:p>
    <w:p>
      <w:pPr>
        <w:keepNext w:val="0"/>
        <w:keepLines w:val="0"/>
        <w:pageBreakBefore w:val="0"/>
        <w:widowControl/>
        <w:kinsoku/>
        <w:wordWrap/>
        <w:overflowPunct/>
        <w:topLinePunct w:val="0"/>
        <w:bidi w:val="0"/>
        <w:snapToGrid w:val="0"/>
        <w:spacing w:line="360" w:lineRule="auto"/>
        <w:ind w:firstLine="470" w:firstLineChars="196"/>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10.1 </w:t>
      </w:r>
      <w:r>
        <w:rPr>
          <w:rFonts w:hint="eastAsia" w:ascii="宋体" w:hAnsi="宋体" w:eastAsia="宋体" w:cs="宋体"/>
          <w:bCs/>
          <w:color w:val="auto"/>
          <w:kern w:val="0"/>
          <w:sz w:val="24"/>
          <w:szCs w:val="24"/>
          <w:highlight w:val="none"/>
        </w:rPr>
        <w:t>供应商认为</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文件使自己的合法权益受到损害的，</w:t>
      </w:r>
      <w:r>
        <w:rPr>
          <w:rFonts w:hint="eastAsia" w:ascii="宋体" w:hAnsi="宋体" w:eastAsia="宋体" w:cs="宋体"/>
          <w:color w:val="auto"/>
          <w:kern w:val="0"/>
          <w:sz w:val="24"/>
          <w:szCs w:val="24"/>
          <w:highlight w:val="none"/>
        </w:rPr>
        <w:t>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公告期限届满之日(或收到</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文件之日)起</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个工作日之内向</w:t>
      </w:r>
      <w:r>
        <w:rPr>
          <w:rFonts w:hint="eastAsia" w:ascii="宋体" w:hAnsi="宋体" w:eastAsia="宋体" w:cs="宋体"/>
          <w:bCs/>
          <w:color w:val="auto"/>
          <w:kern w:val="0"/>
          <w:sz w:val="24"/>
          <w:szCs w:val="24"/>
          <w:highlight w:val="none"/>
        </w:rPr>
        <w:t>采购人提出质疑；供应商认为</w:t>
      </w:r>
      <w:r>
        <w:rPr>
          <w:rFonts w:hint="eastAsia" w:ascii="宋体" w:hAnsi="宋体" w:eastAsia="宋体" w:cs="宋体"/>
          <w:bCs/>
          <w:color w:val="auto"/>
          <w:kern w:val="0"/>
          <w:sz w:val="24"/>
          <w:szCs w:val="24"/>
          <w:highlight w:val="none"/>
          <w:lang w:eastAsia="zh-CN"/>
        </w:rPr>
        <w:t>磋商</w:t>
      </w:r>
      <w:r>
        <w:rPr>
          <w:rFonts w:hint="eastAsia" w:ascii="宋体" w:hAnsi="宋体" w:eastAsia="宋体" w:cs="宋体"/>
          <w:bCs/>
          <w:color w:val="auto"/>
          <w:kern w:val="0"/>
          <w:sz w:val="24"/>
          <w:szCs w:val="24"/>
          <w:highlight w:val="none"/>
        </w:rPr>
        <w:t>过程和</w:t>
      </w:r>
      <w:r>
        <w:rPr>
          <w:rFonts w:hint="eastAsia" w:ascii="宋体" w:hAnsi="宋体" w:eastAsia="宋体" w:cs="宋体"/>
          <w:bCs/>
          <w:color w:val="auto"/>
          <w:kern w:val="0"/>
          <w:sz w:val="24"/>
          <w:szCs w:val="24"/>
          <w:highlight w:val="none"/>
          <w:lang w:eastAsia="zh-CN"/>
        </w:rPr>
        <w:t>成交</w:t>
      </w:r>
      <w:r>
        <w:rPr>
          <w:rFonts w:hint="eastAsia" w:ascii="宋体" w:hAnsi="宋体" w:eastAsia="宋体" w:cs="宋体"/>
          <w:bCs/>
          <w:color w:val="auto"/>
          <w:kern w:val="0"/>
          <w:sz w:val="24"/>
          <w:szCs w:val="24"/>
          <w:highlight w:val="none"/>
        </w:rPr>
        <w:t>结果使自己的合法权益受到损害的，应当在知道或者应知其权益受到损害之日起</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个工作日内提出质疑。</w:t>
      </w:r>
      <w:r>
        <w:rPr>
          <w:rFonts w:hint="eastAsia" w:ascii="宋体" w:hAnsi="宋体" w:eastAsia="宋体" w:cs="宋体"/>
          <w:color w:val="auto"/>
          <w:kern w:val="0"/>
          <w:sz w:val="24"/>
          <w:szCs w:val="24"/>
          <w:highlight w:val="none"/>
        </w:rPr>
        <w:t>逾期不再受理,</w:t>
      </w:r>
      <w:r>
        <w:rPr>
          <w:rFonts w:hint="eastAsia" w:ascii="宋体" w:hAnsi="宋体" w:eastAsia="宋体" w:cs="宋体"/>
          <w:bCs/>
          <w:color w:val="auto"/>
          <w:kern w:val="0"/>
          <w:sz w:val="24"/>
          <w:szCs w:val="24"/>
          <w:highlight w:val="none"/>
        </w:rPr>
        <w:t>供应商在法定质疑期内应一次性提出针对同一采购环节的质疑。</w:t>
      </w:r>
      <w:r>
        <w:rPr>
          <w:rFonts w:hint="eastAsia" w:ascii="宋体" w:hAnsi="宋体" w:eastAsia="宋体" w:cs="宋体"/>
          <w:color w:val="auto"/>
          <w:kern w:val="0"/>
          <w:sz w:val="24"/>
          <w:szCs w:val="24"/>
          <w:highlight w:val="none"/>
        </w:rPr>
        <w:t>供应商对</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的质疑答复不满意,或</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未在规定时间内作出答复的，可以在答复期满后15个工作日内向</w:t>
      </w:r>
      <w:r>
        <w:rPr>
          <w:rFonts w:hint="eastAsia" w:ascii="宋体" w:hAnsi="宋体" w:eastAsia="宋体" w:cs="宋体"/>
          <w:color w:val="auto"/>
          <w:kern w:val="0"/>
          <w:sz w:val="24"/>
          <w:szCs w:val="24"/>
          <w:highlight w:val="none"/>
          <w:lang w:val="en-US" w:eastAsia="zh-CN"/>
        </w:rPr>
        <w:t>医院纪检</w:t>
      </w:r>
      <w:r>
        <w:rPr>
          <w:rFonts w:hint="eastAsia" w:ascii="宋体" w:hAnsi="宋体" w:eastAsia="宋体" w:cs="宋体"/>
          <w:color w:val="auto"/>
          <w:kern w:val="0"/>
          <w:sz w:val="24"/>
          <w:szCs w:val="24"/>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10.2 </w:t>
      </w:r>
      <w:r>
        <w:rPr>
          <w:rFonts w:hint="eastAsia" w:ascii="宋体" w:hAnsi="宋体" w:eastAsia="宋体" w:cs="宋体"/>
          <w:bCs/>
          <w:color w:val="auto"/>
          <w:kern w:val="0"/>
          <w:sz w:val="24"/>
          <w:szCs w:val="24"/>
          <w:highlight w:val="none"/>
        </w:rPr>
        <w:t>质疑、投诉应当采用书面形式，质疑书、投诉书均应明确阐述</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w:t>
      </w:r>
      <w:r>
        <w:rPr>
          <w:rFonts w:hint="eastAsia" w:ascii="宋体" w:hAnsi="宋体" w:eastAsia="宋体" w:cs="宋体"/>
          <w:bCs/>
          <w:color w:val="auto"/>
          <w:kern w:val="0"/>
          <w:sz w:val="24"/>
          <w:szCs w:val="24"/>
          <w:highlight w:val="none"/>
          <w:lang w:eastAsia="zh-CN"/>
        </w:rPr>
        <w:t>磋商</w:t>
      </w:r>
      <w:r>
        <w:rPr>
          <w:rFonts w:hint="eastAsia" w:ascii="宋体" w:hAnsi="宋体" w:eastAsia="宋体" w:cs="宋体"/>
          <w:bCs/>
          <w:color w:val="auto"/>
          <w:kern w:val="0"/>
          <w:sz w:val="24"/>
          <w:szCs w:val="24"/>
          <w:highlight w:val="none"/>
        </w:rPr>
        <w:t>过程和</w:t>
      </w:r>
      <w:r>
        <w:rPr>
          <w:rFonts w:hint="eastAsia" w:ascii="宋体" w:hAnsi="宋体" w:eastAsia="宋体" w:cs="宋体"/>
          <w:bCs/>
          <w:color w:val="auto"/>
          <w:kern w:val="0"/>
          <w:sz w:val="24"/>
          <w:szCs w:val="24"/>
          <w:highlight w:val="none"/>
          <w:lang w:eastAsia="zh-CN"/>
        </w:rPr>
        <w:t>成交</w:t>
      </w:r>
      <w:r>
        <w:rPr>
          <w:rFonts w:hint="eastAsia" w:ascii="宋体" w:hAnsi="宋体" w:eastAsia="宋体" w:cs="宋体"/>
          <w:bCs/>
          <w:color w:val="auto"/>
          <w:kern w:val="0"/>
          <w:sz w:val="24"/>
          <w:szCs w:val="24"/>
          <w:highlight w:val="none"/>
        </w:rPr>
        <w:t>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11.</w:t>
      </w:r>
      <w:r>
        <w:rPr>
          <w:rFonts w:hint="eastAsia" w:ascii="宋体" w:hAnsi="宋体" w:eastAsia="宋体" w:cs="宋体"/>
          <w:b/>
          <w:bCs/>
          <w:color w:val="auto"/>
          <w:kern w:val="0"/>
          <w:sz w:val="24"/>
          <w:szCs w:val="24"/>
          <w:highlight w:val="none"/>
          <w:lang w:eastAsia="zh-CN"/>
        </w:rPr>
        <w:t>供应商</w:t>
      </w:r>
      <w:r>
        <w:rPr>
          <w:rFonts w:hint="eastAsia" w:ascii="宋体" w:hAnsi="宋体" w:eastAsia="宋体" w:cs="宋体"/>
          <w:b/>
          <w:bCs/>
          <w:color w:val="auto"/>
          <w:kern w:val="0"/>
          <w:sz w:val="24"/>
          <w:szCs w:val="24"/>
          <w:highlight w:val="none"/>
        </w:rPr>
        <w:t>的风险</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没有按照</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文件要求提供全部资料，或者</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没有对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文件在各方面都作出实质性响应是</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的风险，并可能导致其投标被拒绝。</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8"/>
          <w:szCs w:val="28"/>
          <w:highlight w:val="none"/>
        </w:rPr>
      </w:pPr>
      <w:r>
        <w:rPr>
          <w:rFonts w:hint="eastAsia" w:ascii="宋体" w:hAnsi="宋体" w:eastAsia="宋体" w:cs="宋体"/>
          <w:b/>
          <w:bCs/>
          <w:color w:val="auto"/>
          <w:kern w:val="0"/>
          <w:sz w:val="28"/>
          <w:szCs w:val="28"/>
          <w:highlight w:val="none"/>
        </w:rPr>
        <w:t>二、</w:t>
      </w:r>
      <w:r>
        <w:rPr>
          <w:rFonts w:hint="eastAsia" w:ascii="宋体" w:hAnsi="宋体" w:eastAsia="宋体" w:cs="宋体"/>
          <w:b/>
          <w:bCs/>
          <w:color w:val="auto"/>
          <w:kern w:val="0"/>
          <w:sz w:val="28"/>
          <w:szCs w:val="28"/>
          <w:highlight w:val="none"/>
          <w:lang w:val="en-US" w:eastAsia="zh-CN"/>
        </w:rPr>
        <w:t>采购</w:t>
      </w:r>
      <w:r>
        <w:rPr>
          <w:rFonts w:hint="eastAsia" w:ascii="宋体" w:hAnsi="宋体" w:eastAsia="宋体" w:cs="宋体"/>
          <w:b/>
          <w:bCs/>
          <w:color w:val="auto"/>
          <w:kern w:val="0"/>
          <w:sz w:val="28"/>
          <w:szCs w:val="28"/>
          <w:highlight w:val="none"/>
        </w:rPr>
        <w:t>文件</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12.</w:t>
      </w:r>
      <w:r>
        <w:rPr>
          <w:rFonts w:hint="eastAsia" w:ascii="宋体" w:hAnsi="宋体" w:eastAsia="宋体" w:cs="宋体"/>
          <w:b/>
          <w:bCs/>
          <w:color w:val="auto"/>
          <w:kern w:val="0"/>
          <w:sz w:val="24"/>
          <w:szCs w:val="24"/>
          <w:highlight w:val="none"/>
          <w:lang w:val="en-US" w:eastAsia="zh-CN"/>
        </w:rPr>
        <w:t>采购</w:t>
      </w:r>
      <w:r>
        <w:rPr>
          <w:rFonts w:hint="eastAsia" w:ascii="宋体" w:hAnsi="宋体" w:eastAsia="宋体" w:cs="宋体"/>
          <w:b/>
          <w:bCs/>
          <w:color w:val="auto"/>
          <w:kern w:val="0"/>
          <w:sz w:val="24"/>
          <w:szCs w:val="24"/>
          <w:highlight w:val="none"/>
        </w:rPr>
        <w:t>文件的构成。本</w:t>
      </w:r>
      <w:r>
        <w:rPr>
          <w:rFonts w:hint="eastAsia" w:ascii="宋体" w:hAnsi="宋体" w:eastAsia="宋体" w:cs="宋体"/>
          <w:b/>
          <w:bCs/>
          <w:color w:val="auto"/>
          <w:kern w:val="0"/>
          <w:sz w:val="24"/>
          <w:szCs w:val="24"/>
          <w:highlight w:val="none"/>
          <w:lang w:val="en-US" w:eastAsia="zh-CN"/>
        </w:rPr>
        <w:t>采购</w:t>
      </w:r>
      <w:r>
        <w:rPr>
          <w:rFonts w:hint="eastAsia" w:ascii="宋体" w:hAnsi="宋体" w:eastAsia="宋体" w:cs="宋体"/>
          <w:b/>
          <w:bCs/>
          <w:color w:val="auto"/>
          <w:kern w:val="0"/>
          <w:sz w:val="24"/>
          <w:szCs w:val="24"/>
          <w:highlight w:val="none"/>
        </w:rPr>
        <w:t>文件由以下部分组成：</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12.1 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12.2 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需求</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12.3 </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须知</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12.4 评标办法</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12.5 采购合同</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12.6 </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格式</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13.</w:t>
      </w:r>
      <w:r>
        <w:rPr>
          <w:rFonts w:hint="eastAsia" w:ascii="宋体" w:hAnsi="宋体" w:eastAsia="宋体" w:cs="宋体"/>
          <w:b/>
          <w:bCs/>
          <w:color w:val="auto"/>
          <w:kern w:val="0"/>
          <w:sz w:val="24"/>
          <w:szCs w:val="24"/>
          <w:highlight w:val="none"/>
          <w:lang w:val="en-US" w:eastAsia="zh-CN"/>
        </w:rPr>
        <w:t>采购</w:t>
      </w:r>
      <w:r>
        <w:rPr>
          <w:rFonts w:hint="eastAsia" w:ascii="宋体" w:hAnsi="宋体" w:eastAsia="宋体" w:cs="宋体"/>
          <w:b/>
          <w:bCs/>
          <w:color w:val="auto"/>
          <w:kern w:val="0"/>
          <w:sz w:val="24"/>
          <w:szCs w:val="24"/>
          <w:highlight w:val="none"/>
        </w:rPr>
        <w:t>文件的澄清与修改</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13.1 </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对已发出的</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文件进行必要澄清、修改或补充的，应当在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文件要求提交</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截止时间</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日</w:t>
      </w:r>
      <w:r>
        <w:rPr>
          <w:rFonts w:hint="eastAsia" w:ascii="宋体" w:hAnsi="宋体" w:eastAsia="宋体" w:cs="宋体"/>
          <w:color w:val="auto"/>
          <w:kern w:val="0"/>
          <w:sz w:val="24"/>
          <w:szCs w:val="24"/>
          <w:highlight w:val="none"/>
        </w:rPr>
        <w:t>前，在</w:t>
      </w:r>
      <w:r>
        <w:rPr>
          <w:rFonts w:hint="eastAsia" w:ascii="宋体" w:hAnsi="宋体" w:eastAsia="宋体" w:cs="宋体"/>
          <w:color w:val="auto"/>
          <w:kern w:val="0"/>
          <w:sz w:val="24"/>
          <w:szCs w:val="24"/>
          <w:highlight w:val="none"/>
          <w:lang w:val="en-US" w:eastAsia="zh-CN"/>
        </w:rPr>
        <w:t>原采购公告发布</w:t>
      </w:r>
      <w:r>
        <w:rPr>
          <w:rFonts w:hint="eastAsia" w:ascii="宋体" w:hAnsi="宋体" w:eastAsia="宋体" w:cs="宋体"/>
          <w:color w:val="auto"/>
          <w:kern w:val="0"/>
          <w:sz w:val="24"/>
          <w:szCs w:val="24"/>
          <w:highlight w:val="none"/>
        </w:rPr>
        <w:t>相关媒体上发布更正公告或变更公告。</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文件公示期间对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13.2 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文件澄清、修改或补充的内容为</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13.3 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文件的澄清、修改或补充都应以法定形式发布。采购人未对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13.4 </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可以视招标具体情况延长投标截止时间和开标时间，但至少应当在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文件要求提交</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的截止时间3</w:t>
      </w:r>
      <w:r>
        <w:rPr>
          <w:rFonts w:hint="eastAsia" w:ascii="宋体" w:hAnsi="宋体" w:eastAsia="宋体" w:cs="宋体"/>
          <w:bCs/>
          <w:color w:val="auto"/>
          <w:kern w:val="0"/>
          <w:sz w:val="24"/>
          <w:szCs w:val="24"/>
          <w:highlight w:val="none"/>
        </w:rPr>
        <w:t>日</w:t>
      </w:r>
      <w:r>
        <w:rPr>
          <w:rFonts w:hint="eastAsia" w:ascii="宋体" w:hAnsi="宋体" w:eastAsia="宋体" w:cs="宋体"/>
          <w:color w:val="auto"/>
          <w:kern w:val="0"/>
          <w:sz w:val="24"/>
          <w:szCs w:val="24"/>
          <w:highlight w:val="none"/>
        </w:rPr>
        <w:t>前，将变更时间</w:t>
      </w:r>
      <w:r>
        <w:rPr>
          <w:rFonts w:hint="eastAsia" w:ascii="宋体" w:hAnsi="宋体" w:eastAsia="宋体" w:cs="宋体"/>
          <w:color w:val="auto"/>
          <w:kern w:val="0"/>
          <w:sz w:val="24"/>
          <w:szCs w:val="24"/>
          <w:highlight w:val="none"/>
          <w:lang w:val="en-US" w:eastAsia="zh-CN"/>
        </w:rPr>
        <w:t>通知所有潜在供应商</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8"/>
          <w:szCs w:val="28"/>
          <w:highlight w:val="none"/>
        </w:rPr>
      </w:pPr>
      <w:r>
        <w:rPr>
          <w:rFonts w:hint="eastAsia" w:ascii="宋体" w:hAnsi="宋体" w:eastAsia="宋体" w:cs="宋体"/>
          <w:b/>
          <w:bCs/>
          <w:color w:val="auto"/>
          <w:kern w:val="0"/>
          <w:sz w:val="28"/>
          <w:szCs w:val="28"/>
          <w:highlight w:val="none"/>
        </w:rPr>
        <w:t>三、</w:t>
      </w:r>
      <w:r>
        <w:rPr>
          <w:rFonts w:hint="eastAsia" w:ascii="宋体" w:hAnsi="宋体" w:eastAsia="宋体" w:cs="宋体"/>
          <w:b/>
          <w:bCs/>
          <w:color w:val="auto"/>
          <w:kern w:val="0"/>
          <w:sz w:val="28"/>
          <w:szCs w:val="28"/>
          <w:highlight w:val="none"/>
          <w:lang w:eastAsia="zh-CN"/>
        </w:rPr>
        <w:t>响应性文件</w:t>
      </w:r>
      <w:r>
        <w:rPr>
          <w:rFonts w:hint="eastAsia" w:ascii="宋体" w:hAnsi="宋体" w:eastAsia="宋体" w:cs="宋体"/>
          <w:b/>
          <w:bCs/>
          <w:color w:val="auto"/>
          <w:kern w:val="0"/>
          <w:sz w:val="28"/>
          <w:szCs w:val="28"/>
          <w:highlight w:val="none"/>
        </w:rPr>
        <w:t>的编制</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14.要求</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14.1 </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应仔细阅读</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文件的所有内容，按照</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文件提供的格式编写</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，不得缺少或留空任何</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文件要求填写的表格或提交的资料。</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文件提供格式的按格式填列，未提供格式的可自行拟定。</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应对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文件的要求作出实质性响应（包括</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资格要求、技术要求、商务要求和</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格式中对投标的要求），</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对所提供的全部资料的合法性、真实性负责。</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14.2 </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应完整签署</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格式附件中《投标书》和《抵制商业贿赂承诺》，不得增减或修改内容。否则视为对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文件未作出实质性响应。</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15.</w:t>
      </w:r>
      <w:r>
        <w:rPr>
          <w:rFonts w:hint="eastAsia" w:ascii="宋体" w:hAnsi="宋体" w:eastAsia="宋体" w:cs="宋体"/>
          <w:b/>
          <w:bCs/>
          <w:color w:val="auto"/>
          <w:kern w:val="0"/>
          <w:sz w:val="24"/>
          <w:szCs w:val="24"/>
          <w:highlight w:val="none"/>
          <w:lang w:eastAsia="zh-CN"/>
        </w:rPr>
        <w:t>响应性文件</w:t>
      </w:r>
      <w:r>
        <w:rPr>
          <w:rFonts w:hint="eastAsia" w:ascii="宋体" w:hAnsi="宋体" w:eastAsia="宋体" w:cs="宋体"/>
          <w:b/>
          <w:bCs/>
          <w:color w:val="auto"/>
          <w:kern w:val="0"/>
          <w:sz w:val="24"/>
          <w:szCs w:val="24"/>
          <w:highlight w:val="none"/>
        </w:rPr>
        <w:t>的语言和计量单位</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15.1</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以及</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15.2 关于投标计量单位，</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文件已有明确规定的，使用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文件规定的计量单位；</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文件没有规定的，应采用中华人民共和国法定计量单位。否则视为对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15.3 原版为外文的证书类文件，以及由外国人做出的本人签名、外国公司的名称或外国印章等可以是外文，但应当提供中文翻译文件并加盖</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公章。必要时</w:t>
      </w:r>
      <w:r>
        <w:rPr>
          <w:rFonts w:hint="eastAsia" w:ascii="宋体" w:hAnsi="宋体" w:eastAsia="宋体" w:cs="宋体"/>
          <w:color w:val="auto"/>
          <w:kern w:val="0"/>
          <w:sz w:val="24"/>
          <w:szCs w:val="24"/>
          <w:highlight w:val="none"/>
          <w:lang w:eastAsia="zh-CN"/>
        </w:rPr>
        <w:t>评标委员会</w:t>
      </w:r>
      <w:r>
        <w:rPr>
          <w:rFonts w:hint="eastAsia" w:ascii="宋体" w:hAnsi="宋体" w:eastAsia="宋体" w:cs="宋体"/>
          <w:color w:val="auto"/>
          <w:kern w:val="0"/>
          <w:sz w:val="24"/>
          <w:szCs w:val="24"/>
          <w:highlight w:val="none"/>
        </w:rPr>
        <w:t>可以要求</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16.</w:t>
      </w:r>
      <w:r>
        <w:rPr>
          <w:rFonts w:hint="eastAsia" w:ascii="宋体" w:hAnsi="宋体" w:eastAsia="宋体" w:cs="宋体"/>
          <w:b/>
          <w:bCs/>
          <w:color w:val="auto"/>
          <w:kern w:val="0"/>
          <w:sz w:val="24"/>
          <w:szCs w:val="24"/>
          <w:highlight w:val="none"/>
          <w:lang w:eastAsia="zh-CN"/>
        </w:rPr>
        <w:t>响应性文件</w:t>
      </w:r>
      <w:r>
        <w:rPr>
          <w:rFonts w:hint="eastAsia" w:ascii="宋体" w:hAnsi="宋体" w:eastAsia="宋体" w:cs="宋体"/>
          <w:b/>
          <w:bCs/>
          <w:color w:val="auto"/>
          <w:kern w:val="0"/>
          <w:sz w:val="24"/>
          <w:szCs w:val="24"/>
          <w:highlight w:val="none"/>
        </w:rPr>
        <w:t>的组成</w:t>
      </w:r>
      <w:r>
        <w:rPr>
          <w:rFonts w:hint="eastAsia" w:ascii="宋体" w:hAnsi="宋体" w:eastAsia="宋体" w:cs="宋体"/>
          <w:color w:val="auto"/>
          <w:kern w:val="0"/>
          <w:sz w:val="24"/>
          <w:szCs w:val="24"/>
          <w:highlight w:val="none"/>
        </w:rPr>
        <w:t>。</w:t>
      </w:r>
      <w:r>
        <w:rPr>
          <w:rFonts w:hint="eastAsia" w:ascii="宋体" w:hAnsi="宋体" w:eastAsia="宋体" w:cs="宋体"/>
          <w:b/>
          <w:bCs/>
          <w:color w:val="auto"/>
          <w:kern w:val="0"/>
          <w:sz w:val="24"/>
          <w:szCs w:val="24"/>
          <w:highlight w:val="none"/>
          <w:lang w:eastAsia="zh-CN"/>
        </w:rPr>
        <w:t>响应性文件</w:t>
      </w:r>
      <w:r>
        <w:rPr>
          <w:rFonts w:hint="eastAsia" w:ascii="宋体" w:hAnsi="宋体" w:eastAsia="宋体" w:cs="宋体"/>
          <w:b/>
          <w:bCs/>
          <w:color w:val="auto"/>
          <w:kern w:val="0"/>
          <w:sz w:val="24"/>
          <w:szCs w:val="24"/>
          <w:highlight w:val="none"/>
        </w:rPr>
        <w:t>应包括下列部分：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16.1、投标书及开标一览表</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16.2、</w:t>
      </w:r>
      <w:r>
        <w:rPr>
          <w:rFonts w:hint="eastAsia" w:ascii="宋体" w:hAnsi="宋体" w:eastAsia="宋体" w:cs="宋体"/>
          <w:color w:val="auto"/>
          <w:kern w:val="0"/>
          <w:sz w:val="24"/>
          <w:szCs w:val="24"/>
          <w:highlight w:val="none"/>
        </w:rPr>
        <w:t>报价明细表</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highlight w:val="none"/>
        </w:rPr>
        <w:t>技术响应</w:t>
      </w:r>
      <w:r>
        <w:rPr>
          <w:rFonts w:hint="eastAsia" w:ascii="宋体" w:hAnsi="宋体" w:eastAsia="宋体" w:cs="宋体"/>
          <w:color w:val="auto"/>
          <w:sz w:val="24"/>
          <w:highlight w:val="none"/>
          <w:lang w:val="en-US" w:eastAsia="zh-CN"/>
        </w:rPr>
        <w:t>部分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highlight w:val="none"/>
        </w:rPr>
        <w:t>商务响应</w:t>
      </w:r>
      <w:r>
        <w:rPr>
          <w:rFonts w:hint="eastAsia" w:ascii="宋体" w:hAnsi="宋体" w:eastAsia="宋体" w:cs="宋体"/>
          <w:color w:val="auto"/>
          <w:sz w:val="24"/>
          <w:highlight w:val="none"/>
          <w:lang w:val="en-US" w:eastAsia="zh-CN"/>
        </w:rPr>
        <w:t>部分</w:t>
      </w:r>
    </w:p>
    <w:p>
      <w:pPr>
        <w:keepNext w:val="0"/>
        <w:keepLines w:val="0"/>
        <w:pageBreakBefore w:val="0"/>
        <w:widowControl/>
        <w:kinsoku/>
        <w:wordWrap/>
        <w:overflowPunct/>
        <w:topLinePunct w:val="0"/>
        <w:bidi w:val="0"/>
        <w:snapToGrid w:val="0"/>
        <w:spacing w:line="360" w:lineRule="auto"/>
        <w:ind w:left="208" w:leftChars="99" w:firstLine="240" w:firstLineChars="1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、法定代表人身份证明</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、法定代表人授权书</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rPr>
        <w:t>、证明文件</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highlight w:val="none"/>
        </w:rPr>
        <w:t>供应商承诺书</w:t>
      </w:r>
    </w:p>
    <w:p>
      <w:pPr>
        <w:pStyle w:val="31"/>
        <w:keepNext w:val="0"/>
        <w:keepLines w:val="0"/>
        <w:pageBreakBefore w:val="0"/>
        <w:kinsoku/>
        <w:wordWrap/>
        <w:overflowPunct/>
        <w:topLinePunct w:val="0"/>
        <w:bidi w:val="0"/>
        <w:snapToGrid w:val="0"/>
        <w:spacing w:beforeAutospacing="0" w:afterAutospacing="0"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rPr>
        <w:t>16.</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w:t>
      </w:r>
      <w:r>
        <w:rPr>
          <w:rFonts w:hint="eastAsia" w:ascii="宋体" w:hAnsi="宋体" w:eastAsia="宋体" w:cs="宋体"/>
          <w:color w:val="auto"/>
          <w:sz w:val="24"/>
          <w:highlight w:val="none"/>
          <w:lang w:val="en-US" w:eastAsia="zh-CN"/>
        </w:rPr>
        <w:t>供应商信用承诺函</w:t>
      </w:r>
    </w:p>
    <w:p>
      <w:pPr>
        <w:pStyle w:val="31"/>
        <w:keepNext w:val="0"/>
        <w:keepLines w:val="0"/>
        <w:pageBreakBefore w:val="0"/>
        <w:kinsoku/>
        <w:wordWrap/>
        <w:overflowPunct/>
        <w:topLinePunct w:val="0"/>
        <w:bidi w:val="0"/>
        <w:snapToGrid w:val="0"/>
        <w:spacing w:beforeAutospacing="0" w:afterAutospacing="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lang w:val="en-US" w:eastAsia="zh-CN"/>
        </w:rPr>
        <w:t>16.10、</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认为有必要的其他资料</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17.投标有效期</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17.1 </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从</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公告所规定的投标截止期之后开始生效，在</w:t>
      </w:r>
      <w:r>
        <w:rPr>
          <w:rFonts w:hint="eastAsia" w:ascii="宋体" w:hAnsi="宋体" w:eastAsia="宋体" w:cs="宋体"/>
          <w:bCs/>
          <w:color w:val="auto"/>
          <w:kern w:val="0"/>
          <w:sz w:val="24"/>
          <w:szCs w:val="24"/>
          <w:highlight w:val="none"/>
          <w:lang w:eastAsia="zh-CN"/>
        </w:rPr>
        <w:t>供应商</w:t>
      </w:r>
      <w:r>
        <w:rPr>
          <w:rFonts w:hint="eastAsia" w:ascii="宋体" w:hAnsi="宋体" w:eastAsia="宋体" w:cs="宋体"/>
          <w:bCs/>
          <w:color w:val="auto"/>
          <w:kern w:val="0"/>
          <w:sz w:val="24"/>
          <w:szCs w:val="24"/>
          <w:highlight w:val="none"/>
        </w:rPr>
        <w:t>须知前附表</w:t>
      </w:r>
      <w:r>
        <w:rPr>
          <w:rFonts w:hint="eastAsia" w:ascii="宋体" w:hAnsi="宋体" w:eastAsia="宋体" w:cs="宋体"/>
          <w:color w:val="auto"/>
          <w:kern w:val="0"/>
          <w:sz w:val="24"/>
          <w:szCs w:val="24"/>
          <w:highlight w:val="none"/>
        </w:rPr>
        <w:t>第1</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项所规定的期限内保持有效。有效期不足将导致其</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被拒绝。</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的</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17.2特殊情况下</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可于投标有效期满之前书面要求</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同意延长有效期，</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应在</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规定的期限内以书面形式予以答复。</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可以拒绝上述要求。</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答复不明确或者逾期未答复的，均视为拒绝上述要求。对于接受该要求的</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，既不要求也不允许其修改</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18.投标报价</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18.1 所有投标报价均以人民币元为计算单位。</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18.2 </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要按开标一览表的内容填写。</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18.3 </w:t>
      </w:r>
      <w:r>
        <w:rPr>
          <w:rFonts w:hint="eastAsia" w:ascii="宋体" w:hAnsi="宋体" w:eastAsia="宋体" w:cs="宋体"/>
          <w:color w:val="auto"/>
          <w:spacing w:val="10"/>
          <w:kern w:val="0"/>
          <w:sz w:val="24"/>
          <w:szCs w:val="24"/>
          <w:highlight w:val="none"/>
          <w:lang w:eastAsia="zh-CN"/>
        </w:rPr>
        <w:t>供应商</w:t>
      </w:r>
      <w:r>
        <w:rPr>
          <w:rFonts w:hint="eastAsia" w:ascii="宋体" w:hAnsi="宋体" w:eastAsia="宋体" w:cs="宋体"/>
          <w:color w:val="auto"/>
          <w:spacing w:val="10"/>
          <w:kern w:val="0"/>
          <w:sz w:val="24"/>
          <w:szCs w:val="24"/>
          <w:highlight w:val="none"/>
        </w:rPr>
        <w:t>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18.4 开标一览表</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明的价格在政府采购合同执行过程中是固定不变的，</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18.5 </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18.6 对于</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在开标一览表和</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lang w:eastAsia="zh-CN"/>
        </w:rPr>
      </w:pPr>
      <w:r>
        <w:rPr>
          <w:rFonts w:hint="eastAsia" w:ascii="宋体" w:hAnsi="宋体" w:eastAsia="宋体" w:cs="宋体"/>
          <w:b/>
          <w:color w:val="auto"/>
          <w:kern w:val="0"/>
          <w:sz w:val="24"/>
          <w:szCs w:val="24"/>
          <w:highlight w:val="none"/>
        </w:rPr>
        <w:t>19.投标保证金</w:t>
      </w:r>
      <w:r>
        <w:rPr>
          <w:rFonts w:hint="eastAsia" w:ascii="宋体" w:hAnsi="宋体" w:eastAsia="宋体" w:cs="宋体"/>
          <w:b/>
          <w:color w:val="auto"/>
          <w:kern w:val="0"/>
          <w:sz w:val="24"/>
          <w:szCs w:val="24"/>
          <w:highlight w:val="none"/>
          <w:lang w:eastAsia="zh-CN"/>
        </w:rPr>
        <w:t>（</w:t>
      </w:r>
      <w:r>
        <w:rPr>
          <w:rFonts w:hint="eastAsia" w:ascii="宋体" w:hAnsi="宋体" w:eastAsia="宋体" w:cs="宋体"/>
          <w:b/>
          <w:color w:val="auto"/>
          <w:kern w:val="0"/>
          <w:sz w:val="24"/>
          <w:szCs w:val="24"/>
          <w:highlight w:val="none"/>
          <w:lang w:val="en-US" w:eastAsia="zh-CN"/>
        </w:rPr>
        <w:t>详见采购公告</w:t>
      </w:r>
      <w:r>
        <w:rPr>
          <w:rFonts w:hint="eastAsia" w:ascii="宋体" w:hAnsi="宋体" w:eastAsia="宋体" w:cs="宋体"/>
          <w:b/>
          <w:color w:val="auto"/>
          <w:kern w:val="0"/>
          <w:sz w:val="24"/>
          <w:szCs w:val="24"/>
          <w:highlight w:val="none"/>
          <w:lang w:eastAsia="zh-CN"/>
        </w:rPr>
        <w:t>）</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lang w:val="en-US" w:eastAsia="zh-CN"/>
        </w:rPr>
      </w:pPr>
      <w:r>
        <w:rPr>
          <w:rFonts w:hint="eastAsia" w:ascii="宋体" w:hAnsi="宋体" w:eastAsia="宋体" w:cs="宋体"/>
          <w:b/>
          <w:color w:val="auto"/>
          <w:kern w:val="0"/>
          <w:sz w:val="24"/>
          <w:szCs w:val="24"/>
          <w:highlight w:val="none"/>
        </w:rPr>
        <w:t>20.</w:t>
      </w:r>
      <w:r>
        <w:rPr>
          <w:rFonts w:hint="eastAsia" w:ascii="宋体" w:hAnsi="宋体" w:eastAsia="宋体" w:cs="宋体"/>
          <w:b/>
          <w:color w:val="auto"/>
          <w:kern w:val="0"/>
          <w:sz w:val="24"/>
          <w:szCs w:val="24"/>
          <w:highlight w:val="none"/>
          <w:lang w:eastAsia="zh-CN"/>
        </w:rPr>
        <w:t>响应性文件</w:t>
      </w:r>
      <w:r>
        <w:rPr>
          <w:rFonts w:hint="eastAsia" w:ascii="宋体" w:hAnsi="宋体" w:eastAsia="宋体" w:cs="宋体"/>
          <w:b/>
          <w:color w:val="auto"/>
          <w:kern w:val="0"/>
          <w:sz w:val="24"/>
          <w:szCs w:val="24"/>
          <w:highlight w:val="none"/>
        </w:rPr>
        <w:t>的签署</w:t>
      </w:r>
      <w:r>
        <w:rPr>
          <w:rFonts w:hint="eastAsia" w:ascii="宋体" w:hAnsi="宋体" w:eastAsia="宋体" w:cs="宋体"/>
          <w:b/>
          <w:color w:val="auto"/>
          <w:kern w:val="0"/>
          <w:sz w:val="24"/>
          <w:szCs w:val="24"/>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应按第六章“</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格式”进行编写，如有必要，可以增加附页，作为</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的组成部分</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但不得随意改变响应文件格式，否则，评标委员会有权予以废标</w:t>
      </w:r>
      <w:r>
        <w:rPr>
          <w:rFonts w:hint="eastAsia" w:ascii="宋体" w:hAnsi="宋体" w:eastAsia="宋体" w:cs="宋体"/>
          <w:color w:val="auto"/>
          <w:kern w:val="0"/>
          <w:sz w:val="24"/>
          <w:szCs w:val="24"/>
          <w:highlight w:val="none"/>
        </w:rPr>
        <w:t>。其中，投标报价一览表在满足</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文件实质性要求的基础上，可以提出比</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文件要求更有利于采购人的承诺</w:t>
      </w:r>
      <w:r>
        <w:rPr>
          <w:rFonts w:hint="eastAsia" w:ascii="宋体" w:hAnsi="宋体" w:eastAsia="宋体" w:cs="宋体"/>
          <w:color w:val="000000" w:themeColor="text1"/>
          <w:kern w:val="0"/>
          <w:sz w:val="24"/>
          <w:szCs w:val="24"/>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20</w:t>
      </w:r>
      <w:r>
        <w:rPr>
          <w:rFonts w:hint="eastAsia" w:ascii="宋体" w:hAnsi="宋体" w:eastAsia="宋体" w:cs="宋体"/>
          <w:color w:val="000000" w:themeColor="text1"/>
          <w:kern w:val="0"/>
          <w:sz w:val="24"/>
          <w:szCs w:val="24"/>
          <w:highlight w:val="none"/>
          <w14:textFill>
            <w14:solidFill>
              <w14:schemeClr w14:val="tx1"/>
            </w14:solidFill>
          </w14:textFill>
        </w:rPr>
        <w:t xml:space="preserve">.2 </w:t>
      </w:r>
      <w:r>
        <w:rPr>
          <w:rFonts w:hint="eastAsia" w:ascii="宋体" w:hAnsi="宋体" w:eastAsia="宋体" w:cs="宋体"/>
          <w:color w:val="000000" w:themeColor="text1"/>
          <w:kern w:val="0"/>
          <w:sz w:val="24"/>
          <w:szCs w:val="24"/>
          <w:highlight w:val="none"/>
          <w:lang w:eastAsia="zh-CN"/>
          <w14:textFill>
            <w14:solidFill>
              <w14:schemeClr w14:val="tx1"/>
            </w14:solidFill>
          </w14:textFill>
        </w:rPr>
        <w:t>响应性文件</w:t>
      </w:r>
      <w:r>
        <w:rPr>
          <w:rFonts w:hint="eastAsia" w:ascii="宋体" w:hAnsi="宋体" w:eastAsia="宋体" w:cs="宋体"/>
          <w:color w:val="000000" w:themeColor="text1"/>
          <w:kern w:val="0"/>
          <w:sz w:val="24"/>
          <w:szCs w:val="24"/>
          <w:highlight w:val="none"/>
          <w14:textFill>
            <w14:solidFill>
              <w14:schemeClr w14:val="tx1"/>
            </w14:solidFill>
          </w14:textFill>
        </w:rPr>
        <w:t>应当对</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采购</w:t>
      </w:r>
      <w:r>
        <w:rPr>
          <w:rFonts w:hint="eastAsia" w:ascii="宋体" w:hAnsi="宋体" w:eastAsia="宋体" w:cs="宋体"/>
          <w:color w:val="000000" w:themeColor="text1"/>
          <w:kern w:val="0"/>
          <w:sz w:val="24"/>
          <w:szCs w:val="24"/>
          <w:highlight w:val="none"/>
          <w14:textFill>
            <w14:solidFill>
              <w14:schemeClr w14:val="tx1"/>
            </w14:solidFill>
          </w14:textFill>
        </w:rPr>
        <w:t>文件有关服务期、投标有效期、</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服务</w:t>
      </w:r>
      <w:r>
        <w:rPr>
          <w:rFonts w:hint="eastAsia" w:ascii="宋体" w:hAnsi="宋体" w:eastAsia="宋体" w:cs="宋体"/>
          <w:color w:val="000000" w:themeColor="text1"/>
          <w:kern w:val="0"/>
          <w:sz w:val="24"/>
          <w:szCs w:val="24"/>
          <w:highlight w:val="none"/>
          <w14:textFill>
            <w14:solidFill>
              <w14:schemeClr w14:val="tx1"/>
            </w14:solidFill>
          </w14:textFill>
        </w:rPr>
        <w:t>要求、技术标准和要求、</w:t>
      </w:r>
      <w:r>
        <w:rPr>
          <w:rFonts w:hint="eastAsia" w:ascii="宋体" w:hAnsi="宋体" w:eastAsia="宋体" w:cs="宋体"/>
          <w:color w:val="auto"/>
          <w:kern w:val="0"/>
          <w:sz w:val="24"/>
          <w:szCs w:val="24"/>
          <w:highlight w:val="none"/>
          <w:lang w:eastAsia="zh-CN"/>
        </w:rPr>
        <w:t>磋商</w:t>
      </w:r>
      <w:r>
        <w:rPr>
          <w:rFonts w:hint="eastAsia" w:ascii="宋体" w:hAnsi="宋体" w:eastAsia="宋体" w:cs="宋体"/>
          <w:color w:val="auto"/>
          <w:kern w:val="0"/>
          <w:sz w:val="24"/>
          <w:szCs w:val="24"/>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应用不褪色的材料书写或打印，并由</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的法定代表人盖章或盖单位公章；</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应尽量避免涂改、行间插字或删除，如果出现上述情况，改动之处应加盖单位公章或由</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的法定代表人盖章确认。签字或盖章的具体要求见</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须知前附表。</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.4</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份数见</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须知前附表。</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.5</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的具体装订要求见</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须知前附表规定。</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8"/>
          <w:szCs w:val="28"/>
          <w:highlight w:val="none"/>
        </w:rPr>
        <w:t>四、</w:t>
      </w:r>
      <w:r>
        <w:rPr>
          <w:rFonts w:hint="eastAsia" w:ascii="宋体" w:hAnsi="宋体" w:eastAsia="宋体" w:cs="宋体"/>
          <w:b/>
          <w:color w:val="auto"/>
          <w:kern w:val="0"/>
          <w:sz w:val="28"/>
          <w:szCs w:val="28"/>
          <w:highlight w:val="none"/>
          <w:lang w:eastAsia="zh-CN"/>
        </w:rPr>
        <w:t>响应性文件</w:t>
      </w:r>
      <w:r>
        <w:rPr>
          <w:rFonts w:hint="eastAsia" w:ascii="宋体" w:hAnsi="宋体" w:eastAsia="宋体" w:cs="宋体"/>
          <w:b/>
          <w:color w:val="auto"/>
          <w:kern w:val="0"/>
          <w:sz w:val="28"/>
          <w:szCs w:val="28"/>
          <w:highlight w:val="none"/>
        </w:rPr>
        <w:t>的递交</w:t>
      </w:r>
    </w:p>
    <w:p>
      <w:pPr>
        <w:keepNext w:val="0"/>
        <w:keepLines w:val="0"/>
        <w:pageBreakBefore w:val="0"/>
        <w:widowControl/>
        <w:kinsoku/>
        <w:wordWrap/>
        <w:overflowPunct/>
        <w:topLinePunct w:val="0"/>
        <w:autoSpaceDE/>
        <w:autoSpaceDN/>
        <w:bidi w:val="0"/>
        <w:adjustRightInd/>
        <w:snapToGrid w:val="0"/>
        <w:spacing w:line="360" w:lineRule="auto"/>
        <w:ind w:firstLine="477" w:firstLineChars="198"/>
        <w:textAlignment w:val="auto"/>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 xml:space="preserve">21. </w:t>
      </w:r>
      <w:r>
        <w:rPr>
          <w:rFonts w:hint="eastAsia" w:ascii="宋体" w:hAnsi="宋体" w:eastAsia="宋体" w:cs="宋体"/>
          <w:b/>
          <w:color w:val="auto"/>
          <w:kern w:val="0"/>
          <w:sz w:val="24"/>
          <w:szCs w:val="24"/>
          <w:highlight w:val="none"/>
          <w:lang w:eastAsia="zh-CN"/>
        </w:rPr>
        <w:t>响应性文件</w:t>
      </w:r>
      <w:r>
        <w:rPr>
          <w:rFonts w:hint="eastAsia" w:ascii="宋体" w:hAnsi="宋体" w:eastAsia="宋体" w:cs="宋体"/>
          <w:b/>
          <w:color w:val="auto"/>
          <w:kern w:val="0"/>
          <w:sz w:val="24"/>
          <w:szCs w:val="24"/>
          <w:highlight w:val="none"/>
        </w:rPr>
        <w:t>的密封、标记</w:t>
      </w:r>
    </w:p>
    <w:p>
      <w:pPr>
        <w:keepNext w:val="0"/>
        <w:keepLines w:val="0"/>
        <w:pageBreakBefore w:val="0"/>
        <w:kinsoku/>
        <w:wordWrap/>
        <w:overflowPunct/>
        <w:topLinePunct w:val="0"/>
        <w:autoSpaceDE/>
        <w:autoSpaceDN/>
        <w:bidi w:val="0"/>
        <w:adjustRightInd/>
        <w:spacing w:line="360" w:lineRule="auto"/>
        <w:ind w:firstLine="484" w:firstLineChars="202"/>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21.1</w:t>
      </w:r>
      <w:r>
        <w:rPr>
          <w:rFonts w:hint="eastAsia" w:ascii="宋体" w:hAnsi="宋体" w:eastAsia="宋体" w:cs="宋体"/>
          <w:color w:val="auto"/>
          <w:sz w:val="24"/>
          <w:szCs w:val="24"/>
          <w:highlight w:val="none"/>
        </w:rPr>
        <w:t>响应文件应密封包装，并在封套的封口处加盖供应商单位章或由供应商的法定代表人（单位负责人）或其授权的代理人签字。</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 xml:space="preserve">21.2 </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的封套上应清楚地标记“正本”或“副本”字样，封套上应写明的其他内容见</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须知前附表</w:t>
      </w:r>
      <w:r>
        <w:rPr>
          <w:rFonts w:hint="eastAsia" w:ascii="宋体" w:hAnsi="宋体" w:eastAsia="宋体" w:cs="宋体"/>
          <w:color w:val="auto"/>
          <w:kern w:val="0"/>
          <w:sz w:val="24"/>
          <w:szCs w:val="24"/>
          <w:highlight w:val="none"/>
          <w:lang w:eastAsia="zh-CN"/>
        </w:rPr>
        <w:t>。</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.3 未按本章第2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.1项或第2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.2项要求密封和加写标记的响应性文件，采购人不予受理。</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 xml:space="preserve">22. </w:t>
      </w:r>
      <w:r>
        <w:rPr>
          <w:rFonts w:hint="eastAsia" w:ascii="宋体" w:hAnsi="宋体" w:eastAsia="宋体" w:cs="宋体"/>
          <w:b/>
          <w:color w:val="auto"/>
          <w:kern w:val="0"/>
          <w:sz w:val="24"/>
          <w:szCs w:val="24"/>
          <w:highlight w:val="none"/>
          <w:lang w:eastAsia="zh-CN"/>
        </w:rPr>
        <w:t>响应性文件</w:t>
      </w:r>
      <w:r>
        <w:rPr>
          <w:rFonts w:hint="eastAsia" w:ascii="宋体" w:hAnsi="宋体" w:eastAsia="宋体" w:cs="宋体"/>
          <w:b/>
          <w:color w:val="auto"/>
          <w:kern w:val="0"/>
          <w:sz w:val="24"/>
          <w:szCs w:val="24"/>
          <w:highlight w:val="none"/>
        </w:rPr>
        <w:t>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 xml:space="preserve">.1 </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应在规定的投标截止时间前</w:t>
      </w:r>
      <w:r>
        <w:rPr>
          <w:rFonts w:hint="eastAsia" w:ascii="宋体" w:hAnsi="宋体" w:eastAsia="宋体" w:cs="宋体"/>
          <w:color w:val="auto"/>
          <w:kern w:val="0"/>
          <w:sz w:val="24"/>
          <w:szCs w:val="24"/>
          <w:highlight w:val="none"/>
          <w:lang w:eastAsia="zh-CN"/>
        </w:rPr>
        <w:t>递交响应性文件</w:t>
      </w:r>
      <w:r>
        <w:rPr>
          <w:rFonts w:hint="eastAsia" w:ascii="宋体" w:hAnsi="宋体" w:eastAsia="宋体" w:cs="宋体"/>
          <w:color w:val="auto"/>
          <w:kern w:val="0"/>
          <w:sz w:val="24"/>
          <w:szCs w:val="24"/>
          <w:highlight w:val="none"/>
        </w:rPr>
        <w:t>。</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 xml:space="preserve">.2 </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递交</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的地点：见</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.3 除</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须知前附表另有规定外，</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所递交的</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.4 逾期送达的或者未送达指定地点的</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，采购人不予受理。</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 xml:space="preserve">23. </w:t>
      </w:r>
      <w:r>
        <w:rPr>
          <w:rFonts w:hint="eastAsia" w:ascii="宋体" w:hAnsi="宋体" w:eastAsia="宋体" w:cs="宋体"/>
          <w:b/>
          <w:color w:val="auto"/>
          <w:kern w:val="0"/>
          <w:sz w:val="24"/>
          <w:szCs w:val="24"/>
          <w:highlight w:val="none"/>
          <w:lang w:eastAsia="zh-CN"/>
        </w:rPr>
        <w:t>响应性文件</w:t>
      </w:r>
      <w:r>
        <w:rPr>
          <w:rFonts w:hint="eastAsia" w:ascii="宋体" w:hAnsi="宋体" w:eastAsia="宋体" w:cs="宋体"/>
          <w:b/>
          <w:color w:val="auto"/>
          <w:kern w:val="0"/>
          <w:sz w:val="24"/>
          <w:szCs w:val="24"/>
          <w:highlight w:val="none"/>
        </w:rPr>
        <w:t>的修改和撤回</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23.1 </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在投标截止时间前，可以对所提交的</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进行补充、修改或者撤回，并书面通知</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。补充、修改的内容和撤回通知应当按本须知要求签署、盖章、密封，并作为</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的组成部分。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23.2 </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在投标截止期后不得修改、撤回</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在投标截止期后修改</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的，其投标将被拒绝。</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8"/>
          <w:szCs w:val="28"/>
          <w:highlight w:val="none"/>
          <w:lang w:val="en-US" w:eastAsia="zh-CN"/>
        </w:rPr>
        <w:t>五</w:t>
      </w:r>
      <w:r>
        <w:rPr>
          <w:rFonts w:hint="eastAsia" w:ascii="宋体" w:hAnsi="宋体" w:eastAsia="宋体" w:cs="宋体"/>
          <w:b/>
          <w:bCs/>
          <w:color w:val="auto"/>
          <w:kern w:val="0"/>
          <w:sz w:val="28"/>
          <w:szCs w:val="28"/>
          <w:highlight w:val="none"/>
        </w:rPr>
        <w:t>、评标</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4</w:t>
      </w:r>
      <w:r>
        <w:rPr>
          <w:rFonts w:hint="eastAsia" w:ascii="宋体" w:hAnsi="宋体" w:eastAsia="宋体" w:cs="宋体"/>
          <w:b/>
          <w:bCs/>
          <w:color w:val="auto"/>
          <w:kern w:val="0"/>
          <w:sz w:val="24"/>
          <w:szCs w:val="24"/>
          <w:highlight w:val="none"/>
        </w:rPr>
        <w:t>. 组建</w:t>
      </w:r>
      <w:r>
        <w:rPr>
          <w:rFonts w:hint="eastAsia" w:ascii="宋体" w:hAnsi="宋体" w:eastAsia="宋体" w:cs="宋体"/>
          <w:b/>
          <w:bCs/>
          <w:color w:val="auto"/>
          <w:kern w:val="0"/>
          <w:sz w:val="24"/>
          <w:szCs w:val="24"/>
          <w:highlight w:val="none"/>
          <w:lang w:eastAsia="zh-CN"/>
        </w:rPr>
        <w:t>评标委员会</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 xml:space="preserve">.1 </w:t>
      </w:r>
      <w:r>
        <w:rPr>
          <w:rFonts w:hint="eastAsia" w:ascii="宋体" w:hAnsi="宋体" w:eastAsia="宋体" w:cs="宋体"/>
          <w:color w:val="auto"/>
          <w:kern w:val="0"/>
          <w:sz w:val="24"/>
          <w:szCs w:val="24"/>
          <w:highlight w:val="none"/>
          <w:lang w:eastAsia="zh-CN"/>
        </w:rPr>
        <w:t>评标委员会</w:t>
      </w:r>
      <w:r>
        <w:rPr>
          <w:rFonts w:hint="eastAsia" w:ascii="宋体" w:hAnsi="宋体" w:eastAsia="宋体" w:cs="宋体"/>
          <w:color w:val="auto"/>
          <w:kern w:val="0"/>
          <w:sz w:val="24"/>
          <w:szCs w:val="24"/>
          <w:highlight w:val="none"/>
        </w:rPr>
        <w:t>由采购人代表和评审专家组成。成员由</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人以上单数组成。</w:t>
      </w:r>
      <w:r>
        <w:rPr>
          <w:rFonts w:hint="eastAsia" w:ascii="宋体" w:hAnsi="宋体" w:eastAsia="宋体" w:cs="宋体"/>
          <w:color w:val="auto"/>
          <w:sz w:val="24"/>
          <w:szCs w:val="24"/>
          <w:highlight w:val="none"/>
        </w:rPr>
        <w:t>在开标后由</w:t>
      </w:r>
      <w:r>
        <w:rPr>
          <w:rFonts w:hint="eastAsia" w:ascii="宋体" w:hAnsi="宋体" w:eastAsia="宋体" w:cs="宋体"/>
          <w:color w:val="auto"/>
          <w:sz w:val="24"/>
          <w:szCs w:val="24"/>
          <w:highlight w:val="none"/>
          <w:lang w:eastAsia="zh-CN"/>
        </w:rPr>
        <w:t>评标委员会</w:t>
      </w:r>
      <w:r>
        <w:rPr>
          <w:rFonts w:hint="eastAsia" w:ascii="宋体" w:hAnsi="宋体" w:eastAsia="宋体" w:cs="宋体"/>
          <w:color w:val="auto"/>
          <w:sz w:val="24"/>
          <w:szCs w:val="24"/>
          <w:highlight w:val="none"/>
        </w:rPr>
        <w:t>对</w:t>
      </w:r>
      <w:r>
        <w:rPr>
          <w:rFonts w:hint="eastAsia" w:ascii="宋体" w:hAnsi="宋体" w:eastAsia="宋体" w:cs="宋体"/>
          <w:color w:val="auto"/>
          <w:sz w:val="24"/>
          <w:szCs w:val="24"/>
          <w:highlight w:val="none"/>
          <w:lang w:eastAsia="zh-CN"/>
        </w:rPr>
        <w:t>响应性文件</w:t>
      </w:r>
      <w:r>
        <w:rPr>
          <w:rFonts w:hint="eastAsia" w:ascii="宋体" w:hAnsi="宋体" w:eastAsia="宋体" w:cs="宋体"/>
          <w:color w:val="auto"/>
          <w:sz w:val="24"/>
          <w:szCs w:val="24"/>
          <w:highlight w:val="none"/>
        </w:rPr>
        <w:t>进行审查、质疑、评估和比较，并做合理的建议。</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评标委员会</w:t>
      </w:r>
      <w:r>
        <w:rPr>
          <w:rFonts w:hint="eastAsia" w:ascii="宋体" w:hAnsi="宋体" w:eastAsia="宋体" w:cs="宋体"/>
          <w:color w:val="auto"/>
          <w:kern w:val="0"/>
          <w:sz w:val="24"/>
          <w:szCs w:val="24"/>
          <w:highlight w:val="none"/>
        </w:rPr>
        <w:t>成员要依法独立评审，并对评审意见承担个人责任。</w:t>
      </w:r>
      <w:r>
        <w:rPr>
          <w:rFonts w:hint="eastAsia" w:ascii="宋体" w:hAnsi="宋体" w:eastAsia="宋体" w:cs="宋体"/>
          <w:color w:val="auto"/>
          <w:sz w:val="24"/>
          <w:szCs w:val="24"/>
          <w:highlight w:val="none"/>
          <w:lang w:eastAsia="zh-CN"/>
        </w:rPr>
        <w:t>评标委员会</w:t>
      </w:r>
      <w:r>
        <w:rPr>
          <w:rFonts w:hint="eastAsia" w:ascii="宋体" w:hAnsi="宋体" w:eastAsia="宋体" w:cs="宋体"/>
          <w:color w:val="auto"/>
          <w:sz w:val="24"/>
          <w:szCs w:val="24"/>
          <w:highlight w:val="none"/>
        </w:rPr>
        <w:t>成员对需要共同认定的事项存在争议的，按照少数服从多数的原则</w:t>
      </w:r>
      <w:r>
        <w:rPr>
          <w:rFonts w:hint="eastAsia" w:ascii="宋体" w:hAnsi="宋体" w:eastAsia="宋体" w:cs="宋体"/>
          <w:color w:val="auto"/>
          <w:kern w:val="0"/>
          <w:sz w:val="24"/>
          <w:szCs w:val="24"/>
          <w:highlight w:val="none"/>
        </w:rPr>
        <w:t>做</w:t>
      </w:r>
      <w:r>
        <w:rPr>
          <w:rFonts w:hint="eastAsia" w:ascii="宋体" w:hAnsi="宋体" w:eastAsia="宋体" w:cs="宋体"/>
          <w:color w:val="auto"/>
          <w:sz w:val="24"/>
          <w:szCs w:val="24"/>
          <w:highlight w:val="none"/>
        </w:rPr>
        <w:t>出结论。持不同意见的</w:t>
      </w:r>
      <w:r>
        <w:rPr>
          <w:rFonts w:hint="eastAsia" w:ascii="宋体" w:hAnsi="宋体" w:eastAsia="宋体" w:cs="宋体"/>
          <w:color w:val="auto"/>
          <w:sz w:val="24"/>
          <w:szCs w:val="24"/>
          <w:highlight w:val="none"/>
          <w:lang w:eastAsia="zh-CN"/>
        </w:rPr>
        <w:t>评标委员会</w:t>
      </w:r>
      <w:r>
        <w:rPr>
          <w:rFonts w:hint="eastAsia" w:ascii="宋体" w:hAnsi="宋体" w:eastAsia="宋体" w:cs="宋体"/>
          <w:color w:val="auto"/>
          <w:sz w:val="24"/>
          <w:szCs w:val="24"/>
          <w:highlight w:val="none"/>
        </w:rPr>
        <w:t>成员应当在评标报告上签署不同意见</w:t>
      </w:r>
      <w:r>
        <w:rPr>
          <w:rFonts w:hint="eastAsia" w:ascii="宋体" w:hAnsi="宋体" w:eastAsia="宋体" w:cs="宋体"/>
          <w:color w:val="auto"/>
          <w:kern w:val="0"/>
          <w:sz w:val="24"/>
          <w:szCs w:val="24"/>
          <w:highlight w:val="none"/>
        </w:rPr>
        <w:t>并说明</w:t>
      </w:r>
      <w:r>
        <w:rPr>
          <w:rFonts w:hint="eastAsia" w:ascii="宋体" w:hAnsi="宋体" w:eastAsia="宋体" w:cs="宋体"/>
          <w:color w:val="auto"/>
          <w:sz w:val="24"/>
          <w:szCs w:val="24"/>
          <w:highlight w:val="none"/>
        </w:rPr>
        <w:t>理由，否则视为同意。</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 xml:space="preserve">. </w:t>
      </w:r>
      <w:r>
        <w:rPr>
          <w:rFonts w:hint="eastAsia" w:ascii="宋体" w:hAnsi="宋体" w:eastAsia="宋体" w:cs="宋体"/>
          <w:b/>
          <w:bCs/>
          <w:color w:val="auto"/>
          <w:sz w:val="24"/>
          <w:szCs w:val="24"/>
          <w:highlight w:val="none"/>
          <w:lang w:eastAsia="zh-CN"/>
        </w:rPr>
        <w:t>响应性文件</w:t>
      </w:r>
      <w:r>
        <w:rPr>
          <w:rFonts w:hint="eastAsia" w:ascii="宋体" w:hAnsi="宋体" w:eastAsia="宋体" w:cs="宋体"/>
          <w:b/>
          <w:bCs/>
          <w:color w:val="auto"/>
          <w:sz w:val="24"/>
          <w:szCs w:val="24"/>
          <w:highlight w:val="none"/>
        </w:rPr>
        <w:t>的初审</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.1对所有</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的评估，都采用相同的程序和标准。评标过程将严格按照</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文件的要求和条件进行。</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.2 </w:t>
      </w:r>
      <w:r>
        <w:rPr>
          <w:rFonts w:hint="eastAsia" w:ascii="宋体" w:hAnsi="宋体" w:eastAsia="宋体" w:cs="宋体"/>
          <w:color w:val="auto"/>
          <w:kern w:val="0"/>
          <w:sz w:val="24"/>
          <w:szCs w:val="24"/>
          <w:highlight w:val="none"/>
          <w:lang w:eastAsia="zh-CN"/>
        </w:rPr>
        <w:t>评标委员会</w:t>
      </w:r>
      <w:r>
        <w:rPr>
          <w:rFonts w:hint="eastAsia" w:ascii="宋体" w:hAnsi="宋体" w:eastAsia="宋体" w:cs="宋体"/>
          <w:color w:val="auto"/>
          <w:kern w:val="0"/>
          <w:sz w:val="24"/>
          <w:szCs w:val="24"/>
          <w:highlight w:val="none"/>
        </w:rPr>
        <w:t>将对</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进行检查，以确定</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.3 </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报价出现前后不一致的，除</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文件另有规定外，修正错误的原则如下：</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.3.1</w:t>
      </w:r>
      <w:r>
        <w:rPr>
          <w:rFonts w:hint="eastAsia" w:ascii="宋体" w:hAnsi="宋体" w:eastAsia="宋体" w:cs="宋体"/>
          <w:color w:val="auto"/>
          <w:sz w:val="24"/>
          <w:szCs w:val="24"/>
          <w:highlight w:val="none"/>
          <w:shd w:val="clear" w:color="auto" w:fill="FFFFFF"/>
          <w:lang w:eastAsia="zh-CN"/>
        </w:rPr>
        <w:t>响应性文件</w:t>
      </w:r>
      <w:r>
        <w:rPr>
          <w:rFonts w:hint="eastAsia" w:ascii="宋体" w:hAnsi="宋体" w:eastAsia="宋体" w:cs="宋体"/>
          <w:color w:val="auto"/>
          <w:sz w:val="24"/>
          <w:szCs w:val="24"/>
          <w:highlight w:val="none"/>
          <w:shd w:val="clear" w:color="auto" w:fill="FFFFFF"/>
        </w:rPr>
        <w:t>开标一览表（报价表）内容与</w:t>
      </w:r>
      <w:r>
        <w:rPr>
          <w:rFonts w:hint="eastAsia" w:ascii="宋体" w:hAnsi="宋体" w:eastAsia="宋体" w:cs="宋体"/>
          <w:color w:val="auto"/>
          <w:sz w:val="24"/>
          <w:szCs w:val="24"/>
          <w:highlight w:val="none"/>
          <w:shd w:val="clear" w:color="auto" w:fill="FFFFFF"/>
          <w:lang w:eastAsia="zh-CN"/>
        </w:rPr>
        <w:t>响应性文件</w:t>
      </w:r>
      <w:r>
        <w:rPr>
          <w:rFonts w:hint="eastAsia" w:ascii="宋体" w:hAnsi="宋体" w:eastAsia="宋体" w:cs="宋体"/>
          <w:color w:val="auto"/>
          <w:sz w:val="24"/>
          <w:szCs w:val="24"/>
          <w:highlight w:val="none"/>
          <w:shd w:val="clear" w:color="auto" w:fill="FFFFFF"/>
        </w:rPr>
        <w:t>中相应内容不一致的，以开标一览表（报价表）为准；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.3.2</w:t>
      </w:r>
      <w:r>
        <w:rPr>
          <w:rFonts w:hint="eastAsia" w:ascii="宋体" w:hAnsi="宋体" w:eastAsia="宋体" w:cs="宋体"/>
          <w:color w:val="auto"/>
          <w:sz w:val="24"/>
          <w:szCs w:val="24"/>
          <w:highlight w:val="none"/>
          <w:shd w:val="clear" w:color="auto" w:fill="FFFFFF"/>
        </w:rPr>
        <w:t>大写金额</w:t>
      </w:r>
      <w:r>
        <w:rPr>
          <w:rFonts w:hint="eastAsia" w:ascii="宋体" w:hAnsi="宋体" w:eastAsia="宋体" w:cs="宋体"/>
          <w:color w:val="auto"/>
          <w:sz w:val="24"/>
          <w:szCs w:val="24"/>
          <w:highlight w:val="none"/>
        </w:rPr>
        <w:t>与</w:t>
      </w:r>
      <w:r>
        <w:rPr>
          <w:rFonts w:hint="eastAsia" w:ascii="宋体" w:hAnsi="宋体" w:eastAsia="宋体" w:cs="宋体"/>
          <w:color w:val="auto"/>
          <w:sz w:val="24"/>
          <w:szCs w:val="24"/>
          <w:highlight w:val="none"/>
          <w:shd w:val="clear" w:color="auto" w:fill="FFFFFF"/>
        </w:rPr>
        <w:t>小写金额不一致的，以大写金额为准；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.3.3</w:t>
      </w:r>
      <w:r>
        <w:rPr>
          <w:rFonts w:hint="eastAsia" w:ascii="宋体" w:hAnsi="宋体" w:eastAsia="宋体" w:cs="宋体"/>
          <w:color w:val="auto"/>
          <w:sz w:val="24"/>
          <w:szCs w:val="24"/>
          <w:highlight w:val="none"/>
          <w:shd w:val="clear" w:color="auto" w:fill="FFFFFF"/>
        </w:rPr>
        <w:t>单价金额小数点或者百分比有明显错位的，以开标一览表的总价为准，并修改单价；</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.3.4</w:t>
      </w:r>
      <w:r>
        <w:rPr>
          <w:rFonts w:hint="eastAsia" w:ascii="宋体" w:hAnsi="宋体" w:eastAsia="宋体" w:cs="宋体"/>
          <w:color w:val="auto"/>
          <w:sz w:val="24"/>
          <w:szCs w:val="24"/>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.3.5 对不同文字文本</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的解释发生异议的，以中文文本为准。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.3.6 同时出现两种以上不一致的，按照前款规定的顺序修正。修正后的报价按照财政部87号令第五十一条第二款的规定经</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确认后产生约束力，</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不确认的，其投标无效。</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.4.1</w:t>
      </w:r>
      <w:r>
        <w:rPr>
          <w:rFonts w:hint="eastAsia" w:ascii="宋体" w:hAnsi="宋体" w:eastAsia="宋体" w:cs="宋体"/>
          <w:color w:val="auto"/>
          <w:sz w:val="24"/>
          <w:szCs w:val="24"/>
          <w:highlight w:val="none"/>
        </w:rPr>
        <w:t>资格性检查。依据法规政策和</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文件的规定，在对</w:t>
      </w:r>
      <w:r>
        <w:rPr>
          <w:rFonts w:hint="eastAsia" w:ascii="宋体" w:hAnsi="宋体" w:eastAsia="宋体" w:cs="宋体"/>
          <w:color w:val="auto"/>
          <w:sz w:val="24"/>
          <w:szCs w:val="24"/>
          <w:highlight w:val="none"/>
          <w:lang w:eastAsia="zh-CN"/>
        </w:rPr>
        <w:t>响应性文件</w:t>
      </w:r>
      <w:r>
        <w:rPr>
          <w:rFonts w:hint="eastAsia" w:ascii="宋体" w:hAnsi="宋体" w:eastAsia="宋体" w:cs="宋体"/>
          <w:color w:val="auto"/>
          <w:sz w:val="24"/>
          <w:szCs w:val="24"/>
          <w:highlight w:val="none"/>
        </w:rPr>
        <w:t>详细评估之前，采购人将依据</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提交的</w:t>
      </w:r>
      <w:r>
        <w:rPr>
          <w:rFonts w:hint="eastAsia" w:ascii="宋体" w:hAnsi="宋体" w:eastAsia="宋体" w:cs="宋体"/>
          <w:color w:val="auto"/>
          <w:sz w:val="24"/>
          <w:szCs w:val="24"/>
          <w:highlight w:val="none"/>
          <w:lang w:eastAsia="zh-CN"/>
        </w:rPr>
        <w:t>响应性文件</w:t>
      </w:r>
      <w:r>
        <w:rPr>
          <w:rFonts w:hint="eastAsia" w:ascii="宋体" w:hAnsi="宋体" w:eastAsia="宋体" w:cs="宋体"/>
          <w:color w:val="auto"/>
          <w:sz w:val="24"/>
          <w:szCs w:val="24"/>
          <w:highlight w:val="none"/>
        </w:rPr>
        <w:t>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公告第二项和</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文件第三章4.</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应提交的证明文件所述的资格标准对</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进行资格审查,以确定其是否具备投标资格。如果</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不具备投标资格、不满足</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文件所规定的资格标准或提供资格证明文件不全,其投标将被作为无效投标。在审查过程中，采购人有权要求</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文件的规定提供相关资格证明材料的原件以供审查。</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应在规定的时限内提供。</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.4.2 资格审查后合格的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不足3家的，不得评标。</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.4.3 符合性检查。依据</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文件的规定，</w:t>
      </w:r>
      <w:r>
        <w:rPr>
          <w:rFonts w:hint="eastAsia" w:ascii="宋体" w:hAnsi="宋体" w:eastAsia="宋体" w:cs="宋体"/>
          <w:color w:val="auto"/>
          <w:kern w:val="0"/>
          <w:sz w:val="24"/>
          <w:szCs w:val="24"/>
          <w:highlight w:val="none"/>
          <w:lang w:eastAsia="zh-CN"/>
        </w:rPr>
        <w:t>评标委员会</w:t>
      </w:r>
      <w:r>
        <w:rPr>
          <w:rFonts w:hint="eastAsia" w:ascii="宋体" w:hAnsi="宋体" w:eastAsia="宋体" w:cs="宋体"/>
          <w:color w:val="auto"/>
          <w:kern w:val="0"/>
          <w:sz w:val="24"/>
          <w:szCs w:val="24"/>
          <w:highlight w:val="none"/>
        </w:rPr>
        <w:t>将从</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的有效性、完整性和对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文件的响应程度进行审查，以确定是否符合对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文件的实质性要求作出响应。对没有实质性响应的</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将不进行评估，其投标被作为无效投标。凡有下列情况之一者，</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也将被视为未实质性响应</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响应性文件</w:t>
      </w:r>
      <w:r>
        <w:rPr>
          <w:rFonts w:hint="eastAsia" w:ascii="宋体" w:hAnsi="宋体" w:eastAsia="宋体" w:cs="宋体"/>
          <w:color w:val="auto"/>
          <w:sz w:val="24"/>
          <w:szCs w:val="24"/>
          <w:highlight w:val="none"/>
        </w:rPr>
        <w:t>未按规定签字、盖章的。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（3）资格证明文件不全的，或不符合</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（4）投标</w:t>
      </w:r>
      <w:r>
        <w:rPr>
          <w:rFonts w:hint="eastAsia" w:ascii="宋体" w:hAnsi="宋体" w:eastAsia="宋体" w:cs="宋体"/>
          <w:color w:val="000000" w:themeColor="text1"/>
          <w:sz w:val="24"/>
          <w:szCs w:val="24"/>
          <w:highlight w:val="none"/>
          <w14:textFill>
            <w14:solidFill>
              <w14:schemeClr w14:val="tx1"/>
            </w14:solidFill>
          </w14:textFill>
        </w:rPr>
        <w:t>有效期、</w:t>
      </w:r>
      <w:r>
        <w:rPr>
          <w:rFonts w:hint="eastAsia" w:ascii="宋体" w:hAnsi="宋体" w:eastAsia="宋体" w:cs="宋体"/>
          <w:color w:val="000000" w:themeColor="text1"/>
          <w:sz w:val="24"/>
          <w:szCs w:val="24"/>
          <w:highlight w:val="none"/>
          <w:lang w:val="en-US" w:eastAsia="zh-CN"/>
          <w14:textFill>
            <w14:solidFill>
              <w14:schemeClr w14:val="tx1"/>
            </w14:solidFill>
          </w14:textFill>
        </w:rPr>
        <w:t>合同履行期限</w:t>
      </w:r>
      <w:r>
        <w:rPr>
          <w:rFonts w:hint="eastAsia" w:ascii="宋体" w:hAnsi="宋体" w:eastAsia="宋体" w:cs="宋体"/>
          <w:color w:val="000000" w:themeColor="text1"/>
          <w:sz w:val="24"/>
          <w:szCs w:val="24"/>
          <w:highlight w:val="none"/>
          <w14:textFill>
            <w14:solidFill>
              <w14:schemeClr w14:val="tx1"/>
            </w14:solidFill>
          </w14:textFill>
        </w:rPr>
        <w:t>、质保期等不</w:t>
      </w:r>
      <w:r>
        <w:rPr>
          <w:rFonts w:hint="eastAsia" w:ascii="宋体" w:hAnsi="宋体" w:eastAsia="宋体" w:cs="宋体"/>
          <w:color w:val="auto"/>
          <w:sz w:val="24"/>
          <w:szCs w:val="24"/>
          <w:highlight w:val="none"/>
        </w:rPr>
        <w:t>满足</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（5）未按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lang w:eastAsia="zh-CN"/>
        </w:rPr>
        <w:t>响应性文件</w:t>
      </w:r>
      <w:r>
        <w:rPr>
          <w:rFonts w:hint="eastAsia" w:ascii="宋体" w:hAnsi="宋体" w:eastAsia="宋体" w:cs="宋体"/>
          <w:color w:val="auto"/>
          <w:sz w:val="24"/>
          <w:szCs w:val="24"/>
          <w:highlight w:val="none"/>
        </w:rPr>
        <w:t>的实质性内容未使用中文表述，或意思表述不明确，或前后矛盾，或使用计量单位不符合</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r>
        <w:rPr>
          <w:rFonts w:hint="eastAsia" w:ascii="宋体" w:hAnsi="宋体" w:eastAsia="宋体" w:cs="宋体"/>
          <w:color w:val="auto"/>
          <w:sz w:val="24"/>
          <w:szCs w:val="24"/>
          <w:highlight w:val="none"/>
          <w:lang w:eastAsia="zh-CN"/>
        </w:rPr>
        <w:t>响应性文件</w:t>
      </w:r>
      <w:r>
        <w:rPr>
          <w:rFonts w:hint="eastAsia" w:ascii="宋体" w:hAnsi="宋体" w:eastAsia="宋体" w:cs="宋体"/>
          <w:color w:val="auto"/>
          <w:sz w:val="24"/>
          <w:szCs w:val="24"/>
          <w:highlight w:val="none"/>
        </w:rPr>
        <w:t>的关键内容字迹模糊、无法辨认,或</w:t>
      </w:r>
      <w:r>
        <w:rPr>
          <w:rFonts w:hint="eastAsia" w:ascii="宋体" w:hAnsi="宋体" w:eastAsia="宋体" w:cs="宋体"/>
          <w:color w:val="auto"/>
          <w:sz w:val="24"/>
          <w:szCs w:val="24"/>
          <w:highlight w:val="none"/>
          <w:lang w:eastAsia="zh-CN"/>
        </w:rPr>
        <w:t>响应性文件</w:t>
      </w:r>
      <w:r>
        <w:rPr>
          <w:rFonts w:hint="eastAsia" w:ascii="宋体" w:hAnsi="宋体" w:eastAsia="宋体" w:cs="宋体"/>
          <w:color w:val="auto"/>
          <w:sz w:val="24"/>
          <w:szCs w:val="24"/>
          <w:highlight w:val="none"/>
        </w:rPr>
        <w:t>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lang w:eastAsia="zh-CN"/>
        </w:rPr>
        <w:t>响应性文件</w:t>
      </w:r>
      <w:r>
        <w:rPr>
          <w:rFonts w:hint="eastAsia" w:ascii="宋体" w:hAnsi="宋体" w:eastAsia="宋体" w:cs="宋体"/>
          <w:color w:val="auto"/>
          <w:sz w:val="24"/>
          <w:szCs w:val="24"/>
          <w:highlight w:val="none"/>
        </w:rPr>
        <w:t>内容未按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（9）不符合</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评标委员会</w:t>
      </w:r>
      <w:r>
        <w:rPr>
          <w:rFonts w:hint="eastAsia" w:ascii="宋体" w:hAnsi="宋体" w:eastAsia="宋体" w:cs="宋体"/>
          <w:color w:val="auto"/>
          <w:kern w:val="0"/>
          <w:sz w:val="24"/>
          <w:szCs w:val="24"/>
          <w:highlight w:val="none"/>
        </w:rPr>
        <w:t>决定投标的响应性只根据</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本身的内容，而不寻求其他的外部证据。</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.4.4 对资格性检查和符合性检查不合格的</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，将</w:t>
      </w:r>
      <w:r>
        <w:rPr>
          <w:rFonts w:hint="eastAsia" w:ascii="宋体" w:hAnsi="宋体" w:eastAsia="宋体" w:cs="宋体"/>
          <w:color w:val="auto"/>
          <w:kern w:val="0"/>
          <w:sz w:val="24"/>
          <w:szCs w:val="24"/>
          <w:highlight w:val="none"/>
          <w:lang w:val="en-US" w:eastAsia="zh-CN"/>
        </w:rPr>
        <w:t>通过评标系统</w:t>
      </w:r>
      <w:r>
        <w:rPr>
          <w:rFonts w:hint="eastAsia" w:ascii="宋体" w:hAnsi="宋体" w:eastAsia="宋体" w:cs="宋体"/>
          <w:color w:val="auto"/>
          <w:kern w:val="0"/>
          <w:sz w:val="24"/>
          <w:szCs w:val="24"/>
          <w:highlight w:val="none"/>
        </w:rPr>
        <w:t>告知其理由。</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 在评审过程中，</w:t>
      </w:r>
      <w:r>
        <w:rPr>
          <w:rFonts w:hint="eastAsia" w:ascii="宋体" w:hAnsi="宋体" w:eastAsia="宋体" w:cs="宋体"/>
          <w:color w:val="auto"/>
          <w:sz w:val="24"/>
          <w:szCs w:val="24"/>
          <w:highlight w:val="none"/>
          <w:lang w:eastAsia="zh-CN"/>
        </w:rPr>
        <w:t>评标委员会</w:t>
      </w:r>
      <w:r>
        <w:rPr>
          <w:rFonts w:hint="eastAsia" w:ascii="宋体" w:hAnsi="宋体" w:eastAsia="宋体" w:cs="宋体"/>
          <w:color w:val="auto"/>
          <w:sz w:val="24"/>
          <w:szCs w:val="24"/>
          <w:highlight w:val="none"/>
        </w:rPr>
        <w:t>发现</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有下列情形之一的，视为</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.5.1不同</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的</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.5.2不同</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eastAsia="zh-CN"/>
        </w:rPr>
        <w:t>响应性文件</w:t>
      </w:r>
      <w:r>
        <w:rPr>
          <w:rFonts w:hint="eastAsia" w:ascii="宋体" w:hAnsi="宋体" w:eastAsia="宋体" w:cs="宋体"/>
          <w:color w:val="auto"/>
          <w:sz w:val="24"/>
          <w:szCs w:val="24"/>
          <w:highlight w:val="none"/>
        </w:rPr>
        <w:t>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.5.3不同</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.5.4不同</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eastAsia="zh-CN"/>
        </w:rPr>
        <w:t>响应性文件</w:t>
      </w:r>
      <w:r>
        <w:rPr>
          <w:rFonts w:hint="eastAsia" w:ascii="宋体" w:hAnsi="宋体" w:eastAsia="宋体" w:cs="宋体"/>
          <w:color w:val="auto"/>
          <w:sz w:val="24"/>
          <w:szCs w:val="24"/>
          <w:highlight w:val="none"/>
        </w:rPr>
        <w:t>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.5.5不同</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eastAsia="zh-CN"/>
        </w:rPr>
        <w:t>响应性文件</w:t>
      </w:r>
      <w:r>
        <w:rPr>
          <w:rFonts w:hint="eastAsia" w:ascii="宋体" w:hAnsi="宋体" w:eastAsia="宋体" w:cs="宋体"/>
          <w:color w:val="auto"/>
          <w:sz w:val="24"/>
          <w:szCs w:val="24"/>
          <w:highlight w:val="none"/>
        </w:rPr>
        <w:t>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.5.6不同</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456" w:firstLineChars="19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.5.7 有证据证明</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串通投标的其他情形的；</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.5.8 不同</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的</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制作机器码一致；</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 xml:space="preserve">.5.9 </w:t>
      </w:r>
      <w:r>
        <w:rPr>
          <w:rFonts w:hint="eastAsia" w:ascii="宋体" w:hAnsi="宋体" w:eastAsia="宋体" w:cs="宋体"/>
          <w:color w:val="auto"/>
          <w:kern w:val="0"/>
          <w:sz w:val="24"/>
          <w:szCs w:val="24"/>
          <w:highlight w:val="none"/>
          <w:lang w:eastAsia="zh-CN"/>
        </w:rPr>
        <w:t>评标委员会</w:t>
      </w:r>
      <w:r>
        <w:rPr>
          <w:rFonts w:hint="eastAsia" w:ascii="宋体" w:hAnsi="宋体" w:eastAsia="宋体" w:cs="宋体"/>
          <w:color w:val="auto"/>
          <w:kern w:val="0"/>
          <w:sz w:val="24"/>
          <w:szCs w:val="24"/>
          <w:highlight w:val="none"/>
        </w:rPr>
        <w:t>认定的其他串通投标情形。</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6</w:t>
      </w:r>
      <w:r>
        <w:rPr>
          <w:rFonts w:hint="eastAsia" w:ascii="宋体" w:hAnsi="宋体" w:eastAsia="宋体" w:cs="宋体"/>
          <w:b/>
          <w:bCs/>
          <w:color w:val="auto"/>
          <w:kern w:val="0"/>
          <w:sz w:val="24"/>
          <w:szCs w:val="24"/>
          <w:highlight w:val="none"/>
        </w:rPr>
        <w:t xml:space="preserve">. </w:t>
      </w:r>
      <w:r>
        <w:rPr>
          <w:rFonts w:hint="eastAsia" w:ascii="宋体" w:hAnsi="宋体" w:eastAsia="宋体" w:cs="宋体"/>
          <w:b/>
          <w:bCs/>
          <w:color w:val="auto"/>
          <w:kern w:val="0"/>
          <w:sz w:val="24"/>
          <w:szCs w:val="24"/>
          <w:highlight w:val="none"/>
          <w:lang w:eastAsia="zh-CN"/>
        </w:rPr>
        <w:t>响应性文件</w:t>
      </w:r>
      <w:r>
        <w:rPr>
          <w:rFonts w:hint="eastAsia" w:ascii="宋体" w:hAnsi="宋体" w:eastAsia="宋体" w:cs="宋体"/>
          <w:b/>
          <w:bCs/>
          <w:color w:val="auto"/>
          <w:kern w:val="0"/>
          <w:sz w:val="24"/>
          <w:szCs w:val="24"/>
          <w:highlight w:val="none"/>
        </w:rPr>
        <w:t>的澄清</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对</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中含义不明确、同类问题表述不一致或者有明显文字和计算错误的内容，</w:t>
      </w:r>
      <w:r>
        <w:rPr>
          <w:rFonts w:hint="eastAsia" w:ascii="宋体" w:hAnsi="宋体" w:eastAsia="宋体" w:cs="宋体"/>
          <w:color w:val="auto"/>
          <w:kern w:val="0"/>
          <w:sz w:val="24"/>
          <w:szCs w:val="24"/>
          <w:highlight w:val="none"/>
          <w:lang w:eastAsia="zh-CN"/>
        </w:rPr>
        <w:t>评标委员会</w:t>
      </w:r>
      <w:r>
        <w:rPr>
          <w:rFonts w:hint="eastAsia" w:ascii="宋体" w:hAnsi="宋体" w:eastAsia="宋体" w:cs="宋体"/>
          <w:color w:val="auto"/>
          <w:kern w:val="0"/>
          <w:sz w:val="24"/>
          <w:szCs w:val="24"/>
          <w:highlight w:val="none"/>
        </w:rPr>
        <w:t>可以书面形式要求</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作出必要的澄清。</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的澄清应当在</w:t>
      </w:r>
      <w:r>
        <w:rPr>
          <w:rFonts w:hint="eastAsia" w:ascii="宋体" w:hAnsi="宋体" w:eastAsia="宋体" w:cs="宋体"/>
          <w:color w:val="auto"/>
          <w:kern w:val="0"/>
          <w:sz w:val="24"/>
          <w:szCs w:val="24"/>
          <w:highlight w:val="none"/>
          <w:lang w:eastAsia="zh-CN"/>
        </w:rPr>
        <w:t>评标委员会</w:t>
      </w:r>
      <w:r>
        <w:rPr>
          <w:rFonts w:hint="eastAsia" w:ascii="宋体" w:hAnsi="宋体" w:eastAsia="宋体" w:cs="宋体"/>
          <w:color w:val="auto"/>
          <w:kern w:val="0"/>
          <w:sz w:val="24"/>
          <w:szCs w:val="24"/>
          <w:highlight w:val="none"/>
        </w:rPr>
        <w:t>规定的时间内以书面形式作出，由其</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代表签字。但澄清事项不得超出</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的范围，不得实质性改变</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的内容，不得通过澄清等方式对</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实行差别对待。</w:t>
      </w:r>
      <w:r>
        <w:rPr>
          <w:rFonts w:hint="eastAsia" w:ascii="宋体" w:hAnsi="宋体" w:eastAsia="宋体" w:cs="宋体"/>
          <w:color w:val="auto"/>
          <w:kern w:val="0"/>
          <w:sz w:val="24"/>
          <w:szCs w:val="24"/>
          <w:highlight w:val="none"/>
          <w:lang w:eastAsia="zh-CN"/>
        </w:rPr>
        <w:t>评标委员会</w:t>
      </w:r>
      <w:r>
        <w:rPr>
          <w:rFonts w:hint="eastAsia" w:ascii="宋体" w:hAnsi="宋体" w:eastAsia="宋体" w:cs="宋体"/>
          <w:color w:val="auto"/>
          <w:kern w:val="0"/>
          <w:sz w:val="24"/>
          <w:szCs w:val="24"/>
          <w:highlight w:val="none"/>
        </w:rPr>
        <w:t>不得接受</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主动提出的澄清和解释。</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7</w:t>
      </w:r>
      <w:r>
        <w:rPr>
          <w:rFonts w:hint="eastAsia" w:ascii="宋体" w:hAnsi="宋体" w:eastAsia="宋体" w:cs="宋体"/>
          <w:b/>
          <w:bCs/>
          <w:color w:val="auto"/>
          <w:kern w:val="0"/>
          <w:sz w:val="24"/>
          <w:szCs w:val="24"/>
          <w:highlight w:val="none"/>
        </w:rPr>
        <w:t>. 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rPr>
        <w:t xml:space="preserve">.1 </w:t>
      </w:r>
      <w:r>
        <w:rPr>
          <w:rFonts w:hint="eastAsia" w:ascii="宋体" w:hAnsi="宋体" w:eastAsia="宋体" w:cs="宋体"/>
          <w:color w:val="auto"/>
          <w:sz w:val="24"/>
          <w:szCs w:val="24"/>
          <w:highlight w:val="none"/>
          <w:lang w:eastAsia="zh-CN"/>
        </w:rPr>
        <w:t>评标委员会</w:t>
      </w:r>
      <w:r>
        <w:rPr>
          <w:rFonts w:hint="eastAsia" w:ascii="宋体" w:hAnsi="宋体" w:eastAsia="宋体" w:cs="宋体"/>
          <w:color w:val="auto"/>
          <w:sz w:val="24"/>
          <w:szCs w:val="24"/>
          <w:highlight w:val="none"/>
        </w:rPr>
        <w:t>将按本</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文件规定的评标方法与标准，对资格性检查和符合性检查合格的</w:t>
      </w:r>
      <w:r>
        <w:rPr>
          <w:rFonts w:hint="eastAsia" w:ascii="宋体" w:hAnsi="宋体" w:eastAsia="宋体" w:cs="宋体"/>
          <w:color w:val="auto"/>
          <w:sz w:val="24"/>
          <w:szCs w:val="24"/>
          <w:highlight w:val="none"/>
          <w:lang w:eastAsia="zh-CN"/>
        </w:rPr>
        <w:t>响应性文件</w:t>
      </w:r>
      <w:r>
        <w:rPr>
          <w:rFonts w:hint="eastAsia" w:ascii="宋体" w:hAnsi="宋体" w:eastAsia="宋体" w:cs="宋体"/>
          <w:color w:val="auto"/>
          <w:sz w:val="24"/>
          <w:szCs w:val="24"/>
          <w:highlight w:val="none"/>
        </w:rPr>
        <w:t>进行商务和技术评估，综合比较与评价。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rPr>
        <w:t>.2对漏（缺）报项的处理：</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文件中要求列入报价的费用（含配置、功能），漏（缺）报的视同已含在投标总价中。</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评标委员会</w:t>
      </w:r>
      <w:r>
        <w:rPr>
          <w:rFonts w:hint="eastAsia" w:ascii="宋体" w:hAnsi="宋体" w:eastAsia="宋体" w:cs="宋体"/>
          <w:color w:val="auto"/>
          <w:sz w:val="24"/>
          <w:szCs w:val="24"/>
          <w:highlight w:val="none"/>
        </w:rPr>
        <w:t>认为</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的报价明显低于其他通过符合性审查</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的报价，有可能影响产品质量或者不能诚信履约的，应当要求其在评标现场合理的时间内提供书面说明，必要时提交相关证明材料；</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不能证明其报价合理性的，</w:t>
      </w:r>
      <w:r>
        <w:rPr>
          <w:rFonts w:hint="eastAsia" w:ascii="宋体" w:hAnsi="宋体" w:eastAsia="宋体" w:cs="宋体"/>
          <w:color w:val="auto"/>
          <w:sz w:val="24"/>
          <w:szCs w:val="24"/>
          <w:highlight w:val="none"/>
          <w:lang w:eastAsia="zh-CN"/>
        </w:rPr>
        <w:t>评标委员会</w:t>
      </w:r>
      <w:r>
        <w:rPr>
          <w:rFonts w:hint="eastAsia" w:ascii="宋体" w:hAnsi="宋体" w:eastAsia="宋体" w:cs="宋体"/>
          <w:color w:val="auto"/>
          <w:sz w:val="24"/>
          <w:szCs w:val="24"/>
          <w:highlight w:val="none"/>
        </w:rPr>
        <w:t>应当将其作为无效投标处理。</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8</w:t>
      </w:r>
      <w:r>
        <w:rPr>
          <w:rFonts w:hint="eastAsia" w:ascii="宋体" w:hAnsi="宋体" w:eastAsia="宋体" w:cs="宋体"/>
          <w:b/>
          <w:bCs/>
          <w:color w:val="auto"/>
          <w:kern w:val="0"/>
          <w:sz w:val="24"/>
          <w:szCs w:val="24"/>
          <w:highlight w:val="none"/>
        </w:rPr>
        <w:t>. 评标过程及保密原则</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.1 凡与本次</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有关人员对属于审查、澄清、评价和比较投标的有关资料以及定标意向等，均不得向</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.2 在评标期间，</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lang w:val="en-US" w:eastAsia="zh-CN"/>
        </w:rPr>
        <w:t>29</w:t>
      </w:r>
      <w:r>
        <w:rPr>
          <w:rFonts w:hint="eastAsia" w:ascii="宋体" w:hAnsi="宋体" w:eastAsia="宋体" w:cs="宋体"/>
          <w:b/>
          <w:color w:val="auto"/>
          <w:kern w:val="0"/>
          <w:sz w:val="24"/>
          <w:szCs w:val="24"/>
          <w:highlight w:val="none"/>
        </w:rPr>
        <w:t>.评标异议登记</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8"/>
          <w:szCs w:val="28"/>
          <w:highlight w:val="none"/>
          <w:lang w:val="en-US" w:eastAsia="zh-CN"/>
        </w:rPr>
        <w:t>六</w:t>
      </w:r>
      <w:r>
        <w:rPr>
          <w:rFonts w:hint="eastAsia" w:ascii="宋体" w:hAnsi="宋体" w:eastAsia="宋体" w:cs="宋体"/>
          <w:b/>
          <w:bCs/>
          <w:color w:val="auto"/>
          <w:kern w:val="0"/>
          <w:sz w:val="28"/>
          <w:szCs w:val="28"/>
          <w:highlight w:val="none"/>
        </w:rPr>
        <w:t>、定标</w:t>
      </w:r>
    </w:p>
    <w:p>
      <w:pPr>
        <w:keepNext w:val="0"/>
        <w:keepLines w:val="0"/>
        <w:pageBreakBefore w:val="0"/>
        <w:widowControl/>
        <w:kinsoku/>
        <w:wordWrap/>
        <w:overflowPunct/>
        <w:topLinePunct w:val="0"/>
        <w:bidi w:val="0"/>
        <w:snapToGrid w:val="0"/>
        <w:spacing w:line="360" w:lineRule="auto"/>
        <w:ind w:firstLine="482" w:firstLineChars="200"/>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0</w:t>
      </w:r>
      <w:r>
        <w:rPr>
          <w:rFonts w:hint="eastAsia" w:ascii="宋体" w:hAnsi="宋体" w:eastAsia="宋体" w:cs="宋体"/>
          <w:b/>
          <w:bCs/>
          <w:color w:val="auto"/>
          <w:kern w:val="0"/>
          <w:sz w:val="24"/>
          <w:szCs w:val="24"/>
          <w:highlight w:val="none"/>
        </w:rPr>
        <w:t>. 定标原则</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0</w:t>
      </w:r>
      <w:r>
        <w:rPr>
          <w:rFonts w:hint="eastAsia" w:ascii="宋体" w:hAnsi="宋体" w:eastAsia="宋体" w:cs="宋体"/>
          <w:bCs/>
          <w:color w:val="auto"/>
          <w:kern w:val="0"/>
          <w:sz w:val="24"/>
          <w:szCs w:val="24"/>
          <w:highlight w:val="none"/>
        </w:rPr>
        <w:t>.1 最低投标价不作为</w:t>
      </w:r>
      <w:r>
        <w:rPr>
          <w:rFonts w:hint="eastAsia" w:ascii="宋体" w:hAnsi="宋体" w:eastAsia="宋体" w:cs="宋体"/>
          <w:bCs/>
          <w:color w:val="auto"/>
          <w:kern w:val="0"/>
          <w:sz w:val="24"/>
          <w:szCs w:val="24"/>
          <w:highlight w:val="none"/>
          <w:lang w:eastAsia="zh-CN"/>
        </w:rPr>
        <w:t>成交</w:t>
      </w:r>
      <w:r>
        <w:rPr>
          <w:rFonts w:hint="eastAsia" w:ascii="宋体" w:hAnsi="宋体" w:eastAsia="宋体" w:cs="宋体"/>
          <w:bCs/>
          <w:color w:val="auto"/>
          <w:kern w:val="0"/>
          <w:sz w:val="24"/>
          <w:szCs w:val="24"/>
          <w:highlight w:val="none"/>
        </w:rPr>
        <w:t>的保证。</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0</w:t>
      </w:r>
      <w:r>
        <w:rPr>
          <w:rFonts w:hint="eastAsia" w:ascii="宋体" w:hAnsi="宋体" w:eastAsia="宋体" w:cs="宋体"/>
          <w:bCs/>
          <w:color w:val="auto"/>
          <w:kern w:val="0"/>
          <w:sz w:val="24"/>
          <w:szCs w:val="24"/>
          <w:highlight w:val="none"/>
        </w:rPr>
        <w:t>.2 确定实质上响应</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文件且满足下列条件的为</w:t>
      </w:r>
      <w:r>
        <w:rPr>
          <w:rFonts w:hint="eastAsia" w:ascii="宋体" w:hAnsi="宋体" w:eastAsia="宋体" w:cs="宋体"/>
          <w:bCs/>
          <w:color w:val="auto"/>
          <w:kern w:val="0"/>
          <w:sz w:val="24"/>
          <w:szCs w:val="24"/>
          <w:highlight w:val="none"/>
          <w:lang w:eastAsia="zh-CN"/>
        </w:rPr>
        <w:t>中标候选人</w:t>
      </w:r>
      <w:r>
        <w:rPr>
          <w:rFonts w:hint="eastAsia" w:ascii="宋体" w:hAnsi="宋体" w:eastAsia="宋体" w:cs="宋体"/>
          <w:bCs/>
          <w:color w:val="auto"/>
          <w:kern w:val="0"/>
          <w:sz w:val="24"/>
          <w:szCs w:val="24"/>
          <w:highlight w:val="none"/>
        </w:rPr>
        <w:t>（或</w:t>
      </w:r>
      <w:r>
        <w:rPr>
          <w:rFonts w:hint="eastAsia" w:ascii="宋体" w:hAnsi="宋体" w:eastAsia="宋体" w:cs="宋体"/>
          <w:bCs/>
          <w:color w:val="auto"/>
          <w:kern w:val="0"/>
          <w:sz w:val="24"/>
          <w:szCs w:val="24"/>
          <w:highlight w:val="none"/>
          <w:lang w:eastAsia="zh-CN"/>
        </w:rPr>
        <w:t>中标人</w:t>
      </w:r>
      <w:r>
        <w:rPr>
          <w:rFonts w:hint="eastAsia" w:ascii="宋体" w:hAnsi="宋体" w:eastAsia="宋体" w:cs="宋体"/>
          <w:bCs/>
          <w:color w:val="auto"/>
          <w:kern w:val="0"/>
          <w:sz w:val="24"/>
          <w:szCs w:val="24"/>
          <w:highlight w:val="none"/>
        </w:rPr>
        <w:t>）</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color w:val="auto"/>
          <w:sz w:val="24"/>
          <w:szCs w:val="24"/>
          <w:highlight w:val="none"/>
        </w:rPr>
      </w:pPr>
      <w:bookmarkStart w:id="42" w:name="_Toc32200"/>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0</w:t>
      </w:r>
      <w:r>
        <w:rPr>
          <w:rFonts w:hint="eastAsia" w:ascii="宋体" w:hAnsi="宋体" w:eastAsia="宋体" w:cs="宋体"/>
          <w:bCs/>
          <w:color w:val="auto"/>
          <w:kern w:val="0"/>
          <w:sz w:val="24"/>
          <w:szCs w:val="24"/>
          <w:highlight w:val="none"/>
        </w:rPr>
        <w:t>.2.1</w:t>
      </w:r>
      <w:bookmarkEnd w:id="42"/>
      <w:r>
        <w:rPr>
          <w:rFonts w:hint="eastAsia" w:ascii="宋体" w:hAnsi="宋体" w:eastAsia="宋体" w:cs="宋体"/>
          <w:bCs/>
          <w:color w:val="auto"/>
          <w:kern w:val="0"/>
          <w:sz w:val="24"/>
          <w:szCs w:val="24"/>
          <w:highlight w:val="none"/>
        </w:rPr>
        <w:t>本次评标采用</w:t>
      </w:r>
      <w:r>
        <w:rPr>
          <w:rFonts w:hint="eastAsia" w:ascii="宋体" w:hAnsi="宋体" w:eastAsia="宋体" w:cs="宋体"/>
          <w:color w:val="auto"/>
          <w:sz w:val="24"/>
          <w:szCs w:val="24"/>
          <w:highlight w:val="none"/>
        </w:rPr>
        <w:t>综合评分法，是指响应文件满足采购文件全部实质性要求，且按照评审因素的量化指标评审得分最高的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为</w:t>
      </w:r>
      <w:r>
        <w:rPr>
          <w:rFonts w:hint="eastAsia" w:ascii="宋体" w:hAnsi="宋体" w:eastAsia="宋体" w:cs="宋体"/>
          <w:color w:val="auto"/>
          <w:sz w:val="24"/>
          <w:szCs w:val="24"/>
          <w:highlight w:val="none"/>
          <w:lang w:eastAsia="zh-CN"/>
        </w:rPr>
        <w:t>中标候选人</w:t>
      </w:r>
      <w:r>
        <w:rPr>
          <w:rFonts w:hint="eastAsia" w:ascii="宋体" w:hAnsi="宋体" w:eastAsia="宋体" w:cs="宋体"/>
          <w:color w:val="auto"/>
          <w:sz w:val="24"/>
          <w:szCs w:val="24"/>
          <w:highlight w:val="none"/>
        </w:rPr>
        <w:t>的评标方法。</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采用综合评分法的，评标结果按评审后得分由高到低顺序排列。</w:t>
      </w:r>
      <w:r>
        <w:rPr>
          <w:rFonts w:hint="eastAsia" w:ascii="宋体" w:hAnsi="宋体" w:eastAsia="宋体" w:cs="宋体"/>
          <w:color w:val="auto"/>
          <w:sz w:val="24"/>
          <w:szCs w:val="24"/>
          <w:highlight w:val="none"/>
          <w:lang w:eastAsia="zh-CN"/>
        </w:rPr>
        <w:t>响应性文件</w:t>
      </w:r>
      <w:r>
        <w:rPr>
          <w:rFonts w:hint="eastAsia" w:ascii="宋体" w:hAnsi="宋体" w:eastAsia="宋体" w:cs="宋体"/>
          <w:color w:val="auto"/>
          <w:sz w:val="24"/>
          <w:szCs w:val="24"/>
          <w:highlight w:val="none"/>
        </w:rPr>
        <w:t>满足</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文件全部实质性要求，且按照评审因素的量化指标评审得分最高的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为排名第一的</w:t>
      </w:r>
      <w:r>
        <w:rPr>
          <w:rFonts w:hint="eastAsia" w:ascii="宋体" w:hAnsi="宋体" w:eastAsia="宋体" w:cs="宋体"/>
          <w:color w:val="auto"/>
          <w:sz w:val="24"/>
          <w:szCs w:val="24"/>
          <w:highlight w:val="none"/>
          <w:lang w:eastAsia="zh-CN"/>
        </w:rPr>
        <w:t>中标候选人</w:t>
      </w:r>
      <w:r>
        <w:rPr>
          <w:rFonts w:hint="eastAsia" w:ascii="宋体" w:hAnsi="宋体" w:eastAsia="宋体" w:cs="宋体"/>
          <w:color w:val="auto"/>
          <w:sz w:val="24"/>
          <w:szCs w:val="24"/>
          <w:highlight w:val="none"/>
        </w:rPr>
        <w:t>，以此类推。得分相同的，按投标报价由低到高顺序排列。得分且投标报价相同的，按技术部分得分顺序排列。得分与技术指标优劣均相同的，通过随机抽取产生。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82" w:firstLineChars="200"/>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1</w:t>
      </w:r>
      <w:r>
        <w:rPr>
          <w:rFonts w:hint="eastAsia" w:ascii="宋体" w:hAnsi="宋体" w:eastAsia="宋体" w:cs="宋体"/>
          <w:b/>
          <w:bCs/>
          <w:color w:val="auto"/>
          <w:kern w:val="0"/>
          <w:sz w:val="24"/>
          <w:szCs w:val="24"/>
          <w:highlight w:val="none"/>
        </w:rPr>
        <w:t>. 确定</w:t>
      </w:r>
      <w:r>
        <w:rPr>
          <w:rFonts w:hint="eastAsia" w:ascii="宋体" w:hAnsi="宋体" w:eastAsia="宋体" w:cs="宋体"/>
          <w:b/>
          <w:bCs/>
          <w:color w:val="auto"/>
          <w:kern w:val="0"/>
          <w:sz w:val="24"/>
          <w:szCs w:val="24"/>
          <w:highlight w:val="none"/>
          <w:lang w:eastAsia="zh-CN"/>
        </w:rPr>
        <w:t>中标人</w:t>
      </w:r>
      <w:r>
        <w:rPr>
          <w:rFonts w:hint="eastAsia" w:ascii="宋体" w:hAnsi="宋体" w:eastAsia="宋体" w:cs="宋体"/>
          <w:b/>
          <w:bCs/>
          <w:color w:val="auto"/>
          <w:kern w:val="0"/>
          <w:sz w:val="24"/>
          <w:szCs w:val="24"/>
          <w:highlight w:val="none"/>
        </w:rPr>
        <w:t>和</w:t>
      </w:r>
      <w:r>
        <w:rPr>
          <w:rFonts w:hint="eastAsia" w:ascii="宋体" w:hAnsi="宋体" w:eastAsia="宋体" w:cs="宋体"/>
          <w:b/>
          <w:bCs/>
          <w:color w:val="auto"/>
          <w:kern w:val="0"/>
          <w:sz w:val="24"/>
          <w:szCs w:val="24"/>
          <w:highlight w:val="none"/>
          <w:lang w:eastAsia="zh-CN"/>
        </w:rPr>
        <w:t>中标候选人</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bCs/>
          <w:color w:val="auto"/>
          <w:kern w:val="0"/>
          <w:sz w:val="24"/>
          <w:szCs w:val="24"/>
          <w:highlight w:val="none"/>
        </w:rPr>
        <w:t>本项目由采购人授权</w:t>
      </w:r>
      <w:r>
        <w:rPr>
          <w:rFonts w:hint="eastAsia" w:ascii="宋体" w:hAnsi="宋体" w:eastAsia="宋体" w:cs="宋体"/>
          <w:bCs/>
          <w:color w:val="auto"/>
          <w:kern w:val="0"/>
          <w:sz w:val="24"/>
          <w:szCs w:val="24"/>
          <w:highlight w:val="none"/>
          <w:lang w:eastAsia="zh-CN"/>
        </w:rPr>
        <w:t>评标委员会</w:t>
      </w:r>
      <w:r>
        <w:rPr>
          <w:rFonts w:hint="eastAsia" w:ascii="宋体" w:hAnsi="宋体" w:eastAsia="宋体" w:cs="宋体"/>
          <w:bCs/>
          <w:color w:val="auto"/>
          <w:kern w:val="0"/>
          <w:sz w:val="24"/>
          <w:szCs w:val="24"/>
          <w:highlight w:val="none"/>
        </w:rPr>
        <w:t>确定一名</w:t>
      </w:r>
      <w:r>
        <w:rPr>
          <w:rFonts w:hint="eastAsia" w:ascii="宋体" w:hAnsi="宋体" w:eastAsia="宋体" w:cs="宋体"/>
          <w:bCs/>
          <w:color w:val="auto"/>
          <w:kern w:val="0"/>
          <w:sz w:val="24"/>
          <w:szCs w:val="24"/>
          <w:highlight w:val="none"/>
          <w:lang w:eastAsia="zh-CN"/>
        </w:rPr>
        <w:t>中标人</w:t>
      </w:r>
      <w:r>
        <w:rPr>
          <w:rFonts w:hint="eastAsia" w:ascii="宋体" w:hAnsi="宋体" w:eastAsia="宋体" w:cs="宋体"/>
          <w:bCs/>
          <w:color w:val="auto"/>
          <w:kern w:val="0"/>
          <w:sz w:val="24"/>
          <w:szCs w:val="24"/>
          <w:highlight w:val="none"/>
        </w:rPr>
        <w:t>并推荐两名</w:t>
      </w:r>
      <w:r>
        <w:rPr>
          <w:rFonts w:hint="eastAsia" w:ascii="宋体" w:hAnsi="宋体" w:eastAsia="宋体" w:cs="宋体"/>
          <w:bCs/>
          <w:color w:val="auto"/>
          <w:kern w:val="0"/>
          <w:sz w:val="24"/>
          <w:szCs w:val="24"/>
          <w:highlight w:val="none"/>
          <w:lang w:eastAsia="zh-CN"/>
        </w:rPr>
        <w:t>中标候选人</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bidi w:val="0"/>
        <w:snapToGrid w:val="0"/>
        <w:spacing w:line="360" w:lineRule="auto"/>
        <w:ind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2</w:t>
      </w:r>
      <w:r>
        <w:rPr>
          <w:rFonts w:hint="eastAsia" w:ascii="宋体" w:hAnsi="宋体" w:eastAsia="宋体" w:cs="宋体"/>
          <w:b/>
          <w:bCs/>
          <w:color w:val="auto"/>
          <w:kern w:val="0"/>
          <w:sz w:val="24"/>
          <w:szCs w:val="24"/>
          <w:highlight w:val="none"/>
        </w:rPr>
        <w:t xml:space="preserve">. </w:t>
      </w:r>
      <w:r>
        <w:rPr>
          <w:rFonts w:hint="eastAsia" w:ascii="宋体" w:hAnsi="宋体" w:eastAsia="宋体" w:cs="宋体"/>
          <w:b/>
          <w:bCs/>
          <w:color w:val="auto"/>
          <w:kern w:val="0"/>
          <w:sz w:val="24"/>
          <w:szCs w:val="24"/>
          <w:highlight w:val="none"/>
          <w:lang w:eastAsia="zh-CN"/>
        </w:rPr>
        <w:t>成交</w:t>
      </w:r>
      <w:r>
        <w:rPr>
          <w:rFonts w:hint="eastAsia" w:ascii="宋体" w:hAnsi="宋体" w:eastAsia="宋体" w:cs="宋体"/>
          <w:b/>
          <w:bCs/>
          <w:color w:val="auto"/>
          <w:kern w:val="0"/>
          <w:sz w:val="24"/>
          <w:szCs w:val="24"/>
          <w:highlight w:val="none"/>
        </w:rPr>
        <w:t>通知书及</w:t>
      </w:r>
      <w:r>
        <w:rPr>
          <w:rFonts w:hint="eastAsia" w:ascii="宋体" w:hAnsi="宋体" w:eastAsia="宋体" w:cs="宋体"/>
          <w:b/>
          <w:bCs/>
          <w:color w:val="auto"/>
          <w:kern w:val="0"/>
          <w:sz w:val="24"/>
          <w:szCs w:val="24"/>
          <w:highlight w:val="none"/>
          <w:lang w:eastAsia="zh-CN"/>
        </w:rPr>
        <w:t>成交</w:t>
      </w:r>
      <w:r>
        <w:rPr>
          <w:rFonts w:hint="eastAsia" w:ascii="宋体" w:hAnsi="宋体" w:eastAsia="宋体" w:cs="宋体"/>
          <w:b/>
          <w:bCs/>
          <w:color w:val="auto"/>
          <w:kern w:val="0"/>
          <w:sz w:val="24"/>
          <w:szCs w:val="24"/>
          <w:highlight w:val="none"/>
        </w:rPr>
        <w:t>公告</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.1评审结束后，</w:t>
      </w:r>
      <w:r>
        <w:rPr>
          <w:rFonts w:hint="eastAsia" w:ascii="宋体" w:hAnsi="宋体" w:eastAsia="宋体" w:cs="宋体"/>
          <w:color w:val="auto"/>
          <w:kern w:val="0"/>
          <w:sz w:val="24"/>
          <w:szCs w:val="24"/>
          <w:highlight w:val="none"/>
          <w:lang w:eastAsia="zh-CN"/>
        </w:rPr>
        <w:t>采购</w:t>
      </w:r>
      <w:r>
        <w:rPr>
          <w:rFonts w:hint="eastAsia" w:ascii="宋体" w:hAnsi="宋体" w:eastAsia="宋体" w:cs="宋体"/>
          <w:color w:val="auto"/>
          <w:kern w:val="0"/>
          <w:sz w:val="24"/>
          <w:szCs w:val="24"/>
          <w:highlight w:val="none"/>
        </w:rPr>
        <w:t>人将</w:t>
      </w:r>
      <w:r>
        <w:rPr>
          <w:rFonts w:hint="eastAsia" w:ascii="宋体" w:hAnsi="宋体" w:eastAsia="宋体" w:cs="宋体"/>
          <w:color w:val="auto"/>
          <w:kern w:val="0"/>
          <w:sz w:val="24"/>
          <w:szCs w:val="24"/>
          <w:highlight w:val="none"/>
          <w:lang w:eastAsia="zh-CN"/>
        </w:rPr>
        <w:t>中标候选人</w:t>
      </w:r>
      <w:r>
        <w:rPr>
          <w:rFonts w:hint="eastAsia" w:ascii="宋体" w:hAnsi="宋体" w:eastAsia="宋体" w:cs="宋体"/>
          <w:color w:val="auto"/>
          <w:kern w:val="0"/>
          <w:sz w:val="24"/>
          <w:szCs w:val="24"/>
          <w:highlight w:val="none"/>
        </w:rPr>
        <w:t>的情况在本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项目</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公告发布的同一媒介予以公示，公示</w:t>
      </w:r>
      <w:r>
        <w:rPr>
          <w:rFonts w:hint="eastAsia" w:ascii="宋体" w:hAnsi="宋体" w:eastAsia="宋体" w:cs="宋体"/>
          <w:color w:val="auto"/>
          <w:kern w:val="0"/>
          <w:sz w:val="24"/>
          <w:szCs w:val="24"/>
          <w:highlight w:val="none"/>
          <w:lang w:eastAsia="zh-CN"/>
        </w:rPr>
        <w:t>期限</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eastAsia="zh-CN"/>
        </w:rPr>
        <w:t>个工作日</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公示期结束后</w:t>
      </w:r>
      <w:r>
        <w:rPr>
          <w:rFonts w:hint="eastAsia" w:ascii="宋体" w:hAnsi="宋体" w:eastAsia="宋体" w:cs="宋体"/>
          <w:color w:val="auto"/>
          <w:kern w:val="0"/>
          <w:sz w:val="24"/>
          <w:szCs w:val="24"/>
          <w:highlight w:val="none"/>
        </w:rPr>
        <w:t>向</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发出</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通知书。</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在规定的时间内不领取</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通知书的，视为</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后自动放弃</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资格；</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在有效报价中报价最低,非不可抗力放弃</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通知书对采购人和</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具有同等法律效力。</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通知书发出后，采购人改变</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结果，或者</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放弃</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bCs/>
          <w:color w:val="auto"/>
          <w:kern w:val="0"/>
          <w:sz w:val="24"/>
          <w:szCs w:val="24"/>
          <w:highlight w:val="none"/>
        </w:rPr>
        <w:t>.4</w:t>
      </w:r>
      <w:r>
        <w:rPr>
          <w:rFonts w:hint="eastAsia" w:ascii="宋体" w:hAnsi="宋体" w:eastAsia="宋体" w:cs="宋体"/>
          <w:bCs/>
          <w:color w:val="auto"/>
          <w:kern w:val="0"/>
          <w:sz w:val="24"/>
          <w:szCs w:val="24"/>
          <w:highlight w:val="none"/>
          <w:lang w:eastAsia="zh-CN"/>
        </w:rPr>
        <w:t>成交</w:t>
      </w:r>
      <w:r>
        <w:rPr>
          <w:rFonts w:hint="eastAsia" w:ascii="宋体" w:hAnsi="宋体" w:eastAsia="宋体" w:cs="宋体"/>
          <w:bCs/>
          <w:color w:val="auto"/>
          <w:kern w:val="0"/>
          <w:sz w:val="24"/>
          <w:szCs w:val="24"/>
          <w:highlight w:val="none"/>
        </w:rPr>
        <w:t>通知书将作为签订合同的依据。合同签订后，</w:t>
      </w:r>
      <w:r>
        <w:rPr>
          <w:rFonts w:hint="eastAsia" w:ascii="宋体" w:hAnsi="宋体" w:eastAsia="宋体" w:cs="宋体"/>
          <w:bCs/>
          <w:color w:val="auto"/>
          <w:kern w:val="0"/>
          <w:sz w:val="24"/>
          <w:szCs w:val="24"/>
          <w:highlight w:val="none"/>
          <w:lang w:eastAsia="zh-CN"/>
        </w:rPr>
        <w:t>成交</w:t>
      </w:r>
      <w:r>
        <w:rPr>
          <w:rFonts w:hint="eastAsia" w:ascii="宋体" w:hAnsi="宋体" w:eastAsia="宋体" w:cs="宋体"/>
          <w:bCs/>
          <w:color w:val="auto"/>
          <w:kern w:val="0"/>
          <w:sz w:val="24"/>
          <w:szCs w:val="24"/>
          <w:highlight w:val="none"/>
        </w:rPr>
        <w:t>通知书成为合同的一部分。</w:t>
      </w:r>
    </w:p>
    <w:p>
      <w:pPr>
        <w:keepNext w:val="0"/>
        <w:keepLines w:val="0"/>
        <w:pageBreakBefore w:val="0"/>
        <w:widowControl/>
        <w:kinsoku/>
        <w:wordWrap/>
        <w:overflowPunct/>
        <w:topLinePunct w:val="0"/>
        <w:bidi w:val="0"/>
        <w:snapToGrid w:val="0"/>
        <w:spacing w:line="360" w:lineRule="auto"/>
        <w:ind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3</w:t>
      </w:r>
      <w:r>
        <w:rPr>
          <w:rFonts w:hint="eastAsia" w:ascii="宋体" w:hAnsi="宋体" w:eastAsia="宋体" w:cs="宋体"/>
          <w:b/>
          <w:bCs/>
          <w:color w:val="auto"/>
          <w:kern w:val="0"/>
          <w:sz w:val="24"/>
          <w:szCs w:val="24"/>
          <w:highlight w:val="none"/>
        </w:rPr>
        <w:t>. 采购人宣布废标的权利</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.1出现下列情况之一时，采购人有权宣布废标，并将理由通知所有</w:t>
      </w:r>
      <w:r>
        <w:rPr>
          <w:rFonts w:hint="eastAsia" w:ascii="宋体" w:hAnsi="宋体" w:eastAsia="宋体" w:cs="宋体"/>
          <w:bCs/>
          <w:color w:val="auto"/>
          <w:kern w:val="0"/>
          <w:sz w:val="24"/>
          <w:szCs w:val="24"/>
          <w:highlight w:val="none"/>
          <w:lang w:eastAsia="zh-CN"/>
        </w:rPr>
        <w:t>供应商</w:t>
      </w:r>
      <w:r>
        <w:rPr>
          <w:rFonts w:hint="eastAsia" w:ascii="宋体" w:hAnsi="宋体" w:eastAsia="宋体" w:cs="宋体"/>
          <w:bCs/>
          <w:color w:val="auto"/>
          <w:kern w:val="0"/>
          <w:sz w:val="24"/>
          <w:szCs w:val="24"/>
          <w:highlight w:val="none"/>
        </w:rPr>
        <w:t>：</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.1.2</w:t>
      </w:r>
      <w:r>
        <w:rPr>
          <w:rFonts w:hint="eastAsia" w:ascii="宋体" w:hAnsi="宋体" w:eastAsia="宋体" w:cs="宋体"/>
          <w:bCs/>
          <w:color w:val="auto"/>
          <w:kern w:val="0"/>
          <w:sz w:val="24"/>
          <w:szCs w:val="24"/>
          <w:highlight w:val="none"/>
          <w:lang w:eastAsia="zh-CN"/>
        </w:rPr>
        <w:t>供应商</w:t>
      </w:r>
      <w:r>
        <w:rPr>
          <w:rFonts w:hint="eastAsia" w:ascii="宋体" w:hAnsi="宋体" w:eastAsia="宋体" w:cs="宋体"/>
          <w:bCs/>
          <w:color w:val="auto"/>
          <w:kern w:val="0"/>
          <w:sz w:val="24"/>
          <w:szCs w:val="24"/>
          <w:highlight w:val="none"/>
        </w:rPr>
        <w:t>的报价均超过了</w:t>
      </w:r>
      <w:r>
        <w:rPr>
          <w:rFonts w:hint="eastAsia" w:ascii="宋体" w:hAnsi="宋体" w:eastAsia="宋体" w:cs="宋体"/>
          <w:bCs/>
          <w:color w:val="auto"/>
          <w:kern w:val="0"/>
          <w:sz w:val="24"/>
          <w:szCs w:val="24"/>
          <w:highlight w:val="none"/>
          <w:lang w:val="en-US" w:eastAsia="zh-CN"/>
        </w:rPr>
        <w:t>采购预算金额</w:t>
      </w:r>
      <w:r>
        <w:rPr>
          <w:rFonts w:hint="eastAsia" w:ascii="宋体" w:hAnsi="宋体" w:eastAsia="宋体" w:cs="宋体"/>
          <w:bCs/>
          <w:color w:val="auto"/>
          <w:kern w:val="0"/>
          <w:sz w:val="24"/>
          <w:szCs w:val="24"/>
          <w:highlight w:val="none"/>
        </w:rPr>
        <w:t>，采购人不能支付的。</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.1.3因重大变故，采购任务取消的。</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color w:val="auto"/>
          <w:kern w:val="0"/>
          <w:sz w:val="24"/>
          <w:szCs w:val="24"/>
          <w:highlight w:val="none"/>
        </w:rPr>
        <w:t xml:space="preserve">.2 </w:t>
      </w:r>
      <w:r>
        <w:rPr>
          <w:rFonts w:hint="eastAsia" w:ascii="宋体" w:hAnsi="宋体" w:eastAsia="宋体" w:cs="宋体"/>
          <w:color w:val="auto"/>
          <w:sz w:val="24"/>
          <w:szCs w:val="24"/>
          <w:highlight w:val="none"/>
        </w:rPr>
        <w:t>投标截止后</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不足3家或通过资格性检查或符合性检查的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不足3家的，除采购任务取消情形外，按照以下方式处理：</w:t>
      </w:r>
    </w:p>
    <w:p>
      <w:pPr>
        <w:keepNext w:val="0"/>
        <w:keepLines w:val="0"/>
        <w:pageBreakBefore w:val="0"/>
        <w:numPr>
          <w:ilvl w:val="0"/>
          <w:numId w:val="5"/>
        </w:numPr>
        <w:kinsoku/>
        <w:wordWrap/>
        <w:overflowPunct/>
        <w:topLinePunct w:val="0"/>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b/>
          <w:color w:val="auto"/>
          <w:kern w:val="0"/>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8"/>
          <w:szCs w:val="28"/>
          <w:highlight w:val="none"/>
        </w:rPr>
      </w:pPr>
      <w:r>
        <w:rPr>
          <w:rFonts w:hint="eastAsia" w:ascii="宋体" w:hAnsi="宋体" w:eastAsia="宋体" w:cs="宋体"/>
          <w:b/>
          <w:bCs/>
          <w:color w:val="auto"/>
          <w:kern w:val="0"/>
          <w:sz w:val="28"/>
          <w:szCs w:val="28"/>
          <w:highlight w:val="none"/>
          <w:lang w:val="en-US" w:eastAsia="zh-CN"/>
        </w:rPr>
        <w:t>七</w:t>
      </w:r>
      <w:r>
        <w:rPr>
          <w:rFonts w:hint="eastAsia" w:ascii="宋体" w:hAnsi="宋体" w:eastAsia="宋体" w:cs="宋体"/>
          <w:b/>
          <w:bCs/>
          <w:color w:val="auto"/>
          <w:kern w:val="0"/>
          <w:sz w:val="28"/>
          <w:szCs w:val="28"/>
          <w:highlight w:val="none"/>
        </w:rPr>
        <w:t>、合同授予</w:t>
      </w:r>
    </w:p>
    <w:p>
      <w:pPr>
        <w:keepNext w:val="0"/>
        <w:keepLines w:val="0"/>
        <w:pageBreakBefore w:val="0"/>
        <w:widowControl/>
        <w:kinsoku/>
        <w:wordWrap/>
        <w:overflowPunct/>
        <w:topLinePunct w:val="0"/>
        <w:bidi w:val="0"/>
        <w:snapToGrid w:val="0"/>
        <w:spacing w:line="360" w:lineRule="auto"/>
        <w:ind w:firstLine="540" w:firstLineChars="224"/>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4</w:t>
      </w:r>
      <w:r>
        <w:rPr>
          <w:rFonts w:hint="eastAsia" w:ascii="宋体" w:hAnsi="宋体" w:eastAsia="宋体" w:cs="宋体"/>
          <w:b/>
          <w:bCs/>
          <w:color w:val="auto"/>
          <w:kern w:val="0"/>
          <w:sz w:val="24"/>
          <w:szCs w:val="24"/>
          <w:highlight w:val="none"/>
        </w:rPr>
        <w:t>.合同签订</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u w:val="single"/>
        </w:rPr>
      </w:pPr>
      <w:bookmarkStart w:id="43" w:name="_Toc8594"/>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.1 采购人、</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自</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通知书发出之日起，在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文件第三章《</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须知前附表》规定的时间内，根据</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文件确定的事项和</w:t>
      </w:r>
      <w:r>
        <w:rPr>
          <w:rFonts w:hint="eastAsia" w:ascii="宋体" w:hAnsi="宋体" w:eastAsia="宋体" w:cs="宋体"/>
          <w:color w:val="auto"/>
          <w:kern w:val="0"/>
          <w:sz w:val="24"/>
          <w:szCs w:val="24"/>
          <w:highlight w:val="none"/>
          <w:lang w:eastAsia="zh-CN"/>
        </w:rPr>
        <w:t>中标人响应性文件</w:t>
      </w:r>
      <w:r>
        <w:rPr>
          <w:rFonts w:hint="eastAsia" w:ascii="宋体" w:hAnsi="宋体" w:eastAsia="宋体" w:cs="宋体"/>
          <w:color w:val="auto"/>
          <w:kern w:val="0"/>
          <w:sz w:val="24"/>
          <w:szCs w:val="24"/>
          <w:highlight w:val="none"/>
        </w:rPr>
        <w:t>签订合同。双方所签订的合同不得对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文件和</w:t>
      </w:r>
      <w:r>
        <w:rPr>
          <w:rFonts w:hint="eastAsia" w:ascii="宋体" w:hAnsi="宋体" w:eastAsia="宋体" w:cs="宋体"/>
          <w:color w:val="auto"/>
          <w:kern w:val="0"/>
          <w:sz w:val="24"/>
          <w:szCs w:val="24"/>
          <w:highlight w:val="none"/>
          <w:lang w:eastAsia="zh-CN"/>
        </w:rPr>
        <w:t>中标人响应性文件</w:t>
      </w:r>
      <w:r>
        <w:rPr>
          <w:rFonts w:hint="eastAsia" w:ascii="宋体" w:hAnsi="宋体" w:eastAsia="宋体" w:cs="宋体"/>
          <w:color w:val="auto"/>
          <w:kern w:val="0"/>
          <w:sz w:val="24"/>
          <w:szCs w:val="24"/>
          <w:highlight w:val="none"/>
        </w:rPr>
        <w:t>作实质性修改。</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 xml:space="preserve">.2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文件的修改文件、</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的</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、补充或修改的文件及澄清或承诺文件等，均为双方签订合同的组成部分，并与合同一并作为本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 xml:space="preserve">.3 </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放弃</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、因不可抗力不能履行合同、不按照</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文件要求提交履约保证金，或者被查实存在影响</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结果的违法行为等情形，不符合</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条件的，采购人可以按照</w:t>
      </w:r>
      <w:r>
        <w:rPr>
          <w:rFonts w:hint="eastAsia" w:ascii="宋体" w:hAnsi="宋体" w:eastAsia="宋体" w:cs="宋体"/>
          <w:color w:val="auto"/>
          <w:kern w:val="0"/>
          <w:sz w:val="24"/>
          <w:szCs w:val="24"/>
          <w:highlight w:val="none"/>
          <w:lang w:eastAsia="zh-CN"/>
        </w:rPr>
        <w:t>评标委员会</w:t>
      </w:r>
      <w:r>
        <w:rPr>
          <w:rFonts w:hint="eastAsia" w:ascii="宋体" w:hAnsi="宋体" w:eastAsia="宋体" w:cs="宋体"/>
          <w:color w:val="auto"/>
          <w:kern w:val="0"/>
          <w:sz w:val="24"/>
          <w:szCs w:val="24"/>
          <w:highlight w:val="none"/>
        </w:rPr>
        <w:t>提出的</w:t>
      </w:r>
      <w:r>
        <w:rPr>
          <w:rFonts w:hint="eastAsia" w:ascii="宋体" w:hAnsi="宋体" w:eastAsia="宋体" w:cs="宋体"/>
          <w:color w:val="auto"/>
          <w:kern w:val="0"/>
          <w:sz w:val="24"/>
          <w:szCs w:val="24"/>
          <w:highlight w:val="none"/>
          <w:lang w:eastAsia="zh-CN"/>
        </w:rPr>
        <w:t>中标候选人</w:t>
      </w:r>
      <w:r>
        <w:rPr>
          <w:rFonts w:hint="eastAsia" w:ascii="宋体" w:hAnsi="宋体" w:eastAsia="宋体" w:cs="宋体"/>
          <w:color w:val="auto"/>
          <w:kern w:val="0"/>
          <w:sz w:val="24"/>
          <w:szCs w:val="24"/>
          <w:highlight w:val="none"/>
        </w:rPr>
        <w:t>名单排序依次确定其他</w:t>
      </w:r>
      <w:r>
        <w:rPr>
          <w:rFonts w:hint="eastAsia" w:ascii="宋体" w:hAnsi="宋体" w:eastAsia="宋体" w:cs="宋体"/>
          <w:color w:val="auto"/>
          <w:kern w:val="0"/>
          <w:sz w:val="24"/>
          <w:szCs w:val="24"/>
          <w:highlight w:val="none"/>
          <w:lang w:eastAsia="zh-CN"/>
        </w:rPr>
        <w:t>中标候选人</w:t>
      </w:r>
      <w:r>
        <w:rPr>
          <w:rFonts w:hint="eastAsia" w:ascii="宋体" w:hAnsi="宋体" w:eastAsia="宋体" w:cs="宋体"/>
          <w:color w:val="auto"/>
          <w:kern w:val="0"/>
          <w:sz w:val="24"/>
          <w:szCs w:val="24"/>
          <w:highlight w:val="none"/>
        </w:rPr>
        <w:t>为</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，也可以重新招标。</w:t>
      </w:r>
    </w:p>
    <w:bookmarkEnd w:id="43"/>
    <w:p>
      <w:pPr>
        <w:rPr>
          <w:rFonts w:hint="eastAsia" w:ascii="宋体" w:hAnsi="宋体" w:eastAsia="宋体" w:cs="宋体"/>
          <w:color w:val="auto"/>
          <w:highlight w:val="none"/>
        </w:rPr>
      </w:pPr>
      <w:bookmarkStart w:id="44" w:name="_Toc4700"/>
      <w:bookmarkStart w:id="45" w:name="_Toc16669"/>
      <w:r>
        <w:rPr>
          <w:rFonts w:hint="eastAsia" w:ascii="宋体" w:hAnsi="宋体" w:eastAsia="宋体" w:cs="宋体"/>
          <w:color w:val="auto"/>
          <w:highlight w:val="none"/>
        </w:rPr>
        <w:br w:type="page"/>
      </w:r>
    </w:p>
    <w:p>
      <w:pPr>
        <w:rPr>
          <w:rFonts w:hint="eastAsia" w:ascii="宋体" w:hAnsi="宋体" w:eastAsia="宋体" w:cs="宋体"/>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hint="eastAsia" w:ascii="宋体" w:hAnsi="宋体" w:eastAsia="宋体" w:cs="宋体"/>
          <w:color w:val="auto"/>
          <w:kern w:val="0"/>
          <w:sz w:val="24"/>
          <w:highlight w:val="none"/>
        </w:rPr>
      </w:pPr>
      <w:bookmarkStart w:id="46" w:name="_Toc9022"/>
      <w:r>
        <w:rPr>
          <w:rFonts w:hint="eastAsia" w:ascii="宋体" w:hAnsi="宋体" w:eastAsia="宋体" w:cs="宋体"/>
          <w:b/>
          <w:bCs/>
          <w:color w:val="auto"/>
          <w:kern w:val="0"/>
          <w:sz w:val="32"/>
          <w:szCs w:val="32"/>
          <w:highlight w:val="none"/>
        </w:rPr>
        <w:t>第四章  评标办法及评分标准</w:t>
      </w:r>
      <w:bookmarkEnd w:id="44"/>
      <w:bookmarkEnd w:id="46"/>
    </w:p>
    <w:p>
      <w:pPr>
        <w:rPr>
          <w:rFonts w:hint="eastAsia" w:ascii="宋体" w:hAnsi="宋体" w:eastAsia="宋体" w:cs="宋体"/>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（一）评标原则</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按照“公平、公正”的原则对待所有</w:t>
      </w:r>
      <w:r>
        <w:rPr>
          <w:rFonts w:hint="eastAsia" w:ascii="宋体" w:hAnsi="宋体" w:eastAsia="宋体" w:cs="宋体"/>
          <w:b w:val="0"/>
          <w:bCs w:val="0"/>
          <w:color w:val="auto"/>
          <w:sz w:val="24"/>
          <w:szCs w:val="24"/>
          <w:highlight w:val="none"/>
          <w:lang w:eastAsia="zh-CN"/>
        </w:rPr>
        <w:t>供应商，</w:t>
      </w:r>
      <w:r>
        <w:rPr>
          <w:rFonts w:hint="eastAsia" w:ascii="宋体" w:hAnsi="宋体" w:eastAsia="宋体" w:cs="宋体"/>
          <w:b w:val="0"/>
          <w:bCs w:val="0"/>
          <w:color w:val="auto"/>
          <w:sz w:val="24"/>
          <w:szCs w:val="24"/>
          <w:highlight w:val="none"/>
        </w:rPr>
        <w:t>按照</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二</w:t>
      </w:r>
      <w:r>
        <w:rPr>
          <w:rFonts w:hint="eastAsia" w:ascii="宋体" w:hAnsi="宋体" w:eastAsia="宋体" w:cs="宋体"/>
          <w:b w:val="0"/>
          <w:bCs w:val="0"/>
          <w:color w:val="auto"/>
          <w:sz w:val="24"/>
          <w:szCs w:val="24"/>
          <w:highlight w:val="none"/>
        </w:rPr>
        <w:t>）评标办法</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w:t>
      </w:r>
      <w:r>
        <w:rPr>
          <w:rFonts w:hint="eastAsia" w:ascii="宋体" w:hAnsi="宋体" w:eastAsia="宋体" w:cs="宋体"/>
          <w:b w:val="0"/>
          <w:bCs w:val="0"/>
          <w:color w:val="auto"/>
          <w:sz w:val="24"/>
          <w:szCs w:val="24"/>
          <w:highlight w:val="none"/>
          <w:lang w:eastAsia="zh-CN"/>
        </w:rPr>
        <w:t>评标委员会</w:t>
      </w:r>
      <w:r>
        <w:rPr>
          <w:rFonts w:hint="eastAsia" w:ascii="宋体" w:hAnsi="宋体" w:eastAsia="宋体" w:cs="宋体"/>
          <w:b w:val="0"/>
          <w:bCs w:val="0"/>
          <w:color w:val="auto"/>
          <w:sz w:val="24"/>
          <w:szCs w:val="24"/>
          <w:highlight w:val="none"/>
        </w:rPr>
        <w:t>按照</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文件中规定的评标方法和标准，对</w:t>
      </w:r>
      <w:r>
        <w:rPr>
          <w:rFonts w:hint="eastAsia" w:ascii="宋体" w:hAnsi="宋体" w:eastAsia="宋体" w:cs="宋体"/>
          <w:b w:val="0"/>
          <w:bCs w:val="0"/>
          <w:color w:val="auto"/>
          <w:sz w:val="24"/>
          <w:szCs w:val="24"/>
          <w:highlight w:val="none"/>
          <w:lang w:eastAsia="zh-CN"/>
        </w:rPr>
        <w:t>响应性文件</w:t>
      </w:r>
      <w:r>
        <w:rPr>
          <w:rFonts w:hint="eastAsia" w:ascii="宋体" w:hAnsi="宋体" w:eastAsia="宋体" w:cs="宋体"/>
          <w:b w:val="0"/>
          <w:bCs w:val="0"/>
          <w:color w:val="auto"/>
          <w:sz w:val="24"/>
          <w:szCs w:val="24"/>
          <w:highlight w:val="none"/>
        </w:rPr>
        <w:t>进行综合比较与评价。</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eastAsia="zh-CN"/>
        </w:rPr>
        <w:t>响应性文件</w:t>
      </w:r>
      <w:r>
        <w:rPr>
          <w:rFonts w:hint="eastAsia" w:ascii="宋体" w:hAnsi="宋体" w:eastAsia="宋体" w:cs="宋体"/>
          <w:b w:val="0"/>
          <w:bCs w:val="0"/>
          <w:color w:val="auto"/>
          <w:sz w:val="24"/>
          <w:szCs w:val="24"/>
          <w:highlight w:val="none"/>
        </w:rPr>
        <w:t>满足</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文件全部实质性要求，且评审得分最高的</w:t>
      </w:r>
      <w:r>
        <w:rPr>
          <w:rFonts w:hint="eastAsia" w:ascii="宋体" w:hAnsi="宋体" w:eastAsia="宋体" w:cs="宋体"/>
          <w:b w:val="0"/>
          <w:bCs w:val="0"/>
          <w:color w:val="auto"/>
          <w:sz w:val="24"/>
          <w:szCs w:val="24"/>
          <w:highlight w:val="none"/>
          <w:lang w:eastAsia="zh-CN"/>
        </w:rPr>
        <w:t>供应商</w:t>
      </w:r>
      <w:r>
        <w:rPr>
          <w:rFonts w:hint="eastAsia" w:ascii="宋体" w:hAnsi="宋体" w:eastAsia="宋体" w:cs="宋体"/>
          <w:b w:val="0"/>
          <w:bCs w:val="0"/>
          <w:color w:val="auto"/>
          <w:sz w:val="24"/>
          <w:szCs w:val="24"/>
          <w:highlight w:val="none"/>
        </w:rPr>
        <w:t>为第一</w:t>
      </w:r>
      <w:r>
        <w:rPr>
          <w:rFonts w:hint="eastAsia" w:ascii="宋体" w:hAnsi="宋体" w:eastAsia="宋体" w:cs="宋体"/>
          <w:b w:val="0"/>
          <w:bCs w:val="0"/>
          <w:color w:val="auto"/>
          <w:sz w:val="24"/>
          <w:szCs w:val="24"/>
          <w:highlight w:val="none"/>
          <w:lang w:eastAsia="zh-CN"/>
        </w:rPr>
        <w:t>中标候选人</w:t>
      </w:r>
      <w:r>
        <w:rPr>
          <w:rFonts w:hint="eastAsia" w:ascii="宋体" w:hAnsi="宋体" w:eastAsia="宋体" w:cs="宋体"/>
          <w:b w:val="0"/>
          <w:bCs w:val="0"/>
          <w:color w:val="auto"/>
          <w:sz w:val="24"/>
          <w:szCs w:val="24"/>
          <w:highlight w:val="none"/>
        </w:rPr>
        <w:t>。</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三</w:t>
      </w:r>
      <w:r>
        <w:rPr>
          <w:rFonts w:hint="eastAsia" w:ascii="宋体" w:hAnsi="宋体" w:eastAsia="宋体" w:cs="宋体"/>
          <w:b w:val="0"/>
          <w:bCs w:val="0"/>
          <w:color w:val="auto"/>
          <w:sz w:val="24"/>
          <w:szCs w:val="24"/>
          <w:highlight w:val="none"/>
        </w:rPr>
        <w:t>）评标程序</w:t>
      </w:r>
    </w:p>
    <w:p>
      <w:pPr>
        <w:keepNext w:val="0"/>
        <w:keepLines w:val="0"/>
        <w:pageBreakBefore w:val="0"/>
        <w:numPr>
          <w:ilvl w:val="0"/>
          <w:numId w:val="6"/>
        </w:numPr>
        <w:kinsoku/>
        <w:overflowPunct/>
        <w:topLinePunct w:val="0"/>
        <w:bidi w:val="0"/>
        <w:snapToGrid w:val="0"/>
        <w:spacing w:line="36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详细评审（100分）</w:t>
      </w:r>
    </w:p>
    <w:tbl>
      <w:tblPr>
        <w:tblStyle w:val="32"/>
        <w:tblW w:w="9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2252"/>
        <w:gridCol w:w="5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249"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5" w:hRule="atLeast"/>
          <w:jc w:val="center"/>
        </w:trPr>
        <w:tc>
          <w:tcPr>
            <w:tcW w:w="1304"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w:t>
            </w:r>
            <w:r>
              <w:rPr>
                <w:rFonts w:hint="eastAsia" w:ascii="宋体" w:hAnsi="宋体" w:cs="宋体"/>
                <w:b w:val="0"/>
                <w:bCs w:val="0"/>
                <w:color w:val="auto"/>
                <w:sz w:val="21"/>
                <w:szCs w:val="21"/>
                <w:highlight w:val="none"/>
                <w:lang w:val="en-US" w:eastAsia="zh-CN"/>
              </w:rPr>
              <w:t>35</w:t>
            </w:r>
            <w:r>
              <w:rPr>
                <w:rFonts w:hint="eastAsia" w:ascii="宋体" w:hAnsi="宋体" w:eastAsia="宋体" w:cs="宋体"/>
                <w:b w:val="0"/>
                <w:bCs w:val="0"/>
                <w:color w:val="auto"/>
                <w:sz w:val="21"/>
                <w:szCs w:val="21"/>
                <w:highlight w:val="none"/>
              </w:rPr>
              <w:t>分)</w:t>
            </w:r>
          </w:p>
        </w:tc>
        <w:tc>
          <w:tcPr>
            <w:tcW w:w="7945" w:type="dxa"/>
            <w:gridSpan w:val="2"/>
            <w:noWrap w:val="0"/>
            <w:vAlign w:val="center"/>
          </w:tcPr>
          <w:p>
            <w:pPr>
              <w:pStyle w:val="48"/>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48"/>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hAnsi="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48"/>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sz w:val="21"/>
                <w:szCs w:val="21"/>
                <w:lang w:val="en-US" w:eastAsia="zh-CN"/>
              </w:rPr>
            </w:pPr>
            <w:r>
              <w:rPr>
                <w:rFonts w:hint="eastAsia" w:ascii="宋体" w:hAnsi="宋体" w:eastAsia="宋体" w:cs="宋体"/>
                <w:b w:val="0"/>
                <w:bCs w:val="0"/>
                <w:color w:val="auto"/>
                <w:sz w:val="21"/>
                <w:szCs w:val="21"/>
                <w:highlight w:val="none"/>
              </w:rPr>
              <w:t>投标报价得分=（评标基准价/有效投标报价）×</w:t>
            </w:r>
            <w:r>
              <w:rPr>
                <w:rFonts w:hint="eastAsia" w:ascii="宋体" w:hAnsi="宋体" w:cs="宋体"/>
                <w:b w:val="0"/>
                <w:bCs w:val="0"/>
                <w:color w:val="auto"/>
                <w:sz w:val="21"/>
                <w:szCs w:val="21"/>
                <w:highlight w:val="none"/>
                <w:lang w:val="en-US" w:eastAsia="zh-CN"/>
              </w:rPr>
              <w:t>35</w:t>
            </w:r>
            <w:r>
              <w:rPr>
                <w:rFonts w:hint="eastAsia" w:ascii="宋体" w:hAnsi="宋体" w:eastAsia="宋体" w:cs="宋体"/>
                <w:b w:val="0"/>
                <w:bCs w:val="0"/>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304"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技术部分</w:t>
            </w:r>
            <w:r>
              <w:rPr>
                <w:rFonts w:hint="eastAsia" w:ascii="宋体" w:hAnsi="宋体" w:eastAsia="宋体" w:cs="宋体"/>
                <w:b w:val="0"/>
                <w:bCs w:val="0"/>
                <w:color w:val="auto"/>
                <w:sz w:val="21"/>
                <w:szCs w:val="21"/>
                <w:highlight w:val="none"/>
                <w:lang w:eastAsia="zh-CN"/>
              </w:rPr>
              <w:t>（3</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eastAsia="zh-CN"/>
              </w:rPr>
              <w:t>分）</w:t>
            </w:r>
          </w:p>
        </w:tc>
        <w:tc>
          <w:tcPr>
            <w:tcW w:w="2252"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kern w:val="0"/>
                <w:sz w:val="21"/>
                <w:szCs w:val="21"/>
                <w:highlight w:val="none"/>
                <w:lang w:val="en-US" w:eastAsia="zh-CN"/>
              </w:rPr>
              <w:t>对“</w:t>
            </w:r>
            <w:r>
              <w:rPr>
                <w:rFonts w:hint="eastAsia" w:ascii="宋体" w:hAnsi="宋体" w:eastAsia="宋体" w:cs="宋体"/>
                <w:b w:val="0"/>
                <w:bCs w:val="0"/>
                <w:color w:val="auto"/>
                <w:kern w:val="0"/>
                <w:sz w:val="21"/>
                <w:szCs w:val="21"/>
                <w:highlight w:val="none"/>
                <w:lang w:eastAsia="zh-CN"/>
              </w:rPr>
              <w:t>第二章  采购需求</w:t>
            </w:r>
            <w:r>
              <w:rPr>
                <w:rFonts w:hint="eastAsia" w:ascii="宋体" w:hAnsi="宋体" w:cs="宋体"/>
                <w:b w:val="0"/>
                <w:bCs w:val="0"/>
                <w:color w:val="auto"/>
                <w:kern w:val="0"/>
                <w:sz w:val="21"/>
                <w:szCs w:val="21"/>
                <w:highlight w:val="none"/>
                <w:lang w:val="en-US" w:eastAsia="zh-CN"/>
              </w:rPr>
              <w:t>”</w:t>
            </w:r>
            <w:r>
              <w:rPr>
                <w:rFonts w:hint="eastAsia" w:ascii="宋体" w:hAnsi="宋体" w:eastAsia="宋体" w:cs="宋体"/>
                <w:b w:val="0"/>
                <w:bCs w:val="0"/>
                <w:color w:val="auto"/>
                <w:kern w:val="0"/>
                <w:sz w:val="21"/>
                <w:szCs w:val="21"/>
                <w:highlight w:val="none"/>
                <w:lang w:eastAsia="zh-CN"/>
              </w:rPr>
              <w:t>技术参数</w:t>
            </w:r>
            <w:r>
              <w:rPr>
                <w:rFonts w:hint="eastAsia" w:ascii="宋体" w:hAnsi="宋体" w:cs="宋体"/>
                <w:b w:val="0"/>
                <w:bCs w:val="0"/>
                <w:color w:val="auto"/>
                <w:kern w:val="0"/>
                <w:sz w:val="21"/>
                <w:szCs w:val="21"/>
                <w:highlight w:val="none"/>
                <w:lang w:val="en-US" w:eastAsia="zh-CN"/>
              </w:rPr>
              <w:t>的响应</w:t>
            </w:r>
            <w:r>
              <w:rPr>
                <w:rFonts w:hint="eastAsia" w:ascii="宋体" w:hAnsi="宋体" w:eastAsia="宋体" w:cs="宋体"/>
                <w:b w:val="0"/>
                <w:bCs w:val="0"/>
                <w:color w:val="auto"/>
                <w:kern w:val="0"/>
                <w:sz w:val="21"/>
                <w:szCs w:val="21"/>
                <w:highlight w:val="none"/>
                <w:lang w:eastAsia="zh-CN"/>
              </w:rPr>
              <w:t>、性能及产品功能等</w:t>
            </w:r>
          </w:p>
        </w:tc>
        <w:tc>
          <w:tcPr>
            <w:tcW w:w="5693" w:type="dxa"/>
            <w:noWrap w:val="0"/>
            <w:vAlign w:val="center"/>
          </w:tcPr>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若投标设备技术指标与</w:t>
            </w:r>
            <w:r>
              <w:rPr>
                <w:rFonts w:hint="eastAsia" w:ascii="宋体" w:hAnsi="宋体" w:cs="宋体"/>
                <w:b w:val="0"/>
                <w:bCs w:val="0"/>
                <w:color w:val="auto"/>
                <w:sz w:val="21"/>
                <w:szCs w:val="21"/>
                <w:highlight w:val="none"/>
                <w:lang w:val="en-US" w:eastAsia="zh-CN"/>
              </w:rPr>
              <w:t>磋商文件中</w:t>
            </w:r>
            <w:r>
              <w:rPr>
                <w:rFonts w:hint="eastAsia" w:ascii="宋体" w:hAnsi="宋体" w:eastAsia="宋体" w:cs="宋体"/>
                <w:b w:val="0"/>
                <w:bCs w:val="0"/>
                <w:color w:val="auto"/>
                <w:sz w:val="21"/>
                <w:szCs w:val="21"/>
                <w:highlight w:val="none"/>
              </w:rPr>
              <w:t>技术参数相比出现负偏离者或提供证明文件不符</w:t>
            </w:r>
            <w:r>
              <w:rPr>
                <w:rFonts w:hint="eastAsia" w:ascii="宋体" w:hAnsi="宋体" w:eastAsia="宋体" w:cs="宋体"/>
                <w:b w:val="0"/>
                <w:bCs w:val="0"/>
                <w:color w:val="auto"/>
                <w:sz w:val="21"/>
                <w:szCs w:val="21"/>
                <w:highlight w:val="none"/>
                <w:lang w:val="en-US" w:eastAsia="zh-CN"/>
              </w:rPr>
              <w:t>或未按要求提供证明材料</w:t>
            </w:r>
            <w:r>
              <w:rPr>
                <w:rFonts w:hint="eastAsia" w:ascii="宋体" w:hAnsi="宋体" w:eastAsia="宋体" w:cs="宋体"/>
                <w:b w:val="0"/>
                <w:bCs w:val="0"/>
                <w:color w:val="auto"/>
                <w:sz w:val="21"/>
                <w:szCs w:val="21"/>
                <w:highlight w:val="none"/>
              </w:rPr>
              <w:t>，每项扣除技术分</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分</w:t>
            </w:r>
            <w:r>
              <w:rPr>
                <w:rFonts w:hint="eastAsia" w:ascii="宋体" w:hAnsi="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扣完为止</w:t>
            </w:r>
            <w:r>
              <w:rPr>
                <w:rFonts w:hint="eastAsia" w:ascii="宋体" w:hAnsi="宋体" w:eastAsia="宋体" w:cs="宋体"/>
                <w:b w:val="0"/>
                <w:bCs w:val="0"/>
                <w:color w:val="auto"/>
                <w:sz w:val="21"/>
                <w:szCs w:val="21"/>
                <w:highlight w:val="none"/>
              </w:rPr>
              <w:t>。</w:t>
            </w:r>
          </w:p>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.所投</w:t>
            </w:r>
            <w:r>
              <w:rPr>
                <w:rFonts w:hint="eastAsia" w:ascii="宋体" w:hAnsi="宋体" w:cs="宋体"/>
                <w:b w:val="0"/>
                <w:bCs w:val="0"/>
                <w:color w:val="auto"/>
                <w:sz w:val="21"/>
                <w:szCs w:val="21"/>
                <w:highlight w:val="none"/>
                <w:lang w:val="en-US" w:eastAsia="zh-CN"/>
              </w:rPr>
              <w:t>产品或设备</w:t>
            </w:r>
            <w:r>
              <w:rPr>
                <w:rFonts w:hint="eastAsia" w:ascii="宋体" w:hAnsi="宋体" w:eastAsia="宋体" w:cs="宋体"/>
                <w:b w:val="0"/>
                <w:bCs w:val="0"/>
                <w:color w:val="auto"/>
                <w:sz w:val="21"/>
                <w:szCs w:val="21"/>
                <w:highlight w:val="none"/>
              </w:rPr>
              <w:t>均应提供</w:t>
            </w:r>
            <w:r>
              <w:rPr>
                <w:rFonts w:hint="eastAsia" w:ascii="宋体" w:hAnsi="宋体" w:cs="宋体"/>
                <w:b w:val="0"/>
                <w:bCs w:val="0"/>
                <w:color w:val="auto"/>
                <w:sz w:val="21"/>
                <w:szCs w:val="21"/>
                <w:highlight w:val="none"/>
                <w:lang w:val="en-US" w:eastAsia="zh-CN"/>
              </w:rPr>
              <w:t>相关证明文件资料</w:t>
            </w:r>
            <w:r>
              <w:rPr>
                <w:rFonts w:hint="eastAsia" w:ascii="宋体" w:hAnsi="宋体" w:eastAsia="宋体" w:cs="宋体"/>
                <w:b w:val="0"/>
                <w:bCs w:val="0"/>
                <w:color w:val="auto"/>
                <w:sz w:val="21"/>
                <w:szCs w:val="21"/>
                <w:highlight w:val="none"/>
              </w:rPr>
              <w:t>，所</w:t>
            </w:r>
            <w:r>
              <w:rPr>
                <w:rFonts w:hint="eastAsia" w:ascii="宋体" w:hAnsi="宋体" w:cs="宋体"/>
                <w:b w:val="0"/>
                <w:bCs w:val="0"/>
                <w:color w:val="auto"/>
                <w:sz w:val="21"/>
                <w:szCs w:val="21"/>
                <w:highlight w:val="none"/>
                <w:lang w:val="en-US" w:eastAsia="zh-CN"/>
              </w:rPr>
              <w:t>投产品</w:t>
            </w:r>
            <w:r>
              <w:rPr>
                <w:rFonts w:hint="eastAsia" w:ascii="宋体" w:hAnsi="宋体" w:eastAsia="宋体" w:cs="宋体"/>
                <w:b w:val="0"/>
                <w:bCs w:val="0"/>
                <w:color w:val="auto"/>
                <w:sz w:val="21"/>
                <w:szCs w:val="21"/>
                <w:highlight w:val="none"/>
              </w:rPr>
              <w:t>必须是正规厂家生产的原装正品；</w:t>
            </w:r>
          </w:p>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.产品需有注册证</w:t>
            </w:r>
            <w:r>
              <w:rPr>
                <w:rFonts w:hint="eastAsia" w:ascii="宋体" w:hAnsi="宋体" w:eastAsia="宋体" w:cs="宋体"/>
                <w:b w:val="0"/>
                <w:bCs w:val="0"/>
                <w:color w:val="auto"/>
                <w:sz w:val="21"/>
                <w:szCs w:val="21"/>
                <w:highlight w:val="none"/>
                <w:lang w:val="en-US" w:eastAsia="zh-CN"/>
              </w:rPr>
              <w:t>或备案凭</w:t>
            </w:r>
            <w:r>
              <w:rPr>
                <w:rFonts w:hint="eastAsia" w:ascii="宋体" w:hAnsi="宋体" w:eastAsia="宋体" w:cs="宋体"/>
                <w:b w:val="0"/>
                <w:bCs w:val="0"/>
                <w:color w:val="auto"/>
                <w:sz w:val="21"/>
                <w:szCs w:val="21"/>
                <w:highlight w:val="none"/>
              </w:rPr>
              <w:t>证；</w:t>
            </w:r>
          </w:p>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.提供有关投标货物符合</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1304" w:type="dxa"/>
            <w:vMerge w:val="restart"/>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商务</w:t>
            </w:r>
            <w:r>
              <w:rPr>
                <w:rFonts w:hint="eastAsia" w:ascii="宋体" w:hAnsi="宋体" w:eastAsia="宋体" w:cs="宋体"/>
                <w:b w:val="0"/>
                <w:bCs w:val="0"/>
                <w:color w:val="auto"/>
                <w:sz w:val="21"/>
                <w:szCs w:val="21"/>
                <w:highlight w:val="none"/>
              </w:rPr>
              <w:t>部分（</w:t>
            </w:r>
            <w:r>
              <w:rPr>
                <w:rFonts w:hint="eastAsia" w:ascii="宋体" w:hAnsi="宋体" w:cs="宋体"/>
                <w:b w:val="0"/>
                <w:bCs w:val="0"/>
                <w:color w:val="auto"/>
                <w:sz w:val="21"/>
                <w:szCs w:val="21"/>
                <w:highlight w:val="none"/>
                <w:lang w:val="en-US" w:eastAsia="zh-CN"/>
              </w:rPr>
              <w:t>12</w:t>
            </w:r>
            <w:r>
              <w:rPr>
                <w:rFonts w:hint="eastAsia" w:ascii="宋体" w:hAnsi="宋体" w:eastAsia="宋体" w:cs="宋体"/>
                <w:b w:val="0"/>
                <w:bCs w:val="0"/>
                <w:color w:val="auto"/>
                <w:sz w:val="21"/>
                <w:szCs w:val="21"/>
                <w:highlight w:val="none"/>
              </w:rPr>
              <w:t>分）</w:t>
            </w:r>
          </w:p>
        </w:tc>
        <w:tc>
          <w:tcPr>
            <w:tcW w:w="2252"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w:t>
            </w:r>
            <w:r>
              <w:rPr>
                <w:rFonts w:hint="eastAsia" w:ascii="宋体" w:hAnsi="宋体" w:eastAsia="宋体" w:cs="宋体"/>
                <w:b w:val="0"/>
                <w:bCs w:val="0"/>
                <w:color w:val="auto"/>
                <w:kern w:val="0"/>
                <w:sz w:val="21"/>
                <w:szCs w:val="21"/>
                <w:highlight w:val="none"/>
              </w:rPr>
              <w:t>质保期</w:t>
            </w:r>
          </w:p>
        </w:tc>
        <w:tc>
          <w:tcPr>
            <w:tcW w:w="5693" w:type="dxa"/>
            <w:noWrap w:val="0"/>
            <w:vAlign w:val="top"/>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sz w:val="21"/>
                <w:szCs w:val="21"/>
                <w:lang w:val="en-US" w:eastAsia="zh-CN"/>
              </w:rPr>
            </w:pPr>
            <w:r>
              <w:rPr>
                <w:rFonts w:hint="eastAsia" w:ascii="宋体" w:hAnsi="宋体" w:eastAsia="宋体" w:cs="宋体"/>
                <w:b w:val="0"/>
                <w:bCs w:val="0"/>
                <w:color w:val="auto"/>
                <w:kern w:val="0"/>
                <w:sz w:val="21"/>
                <w:szCs w:val="21"/>
                <w:highlight w:val="none"/>
                <w:lang w:val="en-US" w:eastAsia="zh-CN"/>
              </w:rPr>
              <w:t>质保期超过磋商文件规定的，每增加一年得</w:t>
            </w:r>
            <w:r>
              <w:rPr>
                <w:rFonts w:hint="eastAsia" w:ascii="宋体" w:hAnsi="宋体" w:cs="宋体"/>
                <w:b w:val="0"/>
                <w:bCs w:val="0"/>
                <w:color w:val="auto"/>
                <w:kern w:val="0"/>
                <w:sz w:val="21"/>
                <w:szCs w:val="21"/>
                <w:highlight w:val="none"/>
                <w:lang w:val="en-US" w:eastAsia="zh-CN"/>
              </w:rPr>
              <w:t>3</w:t>
            </w:r>
            <w:r>
              <w:rPr>
                <w:rFonts w:hint="eastAsia" w:ascii="宋体" w:hAnsi="宋体" w:eastAsia="宋体" w:cs="宋体"/>
                <w:b w:val="0"/>
                <w:bCs w:val="0"/>
                <w:color w:val="auto"/>
                <w:kern w:val="0"/>
                <w:sz w:val="21"/>
                <w:szCs w:val="21"/>
                <w:highlight w:val="none"/>
                <w:lang w:val="en-US" w:eastAsia="zh-CN"/>
              </w:rPr>
              <w:t>分,最多得</w:t>
            </w:r>
            <w:r>
              <w:rPr>
                <w:rFonts w:hint="eastAsia" w:ascii="宋体" w:hAnsi="宋体" w:cs="宋体"/>
                <w:b w:val="0"/>
                <w:bCs w:val="0"/>
                <w:color w:val="auto"/>
                <w:kern w:val="0"/>
                <w:sz w:val="21"/>
                <w:szCs w:val="21"/>
                <w:highlight w:val="none"/>
                <w:lang w:val="en-US" w:eastAsia="zh-CN"/>
              </w:rPr>
              <w:t>6</w:t>
            </w:r>
            <w:r>
              <w:rPr>
                <w:rFonts w:hint="eastAsia" w:ascii="宋体" w:hAnsi="宋体" w:eastAsia="宋体" w:cs="宋体"/>
                <w:b w:val="0"/>
                <w:bCs w:val="0"/>
                <w:color w:val="auto"/>
                <w:kern w:val="0"/>
                <w:sz w:val="21"/>
                <w:szCs w:val="21"/>
                <w:highlight w:val="none"/>
                <w:lang w:val="en-US" w:eastAsia="zh-CN"/>
              </w:rPr>
              <w:t>分（出具相关服务承诺书）；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04" w:type="dxa"/>
            <w:vMerge w:val="continue"/>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p>
        </w:tc>
        <w:tc>
          <w:tcPr>
            <w:tcW w:w="2252"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sz w:val="21"/>
                <w:szCs w:val="21"/>
                <w:lang w:val="en-US" w:eastAsia="zh-CN"/>
              </w:rPr>
            </w:pP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类似业绩</w:t>
            </w:r>
          </w:p>
        </w:tc>
        <w:tc>
          <w:tcPr>
            <w:tcW w:w="569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sz w:val="21"/>
                <w:szCs w:val="21"/>
                <w:lang w:val="en-US" w:eastAsia="zh-CN"/>
              </w:rPr>
            </w:pPr>
            <w:r>
              <w:rPr>
                <w:rFonts w:hint="eastAsia" w:ascii="宋体" w:hAnsi="宋体" w:cs="宋体"/>
                <w:b w:val="0"/>
                <w:bCs w:val="0"/>
                <w:color w:val="auto"/>
                <w:kern w:val="0"/>
                <w:sz w:val="21"/>
                <w:szCs w:val="21"/>
                <w:highlight w:val="none"/>
                <w:lang w:val="en-US" w:eastAsia="zh-CN"/>
              </w:rPr>
              <w:t>自 2020年 1 月 1 日至今（近三年）已完成的类似项目(</w:t>
            </w:r>
            <w:r>
              <w:rPr>
                <w:rFonts w:hint="eastAsia" w:ascii="宋体" w:hAnsi="宋体" w:cs="宋体"/>
                <w:sz w:val="21"/>
                <w:szCs w:val="21"/>
              </w:rPr>
              <w:t>以合同文件为准</w:t>
            </w:r>
            <w:r>
              <w:rPr>
                <w:rFonts w:hint="eastAsia" w:ascii="宋体" w:hAnsi="宋体" w:cs="宋体"/>
                <w:b w:val="0"/>
                <w:bCs w:val="0"/>
                <w:color w:val="auto"/>
                <w:kern w:val="0"/>
                <w:sz w:val="21"/>
                <w:szCs w:val="21"/>
                <w:highlight w:val="none"/>
                <w:lang w:val="en-US" w:eastAsia="zh-CN"/>
              </w:rPr>
              <w:t>），</w:t>
            </w:r>
            <w:r>
              <w:rPr>
                <w:rFonts w:hint="eastAsia" w:ascii="宋体" w:hAnsi="宋体" w:cs="宋体"/>
                <w:sz w:val="21"/>
                <w:szCs w:val="21"/>
              </w:rPr>
              <w:t>每提供一份得</w:t>
            </w:r>
            <w:r>
              <w:rPr>
                <w:rFonts w:hint="eastAsia" w:ascii="宋体" w:hAnsi="宋体" w:cs="宋体"/>
                <w:sz w:val="21"/>
                <w:szCs w:val="21"/>
                <w:lang w:val="en-US" w:eastAsia="zh-CN"/>
              </w:rPr>
              <w:t>3</w:t>
            </w:r>
            <w:r>
              <w:rPr>
                <w:rFonts w:hint="eastAsia" w:ascii="宋体" w:hAnsi="宋体" w:cs="宋体"/>
                <w:sz w:val="21"/>
                <w:szCs w:val="21"/>
              </w:rPr>
              <w:t>分，最多得</w:t>
            </w:r>
            <w:r>
              <w:rPr>
                <w:rFonts w:hint="eastAsia" w:ascii="宋体" w:hAnsi="宋体" w:cs="宋体"/>
                <w:sz w:val="21"/>
                <w:szCs w:val="21"/>
                <w:lang w:val="en-US" w:eastAsia="zh-CN"/>
              </w:rPr>
              <w:t>6</w:t>
            </w:r>
            <w:r>
              <w:rPr>
                <w:rFonts w:hint="eastAsia" w:ascii="宋体" w:hAnsi="宋体" w:cs="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04"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20</w:t>
            </w:r>
            <w:r>
              <w:rPr>
                <w:rFonts w:hint="eastAsia" w:ascii="宋体" w:hAnsi="宋体" w:eastAsia="宋体" w:cs="宋体"/>
                <w:b w:val="0"/>
                <w:bCs w:val="0"/>
                <w:color w:val="auto"/>
                <w:sz w:val="21"/>
                <w:szCs w:val="21"/>
                <w:highlight w:val="none"/>
              </w:rPr>
              <w:t>分)</w:t>
            </w:r>
          </w:p>
        </w:tc>
        <w:tc>
          <w:tcPr>
            <w:tcW w:w="2252" w:type="dxa"/>
            <w:tcBorders>
              <w:top w:val="single" w:color="auto" w:sz="4" w:space="0"/>
            </w:tcBorders>
            <w:noWrap w:val="0"/>
            <w:vAlign w:val="center"/>
          </w:tcPr>
          <w:p>
            <w:pPr>
              <w:pStyle w:val="48"/>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kern w:val="2"/>
                <w:sz w:val="21"/>
                <w:szCs w:val="21"/>
                <w:highlight w:val="none"/>
                <w:lang w:val="en-US" w:eastAsia="zh-CN"/>
              </w:rPr>
              <w:t>培训方案、服务站点、服务响应及时性、售后服务方案等</w:t>
            </w:r>
          </w:p>
        </w:tc>
        <w:tc>
          <w:tcPr>
            <w:tcW w:w="569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根据</w:t>
            </w:r>
            <w:r>
              <w:rPr>
                <w:rFonts w:hint="eastAsia" w:ascii="宋体" w:hAnsi="宋体" w:eastAsia="宋体" w:cs="宋体"/>
                <w:b w:val="0"/>
                <w:bCs w:val="0"/>
                <w:color w:val="auto"/>
                <w:kern w:val="0"/>
                <w:sz w:val="21"/>
                <w:szCs w:val="21"/>
                <w:highlight w:val="none"/>
                <w:lang w:val="en-US" w:eastAsia="zh-CN"/>
              </w:rPr>
              <w:t>投标人在投标文件中所投产品的售后服务站设立情况（配备有专业售后服务技术人员，提供售后服务人员名单和售后服务地址、电话）</w:t>
            </w:r>
            <w:r>
              <w:rPr>
                <w:rFonts w:hint="eastAsia" w:ascii="宋体" w:hAnsi="宋体" w:cs="宋体"/>
                <w:b w:val="0"/>
                <w:bCs w:val="0"/>
                <w:color w:val="auto"/>
                <w:kern w:val="0"/>
                <w:sz w:val="21"/>
                <w:szCs w:val="21"/>
                <w:highlight w:val="none"/>
                <w:lang w:val="en-US" w:eastAsia="zh-CN"/>
              </w:rPr>
              <w:t>、培训方案、</w:t>
            </w:r>
            <w:r>
              <w:rPr>
                <w:rFonts w:hint="eastAsia" w:ascii="宋体" w:hAnsi="宋体" w:eastAsia="宋体" w:cs="宋体"/>
                <w:b w:val="0"/>
                <w:bCs w:val="0"/>
                <w:color w:val="auto"/>
                <w:kern w:val="2"/>
                <w:sz w:val="21"/>
                <w:szCs w:val="21"/>
                <w:highlight w:val="none"/>
              </w:rPr>
              <w:t>售后服务及时率、服务到位程度、详细的维修时间和处理办法</w:t>
            </w:r>
            <w:r>
              <w:rPr>
                <w:rFonts w:hint="eastAsia" w:ascii="宋体" w:hAnsi="宋体" w:cs="宋体"/>
                <w:b w:val="0"/>
                <w:bCs w:val="0"/>
                <w:color w:val="auto"/>
                <w:kern w:val="2"/>
                <w:sz w:val="21"/>
                <w:szCs w:val="21"/>
                <w:highlight w:val="none"/>
                <w:lang w:eastAsia="zh-CN"/>
              </w:rPr>
              <w:t>、</w:t>
            </w:r>
            <w:r>
              <w:rPr>
                <w:rFonts w:hint="eastAsia" w:ascii="宋体" w:hAnsi="宋体" w:eastAsia="宋体" w:cs="宋体"/>
                <w:b w:val="0"/>
                <w:bCs w:val="0"/>
                <w:color w:val="auto"/>
                <w:kern w:val="2"/>
                <w:sz w:val="21"/>
                <w:szCs w:val="21"/>
                <w:highlight w:val="none"/>
              </w:rPr>
              <w:t>售后服务方案</w:t>
            </w:r>
            <w:r>
              <w:rPr>
                <w:rFonts w:hint="eastAsia" w:ascii="宋体" w:hAnsi="宋体" w:cs="宋体"/>
                <w:b w:val="0"/>
                <w:bCs w:val="0"/>
                <w:color w:val="auto"/>
                <w:kern w:val="2"/>
                <w:sz w:val="21"/>
                <w:szCs w:val="21"/>
                <w:highlight w:val="none"/>
                <w:lang w:eastAsia="zh-CN"/>
              </w:rPr>
              <w:t>、</w:t>
            </w:r>
            <w:r>
              <w:rPr>
                <w:rFonts w:hint="eastAsia" w:ascii="宋体" w:hAnsi="宋体" w:eastAsia="宋体" w:cs="宋体"/>
                <w:b w:val="0"/>
                <w:bCs w:val="0"/>
                <w:color w:val="auto"/>
                <w:kern w:val="2"/>
                <w:sz w:val="21"/>
                <w:szCs w:val="21"/>
                <w:highlight w:val="none"/>
              </w:rPr>
              <w:t>安全质量保障措施等内容</w:t>
            </w:r>
            <w:r>
              <w:rPr>
                <w:rFonts w:hint="eastAsia" w:ascii="宋体" w:hAnsi="宋体" w:cs="宋体"/>
                <w:b w:val="0"/>
                <w:bCs w:val="0"/>
                <w:color w:val="auto"/>
                <w:kern w:val="0"/>
                <w:sz w:val="21"/>
                <w:szCs w:val="21"/>
                <w:highlight w:val="none"/>
                <w:lang w:val="en-US" w:eastAsia="zh-CN"/>
              </w:rPr>
              <w:t>；</w:t>
            </w:r>
          </w:p>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color w:val="auto"/>
                <w:kern w:val="2"/>
                <w:sz w:val="21"/>
                <w:szCs w:val="21"/>
                <w:highlight w:val="none"/>
              </w:rPr>
              <w:t>售后服务</w:t>
            </w:r>
            <w:r>
              <w:rPr>
                <w:rFonts w:hint="eastAsia" w:ascii="宋体" w:hAnsi="宋体" w:cs="宋体"/>
                <w:color w:val="auto"/>
                <w:kern w:val="2"/>
                <w:sz w:val="21"/>
                <w:szCs w:val="21"/>
                <w:highlight w:val="none"/>
                <w:lang w:eastAsia="zh-CN"/>
              </w:rPr>
              <w:t>内容具体</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完善</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合理</w:t>
            </w:r>
            <w:r>
              <w:rPr>
                <w:rFonts w:hint="eastAsia" w:ascii="宋体" w:hAnsi="宋体" w:eastAsia="宋体" w:cs="宋体"/>
                <w:color w:val="auto"/>
                <w:sz w:val="21"/>
                <w:szCs w:val="21"/>
                <w:highlight w:val="none"/>
              </w:rPr>
              <w:t>性程度</w:t>
            </w:r>
            <w:r>
              <w:rPr>
                <w:rFonts w:hint="eastAsia" w:ascii="宋体" w:hAnsi="宋体" w:cs="宋体"/>
                <w:color w:val="auto"/>
                <w:kern w:val="2"/>
                <w:sz w:val="21"/>
                <w:szCs w:val="21"/>
                <w:highlight w:val="none"/>
                <w:lang w:eastAsia="zh-CN"/>
              </w:rPr>
              <w:t>强得</w:t>
            </w:r>
            <w:r>
              <w:rPr>
                <w:rFonts w:hint="eastAsia" w:ascii="宋体" w:hAnsi="宋体" w:cs="宋体"/>
                <w:color w:val="auto"/>
                <w:sz w:val="21"/>
                <w:szCs w:val="21"/>
                <w:highlight w:val="none"/>
                <w:lang w:val="en-US" w:eastAsia="zh-CN"/>
              </w:rPr>
              <w:t>20-14</w:t>
            </w:r>
            <w:r>
              <w:rPr>
                <w:rFonts w:hint="eastAsia" w:ascii="宋体" w:hAnsi="宋体" w:cs="宋体"/>
                <w:color w:val="auto"/>
                <w:kern w:val="2"/>
                <w:sz w:val="21"/>
                <w:szCs w:val="21"/>
                <w:highlight w:val="none"/>
                <w:lang w:val="en-US" w:eastAsia="zh-CN"/>
              </w:rPr>
              <w:t>分，</w:t>
            </w:r>
            <w:r>
              <w:rPr>
                <w:rFonts w:hint="eastAsia" w:ascii="宋体" w:hAnsi="宋体" w:cs="宋体"/>
                <w:color w:val="auto"/>
                <w:kern w:val="2"/>
                <w:sz w:val="21"/>
                <w:szCs w:val="21"/>
                <w:highlight w:val="none"/>
                <w:lang w:eastAsia="zh-CN"/>
              </w:rPr>
              <w:t>具体</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完善</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合理</w:t>
            </w:r>
            <w:r>
              <w:rPr>
                <w:rFonts w:hint="eastAsia" w:ascii="宋体" w:hAnsi="宋体" w:eastAsia="宋体" w:cs="宋体"/>
                <w:color w:val="auto"/>
                <w:sz w:val="21"/>
                <w:szCs w:val="21"/>
                <w:highlight w:val="none"/>
              </w:rPr>
              <w:t>性程度</w:t>
            </w:r>
            <w:r>
              <w:rPr>
                <w:rFonts w:hint="eastAsia" w:ascii="宋体" w:hAnsi="宋体" w:cs="宋体"/>
                <w:color w:val="auto"/>
                <w:kern w:val="2"/>
                <w:sz w:val="21"/>
                <w:szCs w:val="21"/>
                <w:highlight w:val="none"/>
                <w:lang w:val="en-US" w:eastAsia="zh-CN"/>
              </w:rPr>
              <w:t>一般得</w:t>
            </w:r>
            <w:r>
              <w:rPr>
                <w:rFonts w:hint="eastAsia" w:ascii="宋体" w:hAnsi="宋体" w:cs="宋体"/>
                <w:color w:val="auto"/>
                <w:sz w:val="21"/>
                <w:szCs w:val="21"/>
                <w:highlight w:val="none"/>
                <w:lang w:val="en-US" w:eastAsia="zh-CN"/>
              </w:rPr>
              <w:t>13-7</w:t>
            </w:r>
            <w:r>
              <w:rPr>
                <w:rFonts w:hint="eastAsia" w:ascii="宋体" w:hAnsi="宋体" w:cs="宋体"/>
                <w:color w:val="auto"/>
                <w:kern w:val="2"/>
                <w:sz w:val="21"/>
                <w:szCs w:val="21"/>
                <w:highlight w:val="none"/>
                <w:lang w:val="en-US" w:eastAsia="zh-CN"/>
              </w:rPr>
              <w:t>分，</w:t>
            </w:r>
            <w:r>
              <w:rPr>
                <w:rFonts w:hint="eastAsia" w:ascii="宋体" w:hAnsi="宋体" w:cs="宋体"/>
                <w:color w:val="auto"/>
                <w:kern w:val="2"/>
                <w:sz w:val="21"/>
                <w:szCs w:val="21"/>
                <w:highlight w:val="none"/>
                <w:lang w:eastAsia="zh-CN"/>
              </w:rPr>
              <w:t>具体</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完善</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合理</w:t>
            </w:r>
            <w:r>
              <w:rPr>
                <w:rFonts w:hint="eastAsia" w:ascii="宋体" w:hAnsi="宋体" w:eastAsia="宋体" w:cs="宋体"/>
                <w:color w:val="auto"/>
                <w:sz w:val="21"/>
                <w:szCs w:val="21"/>
                <w:highlight w:val="none"/>
              </w:rPr>
              <w:t>性程度</w:t>
            </w:r>
            <w:r>
              <w:rPr>
                <w:rFonts w:hint="eastAsia" w:ascii="宋体" w:hAnsi="宋体" w:cs="宋体"/>
                <w:color w:val="auto"/>
                <w:kern w:val="2"/>
                <w:sz w:val="21"/>
                <w:szCs w:val="21"/>
                <w:highlight w:val="none"/>
                <w:lang w:val="en-US" w:eastAsia="zh-CN"/>
              </w:rPr>
              <w:t>差得</w:t>
            </w:r>
            <w:r>
              <w:rPr>
                <w:rFonts w:hint="eastAsia" w:ascii="宋体" w:hAnsi="宋体" w:cs="宋体"/>
                <w:color w:val="auto"/>
                <w:sz w:val="21"/>
                <w:szCs w:val="21"/>
                <w:highlight w:val="none"/>
                <w:lang w:val="en-US" w:eastAsia="zh-CN"/>
              </w:rPr>
              <w:t>6-1</w:t>
            </w:r>
            <w:r>
              <w:rPr>
                <w:rFonts w:hint="eastAsia" w:ascii="宋体" w:hAnsi="宋体" w:cs="宋体"/>
                <w:color w:val="auto"/>
                <w:kern w:val="2"/>
                <w:sz w:val="21"/>
                <w:szCs w:val="21"/>
                <w:highlight w:val="none"/>
                <w:lang w:val="en-US" w:eastAsia="zh-CN"/>
              </w:rPr>
              <w:t>分，</w:t>
            </w:r>
            <w:r>
              <w:rPr>
                <w:rFonts w:hint="eastAsia" w:ascii="宋体" w:hAnsi="宋体" w:eastAsia="宋体" w:cs="宋体"/>
                <w:color w:val="auto"/>
                <w:sz w:val="21"/>
                <w:szCs w:val="21"/>
                <w:highlight w:val="none"/>
              </w:rPr>
              <w:t>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jc w:val="center"/>
        </w:trPr>
        <w:tc>
          <w:tcPr>
            <w:tcW w:w="1304" w:type="dxa"/>
            <w:noWrap w:val="0"/>
            <w:vAlign w:val="top"/>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7945" w:type="dxa"/>
            <w:gridSpan w:val="2"/>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spacing w:line="500" w:lineRule="exact"/>
        <w:ind w:firstLine="420" w:firstLineChars="200"/>
        <w:rPr>
          <w:rFonts w:hint="eastAsia" w:ascii="宋体" w:hAnsi="宋体" w:eastAsia="宋体" w:cs="宋体"/>
          <w:color w:val="auto"/>
          <w:kern w:val="0"/>
          <w:szCs w:val="21"/>
          <w:highlight w:val="none"/>
        </w:rPr>
      </w:pPr>
    </w:p>
    <w:p>
      <w:pPr>
        <w:rPr>
          <w:rFonts w:hint="eastAsia" w:ascii="宋体" w:hAnsi="宋体" w:eastAsia="宋体" w:cs="宋体"/>
          <w:b/>
          <w:color w:val="auto"/>
          <w:highlight w:val="none"/>
        </w:rPr>
      </w:pPr>
      <w:r>
        <w:rPr>
          <w:rFonts w:hint="eastAsia" w:ascii="宋体" w:hAnsi="宋体" w:eastAsia="宋体" w:cs="宋体"/>
          <w:b/>
          <w:color w:val="auto"/>
          <w:highlight w:val="none"/>
        </w:rPr>
        <w:br w:type="page"/>
      </w:r>
    </w:p>
    <w:bookmarkEnd w:id="45"/>
    <w:p>
      <w:pPr>
        <w:rPr>
          <w:rFonts w:hint="eastAsia" w:ascii="宋体" w:hAnsi="宋体" w:eastAsia="宋体" w:cs="宋体"/>
          <w:color w:val="auto"/>
          <w:highlight w:val="none"/>
        </w:rPr>
      </w:pPr>
      <w:bookmarkStart w:id="47" w:name="_Toc1947"/>
      <w:bookmarkStart w:id="48" w:name="_Toc1482"/>
      <w:bookmarkStart w:id="49" w:name="_Toc256519703"/>
      <w:bookmarkStart w:id="50" w:name="_Toc326786897"/>
    </w:p>
    <w:p>
      <w:pPr>
        <w:pStyle w:val="3"/>
        <w:snapToGrid w:val="0"/>
        <w:spacing w:before="0" w:after="0" w:line="480" w:lineRule="auto"/>
        <w:jc w:val="center"/>
        <w:rPr>
          <w:rFonts w:hint="eastAsia" w:ascii="宋体" w:hAnsi="宋体" w:eastAsia="宋体" w:cs="宋体"/>
          <w:color w:val="auto"/>
          <w:sz w:val="28"/>
          <w:szCs w:val="28"/>
          <w:highlight w:val="yellow"/>
        </w:rPr>
      </w:pPr>
      <w:bookmarkStart w:id="51" w:name="_Toc28988"/>
      <w:r>
        <w:rPr>
          <w:rFonts w:hint="eastAsia" w:ascii="宋体" w:hAnsi="宋体" w:eastAsia="宋体" w:cs="宋体"/>
          <w:color w:val="auto"/>
          <w:sz w:val="28"/>
          <w:szCs w:val="28"/>
          <w:highlight w:val="none"/>
        </w:rPr>
        <w:t>第五章  采购合同</w:t>
      </w:r>
      <w:bookmarkEnd w:id="51"/>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以实际合同为准</w:t>
      </w:r>
      <w:r>
        <w:rPr>
          <w:rFonts w:hint="eastAsia" w:ascii="宋体" w:hAnsi="宋体" w:eastAsia="宋体" w:cs="宋体"/>
          <w:sz w:val="22"/>
          <w:szCs w:val="22"/>
          <w:lang w:eastAsia="zh-CN"/>
        </w:rPr>
        <w:t>）</w:t>
      </w:r>
    </w:p>
    <w:p>
      <w:pPr>
        <w:rPr>
          <w:rFonts w:hint="eastAsia" w:ascii="宋体" w:hAnsi="宋体" w:eastAsia="宋体" w:cs="宋体"/>
          <w:color w:val="auto"/>
          <w:sz w:val="32"/>
          <w:szCs w:val="32"/>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30"/>
        <w:rPr>
          <w:rFonts w:hint="eastAsia" w:ascii="宋体" w:hAnsi="宋体" w:eastAsia="宋体" w:cs="宋体"/>
        </w:rPr>
      </w:pPr>
    </w:p>
    <w:p>
      <w:pPr>
        <w:pStyle w:val="3"/>
        <w:jc w:val="center"/>
        <w:rPr>
          <w:rFonts w:hint="eastAsia" w:ascii="宋体" w:hAnsi="宋体" w:eastAsia="宋体" w:cs="宋体"/>
          <w:color w:val="auto"/>
          <w:kern w:val="0"/>
          <w:highlight w:val="none"/>
        </w:rPr>
      </w:pPr>
      <w:bookmarkStart w:id="52" w:name="_Toc2638"/>
      <w:r>
        <w:rPr>
          <w:rFonts w:hint="eastAsia" w:ascii="宋体" w:hAnsi="宋体" w:eastAsia="宋体" w:cs="宋体"/>
          <w:color w:val="auto"/>
          <w:sz w:val="32"/>
          <w:szCs w:val="32"/>
          <w:highlight w:val="none"/>
        </w:rPr>
        <w:t xml:space="preserve">第六章  </w:t>
      </w:r>
      <w:r>
        <w:rPr>
          <w:rFonts w:hint="eastAsia" w:ascii="宋体" w:hAnsi="宋体" w:eastAsia="宋体" w:cs="宋体"/>
          <w:color w:val="auto"/>
          <w:sz w:val="32"/>
          <w:szCs w:val="32"/>
          <w:highlight w:val="none"/>
          <w:lang w:eastAsia="zh-CN"/>
        </w:rPr>
        <w:t>响应性文件</w:t>
      </w:r>
      <w:r>
        <w:rPr>
          <w:rFonts w:hint="eastAsia" w:ascii="宋体" w:hAnsi="宋体" w:eastAsia="宋体" w:cs="宋体"/>
          <w:color w:val="auto"/>
          <w:sz w:val="32"/>
          <w:szCs w:val="32"/>
          <w:highlight w:val="none"/>
        </w:rPr>
        <w:t>格式</w:t>
      </w:r>
      <w:bookmarkEnd w:id="47"/>
      <w:bookmarkEnd w:id="48"/>
      <w:bookmarkEnd w:id="52"/>
    </w:p>
    <w:p>
      <w:pPr>
        <w:spacing w:line="440" w:lineRule="exact"/>
        <w:rPr>
          <w:rFonts w:hint="eastAsia" w:ascii="宋体" w:hAnsi="宋体" w:eastAsia="宋体" w:cs="宋体"/>
          <w:color w:val="auto"/>
          <w:sz w:val="24"/>
          <w:highlight w:val="none"/>
        </w:rPr>
      </w:pPr>
    </w:p>
    <w:p>
      <w:pPr>
        <w:jc w:val="center"/>
        <w:rPr>
          <w:rFonts w:hint="eastAsia" w:ascii="宋体" w:hAnsi="宋体" w:eastAsia="宋体" w:cs="宋体"/>
          <w:b/>
          <w:bCs/>
          <w:color w:val="auto"/>
          <w:sz w:val="32"/>
          <w:szCs w:val="32"/>
          <w:highlight w:val="none"/>
        </w:rPr>
      </w:pPr>
      <w:bookmarkStart w:id="53" w:name="_Toc13604"/>
      <w:r>
        <w:rPr>
          <w:rFonts w:hint="eastAsia" w:ascii="宋体" w:hAnsi="宋体" w:eastAsia="宋体" w:cs="宋体"/>
          <w:b/>
          <w:bCs/>
          <w:color w:val="auto"/>
          <w:sz w:val="32"/>
          <w:szCs w:val="32"/>
          <w:highlight w:val="none"/>
        </w:rPr>
        <w:t>目    录</w:t>
      </w:r>
      <w:bookmarkEnd w:id="53"/>
    </w:p>
    <w:p>
      <w:pPr>
        <w:widowControl/>
        <w:wordWrap w:val="0"/>
        <w:spacing w:line="460" w:lineRule="exact"/>
        <w:ind w:firstLine="480" w:firstLineChars="200"/>
        <w:jc w:val="left"/>
        <w:rPr>
          <w:rFonts w:hint="eastAsia" w:ascii="宋体" w:hAnsi="宋体" w:eastAsia="宋体" w:cs="宋体"/>
          <w:color w:val="auto"/>
          <w:kern w:val="0"/>
          <w:sz w:val="24"/>
          <w:highlight w:val="none"/>
        </w:rPr>
      </w:pPr>
    </w:p>
    <w:p>
      <w:pPr>
        <w:snapToGrid w:val="0"/>
        <w:spacing w:line="360" w:lineRule="auto"/>
        <w:ind w:firstLine="480" w:firstLineChars="200"/>
        <w:rPr>
          <w:rFonts w:hint="eastAsia" w:ascii="宋体" w:hAnsi="宋体" w:eastAsia="宋体" w:cs="宋体"/>
          <w:color w:val="auto"/>
          <w:sz w:val="24"/>
          <w:highlight w:val="none"/>
        </w:rPr>
      </w:pPr>
      <w:bookmarkStart w:id="54" w:name="_Toc11308"/>
      <w:r>
        <w:rPr>
          <w:rFonts w:hint="eastAsia" w:ascii="宋体" w:hAnsi="宋体" w:eastAsia="宋体" w:cs="宋体"/>
          <w:color w:val="auto"/>
          <w:sz w:val="24"/>
          <w:highlight w:val="none"/>
        </w:rPr>
        <w:t>附件1</w:t>
      </w:r>
      <w:r>
        <w:rPr>
          <w:rFonts w:hint="eastAsia" w:ascii="宋体" w:hAnsi="宋体" w:eastAsia="宋体" w:cs="宋体"/>
          <w:color w:val="auto"/>
          <w:sz w:val="24"/>
          <w:highlight w:val="none"/>
          <w:lang w:eastAsia="zh-CN"/>
        </w:rPr>
        <w:t>响应性文件</w:t>
      </w:r>
      <w:r>
        <w:rPr>
          <w:rFonts w:hint="eastAsia" w:ascii="宋体" w:hAnsi="宋体" w:eastAsia="宋体" w:cs="宋体"/>
          <w:color w:val="auto"/>
          <w:sz w:val="24"/>
          <w:highlight w:val="none"/>
        </w:rPr>
        <w:t>封面（格式）</w:t>
      </w:r>
      <w:bookmarkEnd w:id="54"/>
    </w:p>
    <w:p>
      <w:pPr>
        <w:snapToGrid w:val="0"/>
        <w:spacing w:line="360" w:lineRule="auto"/>
        <w:ind w:firstLine="480" w:firstLineChars="200"/>
        <w:rPr>
          <w:rFonts w:hint="eastAsia" w:ascii="宋体" w:hAnsi="宋体" w:eastAsia="宋体" w:cs="宋体"/>
          <w:color w:val="auto"/>
          <w:sz w:val="24"/>
          <w:highlight w:val="none"/>
        </w:rPr>
      </w:pPr>
      <w:bookmarkStart w:id="55" w:name="_Toc25345"/>
      <w:r>
        <w:rPr>
          <w:rFonts w:hint="eastAsia" w:ascii="宋体" w:hAnsi="宋体" w:eastAsia="宋体" w:cs="宋体"/>
          <w:color w:val="auto"/>
          <w:sz w:val="24"/>
          <w:highlight w:val="none"/>
        </w:rPr>
        <w:t>附件2 投标书（格式）</w:t>
      </w:r>
      <w:bookmarkEnd w:id="55"/>
    </w:p>
    <w:p>
      <w:pPr>
        <w:snapToGrid w:val="0"/>
        <w:spacing w:line="360" w:lineRule="auto"/>
        <w:ind w:firstLine="480" w:firstLineChars="200"/>
        <w:rPr>
          <w:rFonts w:hint="eastAsia" w:ascii="宋体" w:hAnsi="宋体" w:eastAsia="宋体" w:cs="宋体"/>
          <w:color w:val="auto"/>
          <w:sz w:val="24"/>
          <w:highlight w:val="none"/>
        </w:rPr>
      </w:pPr>
      <w:bookmarkStart w:id="56" w:name="_Toc10217"/>
      <w:r>
        <w:rPr>
          <w:rFonts w:hint="eastAsia" w:ascii="宋体" w:hAnsi="宋体" w:eastAsia="宋体" w:cs="宋体"/>
          <w:color w:val="auto"/>
          <w:sz w:val="24"/>
          <w:highlight w:val="none"/>
        </w:rPr>
        <w:t>附件3 开标一览表（格式）</w:t>
      </w:r>
      <w:bookmarkEnd w:id="56"/>
    </w:p>
    <w:p>
      <w:pPr>
        <w:snapToGrid w:val="0"/>
        <w:spacing w:line="360" w:lineRule="auto"/>
        <w:ind w:firstLine="480" w:firstLineChars="200"/>
        <w:rPr>
          <w:rFonts w:hint="eastAsia" w:ascii="宋体" w:hAnsi="宋体" w:eastAsia="宋体" w:cs="宋体"/>
          <w:color w:val="auto"/>
          <w:sz w:val="24"/>
          <w:highlight w:val="none"/>
        </w:rPr>
      </w:pPr>
      <w:bookmarkStart w:id="57" w:name="_Toc9579"/>
      <w:r>
        <w:rPr>
          <w:rFonts w:hint="eastAsia" w:ascii="宋体" w:hAnsi="宋体" w:eastAsia="宋体" w:cs="宋体"/>
          <w:color w:val="auto"/>
          <w:sz w:val="24"/>
          <w:highlight w:val="none"/>
        </w:rPr>
        <w:t>附件4 报价明细表（格式）</w:t>
      </w:r>
      <w:bookmarkEnd w:id="57"/>
    </w:p>
    <w:p>
      <w:pPr>
        <w:snapToGrid w:val="0"/>
        <w:spacing w:line="360" w:lineRule="auto"/>
        <w:ind w:firstLine="480" w:firstLineChars="200"/>
        <w:rPr>
          <w:rFonts w:hint="eastAsia" w:ascii="宋体" w:hAnsi="宋体" w:eastAsia="宋体" w:cs="宋体"/>
          <w:color w:val="auto"/>
          <w:sz w:val="24"/>
          <w:highlight w:val="none"/>
        </w:rPr>
      </w:pPr>
      <w:bookmarkStart w:id="58" w:name="_Toc28392"/>
      <w:bookmarkStart w:id="59" w:name="_Toc26231"/>
      <w:r>
        <w:rPr>
          <w:rFonts w:hint="eastAsia" w:ascii="宋体" w:hAnsi="宋体" w:eastAsia="宋体" w:cs="宋体"/>
          <w:color w:val="auto"/>
          <w:sz w:val="24"/>
          <w:highlight w:val="none"/>
        </w:rPr>
        <w:t>附件5</w:t>
      </w:r>
      <w:r>
        <w:rPr>
          <w:rFonts w:hint="eastAsia" w:ascii="宋体" w:hAnsi="宋体" w:eastAsia="宋体" w:cs="宋体"/>
          <w:color w:val="auto"/>
          <w:sz w:val="24"/>
          <w:highlight w:val="none"/>
          <w:lang w:val="en-US" w:eastAsia="zh-CN"/>
        </w:rPr>
        <w:t xml:space="preserve"> </w:t>
      </w:r>
      <w:bookmarkEnd w:id="58"/>
      <w:r>
        <w:rPr>
          <w:rFonts w:hint="eastAsia" w:ascii="宋体" w:hAnsi="宋体" w:eastAsia="宋体" w:cs="宋体"/>
          <w:color w:val="auto"/>
          <w:sz w:val="24"/>
          <w:highlight w:val="none"/>
          <w:lang w:val="en-US" w:eastAsia="zh-CN"/>
        </w:rPr>
        <w:t>技术响应表</w:t>
      </w:r>
      <w:r>
        <w:rPr>
          <w:rFonts w:hint="eastAsia" w:ascii="宋体" w:hAnsi="宋体" w:eastAsia="宋体" w:cs="宋体"/>
          <w:color w:val="auto"/>
          <w:sz w:val="24"/>
          <w:highlight w:val="none"/>
        </w:rPr>
        <w:t>（格式）</w:t>
      </w:r>
    </w:p>
    <w:p>
      <w:pPr>
        <w:snapToGrid w:val="0"/>
        <w:spacing w:line="360" w:lineRule="auto"/>
        <w:ind w:firstLine="480" w:firstLineChars="200"/>
        <w:rPr>
          <w:rFonts w:hint="eastAsia" w:ascii="宋体" w:hAnsi="宋体" w:eastAsia="宋体" w:cs="宋体"/>
          <w:color w:val="auto"/>
          <w:sz w:val="24"/>
          <w:highlight w:val="none"/>
          <w:lang w:val="en-US" w:eastAsia="zh-CN"/>
        </w:rPr>
      </w:pPr>
      <w:bookmarkStart w:id="60" w:name="_Toc6234"/>
      <w:r>
        <w:rPr>
          <w:rFonts w:hint="eastAsia" w:ascii="宋体" w:hAnsi="宋体" w:eastAsia="宋体" w:cs="宋体"/>
          <w:color w:val="auto"/>
          <w:sz w:val="24"/>
          <w:highlight w:val="none"/>
        </w:rPr>
        <w:t xml:space="preserve">附件6 </w:t>
      </w:r>
      <w:bookmarkEnd w:id="60"/>
      <w:r>
        <w:rPr>
          <w:rFonts w:hint="eastAsia" w:ascii="宋体" w:hAnsi="宋体" w:eastAsia="宋体" w:cs="宋体"/>
          <w:color w:val="auto"/>
          <w:sz w:val="24"/>
          <w:highlight w:val="none"/>
        </w:rPr>
        <w:t>商务响应</w:t>
      </w:r>
      <w:r>
        <w:rPr>
          <w:rFonts w:hint="eastAsia" w:ascii="宋体" w:hAnsi="宋体" w:eastAsia="宋体" w:cs="宋体"/>
          <w:color w:val="auto"/>
          <w:sz w:val="24"/>
          <w:highlight w:val="none"/>
          <w:lang w:val="en-US" w:eastAsia="zh-CN"/>
        </w:rPr>
        <w:t>部分</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附件7</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法定代表人身份证明（格式）</w:t>
      </w:r>
      <w:bookmarkEnd w:id="59"/>
    </w:p>
    <w:p>
      <w:pPr>
        <w:snapToGrid w:val="0"/>
        <w:spacing w:line="360" w:lineRule="auto"/>
        <w:ind w:firstLine="480" w:firstLineChars="200"/>
        <w:rPr>
          <w:rFonts w:hint="eastAsia" w:ascii="宋体" w:hAnsi="宋体" w:eastAsia="宋体" w:cs="宋体"/>
          <w:color w:val="auto"/>
          <w:sz w:val="24"/>
          <w:highlight w:val="none"/>
        </w:rPr>
      </w:pPr>
      <w:bookmarkStart w:id="61" w:name="_Toc18484"/>
      <w:r>
        <w:rPr>
          <w:rFonts w:hint="eastAsia" w:ascii="宋体" w:hAnsi="宋体" w:eastAsia="宋体" w:cs="宋体"/>
          <w:color w:val="auto"/>
          <w:sz w:val="24"/>
          <w:highlight w:val="none"/>
        </w:rPr>
        <w:t>附件8</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法定代表人授权书（格式）</w:t>
      </w:r>
      <w:bookmarkEnd w:id="61"/>
    </w:p>
    <w:p>
      <w:pPr>
        <w:snapToGrid w:val="0"/>
        <w:spacing w:line="360" w:lineRule="auto"/>
        <w:ind w:firstLine="480" w:firstLineChars="200"/>
        <w:rPr>
          <w:rFonts w:hint="eastAsia" w:ascii="宋体" w:hAnsi="宋体" w:eastAsia="宋体" w:cs="宋体"/>
          <w:color w:val="auto"/>
          <w:sz w:val="24"/>
          <w:highlight w:val="none"/>
        </w:rPr>
      </w:pPr>
      <w:bookmarkStart w:id="62" w:name="_Toc31857"/>
      <w:r>
        <w:rPr>
          <w:rFonts w:hint="eastAsia" w:ascii="宋体" w:hAnsi="宋体" w:eastAsia="宋体" w:cs="宋体"/>
          <w:color w:val="auto"/>
          <w:sz w:val="24"/>
          <w:highlight w:val="none"/>
        </w:rPr>
        <w:t>附件9 证明文件</w:t>
      </w:r>
      <w:bookmarkEnd w:id="62"/>
    </w:p>
    <w:p>
      <w:pPr>
        <w:snapToGrid w:val="0"/>
        <w:spacing w:line="360" w:lineRule="auto"/>
        <w:ind w:firstLine="480" w:firstLineChars="200"/>
        <w:rPr>
          <w:rFonts w:hint="eastAsia" w:ascii="宋体" w:hAnsi="宋体" w:eastAsia="宋体" w:cs="宋体"/>
          <w:color w:val="auto"/>
          <w:sz w:val="24"/>
          <w:highlight w:val="none"/>
        </w:rPr>
      </w:pPr>
      <w:bookmarkStart w:id="63" w:name="_Toc23116"/>
      <w:r>
        <w:rPr>
          <w:rFonts w:hint="eastAsia" w:ascii="宋体" w:hAnsi="宋体" w:eastAsia="宋体" w:cs="宋体"/>
          <w:color w:val="auto"/>
          <w:sz w:val="24"/>
          <w:highlight w:val="none"/>
        </w:rPr>
        <w:t>附件10 供应商承诺书（格式）</w:t>
      </w:r>
      <w:bookmarkEnd w:id="63"/>
    </w:p>
    <w:p>
      <w:pPr>
        <w:snapToGrid w:val="0"/>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附件11 供应商信用承诺函（格式）</w:t>
      </w:r>
    </w:p>
    <w:p>
      <w:pPr>
        <w:pStyle w:val="30"/>
        <w:rPr>
          <w:rFonts w:hint="eastAsia" w:ascii="宋体" w:hAnsi="宋体" w:eastAsia="宋体" w:cs="宋体"/>
        </w:rPr>
      </w:pPr>
    </w:p>
    <w:p>
      <w:pPr>
        <w:widowControl/>
        <w:wordWrap w:val="0"/>
        <w:snapToGrid w:val="0"/>
        <w:spacing w:line="460" w:lineRule="exact"/>
        <w:ind w:firstLine="482" w:firstLineChars="200"/>
        <w:jc w:val="center"/>
        <w:rPr>
          <w:rFonts w:hint="eastAsia" w:ascii="宋体" w:hAnsi="宋体" w:eastAsia="宋体" w:cs="宋体"/>
          <w:b/>
          <w:bCs/>
          <w:color w:val="auto"/>
          <w:kern w:val="0"/>
          <w:sz w:val="24"/>
          <w:highlight w:val="none"/>
        </w:rPr>
      </w:pPr>
    </w:p>
    <w:p>
      <w:pPr>
        <w:widowControl/>
        <w:wordWrap w:val="0"/>
        <w:snapToGrid w:val="0"/>
        <w:spacing w:line="460" w:lineRule="exact"/>
        <w:ind w:firstLine="482" w:firstLineChars="200"/>
        <w:jc w:val="center"/>
        <w:rPr>
          <w:rFonts w:hint="eastAsia" w:ascii="宋体" w:hAnsi="宋体" w:eastAsia="宋体" w:cs="宋体"/>
          <w:b/>
          <w:bCs/>
          <w:color w:val="auto"/>
          <w:kern w:val="0"/>
          <w:sz w:val="24"/>
          <w:highlight w:val="none"/>
        </w:rPr>
      </w:pPr>
    </w:p>
    <w:p>
      <w:pPr>
        <w:widowControl/>
        <w:wordWrap w:val="0"/>
        <w:snapToGrid w:val="0"/>
        <w:spacing w:line="460" w:lineRule="exact"/>
        <w:ind w:firstLine="482" w:firstLineChars="200"/>
        <w:jc w:val="center"/>
        <w:rPr>
          <w:rFonts w:hint="eastAsia" w:ascii="宋体" w:hAnsi="宋体" w:eastAsia="宋体" w:cs="宋体"/>
          <w:b/>
          <w:bCs/>
          <w:color w:val="auto"/>
          <w:kern w:val="0"/>
          <w:sz w:val="24"/>
          <w:highlight w:val="none"/>
        </w:rPr>
      </w:pPr>
    </w:p>
    <w:p>
      <w:pPr>
        <w:pStyle w:val="11"/>
        <w:rPr>
          <w:rFonts w:hint="eastAsia" w:ascii="宋体" w:hAnsi="宋体" w:eastAsia="宋体" w:cs="宋体"/>
          <w:b/>
          <w:bCs/>
          <w:color w:val="auto"/>
          <w:kern w:val="0"/>
          <w:sz w:val="24"/>
          <w:highlight w:val="none"/>
        </w:rPr>
      </w:pPr>
    </w:p>
    <w:p>
      <w:pPr>
        <w:pStyle w:val="48"/>
        <w:rPr>
          <w:rFonts w:hint="eastAsia" w:ascii="宋体" w:hAnsi="宋体" w:eastAsia="宋体" w:cs="宋体"/>
          <w:b/>
          <w:bCs/>
          <w:color w:val="auto"/>
          <w:highlight w:val="none"/>
        </w:rPr>
      </w:pPr>
    </w:p>
    <w:p>
      <w:pPr>
        <w:pStyle w:val="48"/>
        <w:rPr>
          <w:rFonts w:hint="eastAsia" w:ascii="宋体" w:hAnsi="宋体" w:eastAsia="宋体" w:cs="宋体"/>
          <w:b/>
          <w:bCs/>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25"/>
        <w:rPr>
          <w:rFonts w:hint="eastAsia" w:ascii="宋体" w:hAnsi="宋体" w:eastAsia="宋体" w:cs="宋体"/>
          <w:color w:val="auto"/>
          <w:highlight w:val="none"/>
        </w:rPr>
      </w:pPr>
    </w:p>
    <w:p>
      <w:pPr>
        <w:pStyle w:val="2"/>
        <w:rPr>
          <w:rFonts w:hint="eastAsia" w:ascii="宋体" w:hAnsi="宋体" w:eastAsia="宋体" w:cs="宋体"/>
          <w:color w:val="auto"/>
          <w:highlight w:val="none"/>
        </w:rPr>
      </w:pPr>
      <w:bookmarkStart w:id="64" w:name="_Toc24743"/>
      <w:bookmarkStart w:id="65" w:name="_Toc31798"/>
      <w:r>
        <w:rPr>
          <w:rFonts w:hint="eastAsia" w:ascii="宋体" w:hAnsi="宋体" w:eastAsia="宋体" w:cs="宋体"/>
          <w:color w:val="auto"/>
          <w:highlight w:val="none"/>
        </w:rPr>
        <w:t xml:space="preserve">附件1               </w:t>
      </w:r>
      <w:r>
        <w:rPr>
          <w:rFonts w:hint="eastAsia" w:ascii="宋体" w:hAnsi="宋体" w:eastAsia="宋体" w:cs="宋体"/>
          <w:color w:val="auto"/>
          <w:highlight w:val="none"/>
          <w:lang w:eastAsia="zh-CN"/>
        </w:rPr>
        <w:t>响应性文件</w:t>
      </w:r>
      <w:r>
        <w:rPr>
          <w:rFonts w:hint="eastAsia" w:ascii="宋体" w:hAnsi="宋体" w:eastAsia="宋体" w:cs="宋体"/>
          <w:color w:val="auto"/>
          <w:highlight w:val="none"/>
        </w:rPr>
        <w:t>封面（格式）</w:t>
      </w:r>
      <w:bookmarkEnd w:id="64"/>
      <w:bookmarkEnd w:id="65"/>
    </w:p>
    <w:p>
      <w:pPr>
        <w:widowControl/>
        <w:wordWrap w:val="0"/>
        <w:spacing w:line="460" w:lineRule="exact"/>
        <w:ind w:firstLine="482" w:firstLineChars="200"/>
        <w:jc w:val="center"/>
        <w:rPr>
          <w:rFonts w:hint="eastAsia" w:ascii="宋体" w:hAnsi="宋体" w:eastAsia="宋体" w:cs="宋体"/>
          <w:b/>
          <w:color w:val="auto"/>
          <w:kern w:val="0"/>
          <w:sz w:val="24"/>
          <w:highlight w:val="none"/>
        </w:rPr>
      </w:pPr>
    </w:p>
    <w:p>
      <w:pPr>
        <w:snapToGrid w:val="0"/>
        <w:spacing w:line="360" w:lineRule="auto"/>
        <w:jc w:val="center"/>
        <w:rPr>
          <w:rFonts w:hint="eastAsia" w:ascii="宋体" w:hAnsi="宋体" w:eastAsia="宋体" w:cs="宋体"/>
          <w:b/>
          <w:color w:val="auto"/>
          <w:spacing w:val="90"/>
          <w:sz w:val="52"/>
          <w:szCs w:val="52"/>
          <w:highlight w:val="none"/>
          <w:u w:val="non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驻马店市中心医院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lang w:eastAsia="zh-CN"/>
        </w:rPr>
      </w:pPr>
      <w:r>
        <w:rPr>
          <w:rFonts w:hint="eastAsia" w:ascii="宋体" w:hAnsi="宋体" w:eastAsia="宋体" w:cs="宋体"/>
          <w:b/>
          <w:color w:val="auto"/>
          <w:spacing w:val="90"/>
          <w:sz w:val="52"/>
          <w:szCs w:val="52"/>
          <w:highlight w:val="none"/>
          <w:lang w:eastAsia="zh-CN"/>
        </w:rPr>
        <w:t>响应性文件</w:t>
      </w:r>
    </w:p>
    <w:p>
      <w:pPr>
        <w:spacing w:line="360" w:lineRule="auto"/>
        <w:rPr>
          <w:rFonts w:hint="eastAsia" w:ascii="宋体" w:hAnsi="宋体" w:eastAsia="宋体" w:cs="宋体"/>
          <w:color w:val="auto"/>
          <w:sz w:val="28"/>
          <w:highlight w:val="none"/>
        </w:rPr>
      </w:pPr>
    </w:p>
    <w:p>
      <w:pPr>
        <w:pStyle w:val="48"/>
        <w:spacing w:line="360" w:lineRule="auto"/>
        <w:rPr>
          <w:rFonts w:hint="eastAsia" w:ascii="宋体" w:hAnsi="宋体" w:eastAsia="宋体" w:cs="宋体"/>
          <w:color w:val="auto"/>
          <w:highlight w:val="none"/>
        </w:rPr>
      </w:pPr>
    </w:p>
    <w:p>
      <w:pPr>
        <w:pStyle w:val="48"/>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供应商</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val="en-US" w:eastAsia="zh-CN"/>
        </w:rPr>
        <w:t>签字或</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hint="eastAsia" w:ascii="宋体" w:hAnsi="宋体" w:eastAsia="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hint="eastAsia" w:ascii="宋体" w:hAnsi="宋体" w:eastAsia="宋体" w:cs="宋体"/>
          <w:b/>
          <w:color w:val="auto"/>
          <w:kern w:val="0"/>
          <w:sz w:val="24"/>
          <w:highlight w:val="none"/>
        </w:rPr>
      </w:pPr>
    </w:p>
    <w:p>
      <w:pPr>
        <w:pStyle w:val="11"/>
        <w:rPr>
          <w:rFonts w:hint="eastAsia" w:ascii="宋体" w:hAnsi="宋体" w:eastAsia="宋体" w:cs="宋体"/>
          <w:b/>
          <w:color w:val="auto"/>
          <w:kern w:val="0"/>
          <w:sz w:val="24"/>
          <w:highlight w:val="none"/>
        </w:rPr>
      </w:pPr>
    </w:p>
    <w:p>
      <w:pP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br w:type="page"/>
      </w: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bookmarkStart w:id="66" w:name="_Toc14560"/>
      <w:bookmarkStart w:id="67" w:name="_Toc8818"/>
      <w:r>
        <w:rPr>
          <w:rFonts w:hint="eastAsia" w:ascii="宋体" w:hAnsi="宋体" w:eastAsia="宋体" w:cs="宋体"/>
          <w:color w:val="auto"/>
          <w:highlight w:val="none"/>
        </w:rPr>
        <w:t>附件2               投  标  书（格式）</w:t>
      </w:r>
      <w:bookmarkEnd w:id="66"/>
      <w:bookmarkEnd w:id="67"/>
    </w:p>
    <w:p>
      <w:pPr>
        <w:widowControl/>
        <w:wordWrap w:val="0"/>
        <w:snapToGrid w:val="0"/>
        <w:spacing w:line="4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致：</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u w:val="single"/>
          <w:lang w:eastAsia="zh-CN"/>
        </w:rPr>
        <w:t>采购人</w:t>
      </w:r>
      <w:r>
        <w:rPr>
          <w:rFonts w:hint="eastAsia" w:ascii="宋体" w:hAnsi="宋体" w:eastAsia="宋体" w:cs="宋体"/>
          <w:color w:val="auto"/>
          <w:kern w:val="0"/>
          <w:szCs w:val="21"/>
          <w:highlight w:val="none"/>
          <w:u w:val="single"/>
        </w:rPr>
        <w:t>名称）</w:t>
      </w:r>
      <w:r>
        <w:rPr>
          <w:rFonts w:hint="eastAsia" w:ascii="宋体" w:hAnsi="宋体" w:eastAsia="宋体" w:cs="宋体"/>
          <w:color w:val="auto"/>
          <w:kern w:val="0"/>
          <w:szCs w:val="21"/>
          <w:highlight w:val="none"/>
        </w:rPr>
        <w:t>：</w:t>
      </w:r>
    </w:p>
    <w:p>
      <w:pPr>
        <w:widowControl/>
        <w:wordWrap w:val="0"/>
        <w:spacing w:line="460" w:lineRule="exact"/>
        <w:ind w:firstLine="525" w:firstLineChars="25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u w:val="single"/>
        </w:rPr>
        <w:t>（</w:t>
      </w:r>
      <w:r>
        <w:rPr>
          <w:rFonts w:hint="eastAsia" w:ascii="宋体" w:hAnsi="宋体" w:eastAsia="宋体" w:cs="宋体"/>
          <w:color w:val="auto"/>
          <w:kern w:val="0"/>
          <w:szCs w:val="21"/>
          <w:highlight w:val="none"/>
          <w:u w:val="single"/>
          <w:lang w:eastAsia="zh-CN"/>
        </w:rPr>
        <w:t>供应商</w:t>
      </w:r>
      <w:r>
        <w:rPr>
          <w:rFonts w:hint="eastAsia" w:ascii="宋体" w:hAnsi="宋体" w:eastAsia="宋体" w:cs="宋体"/>
          <w:color w:val="auto"/>
          <w:kern w:val="0"/>
          <w:szCs w:val="21"/>
          <w:highlight w:val="none"/>
          <w:u w:val="single"/>
        </w:rPr>
        <w:t>名称）</w:t>
      </w:r>
      <w:r>
        <w:rPr>
          <w:rFonts w:hint="eastAsia" w:ascii="宋体" w:hAnsi="宋体" w:eastAsia="宋体" w:cs="宋体"/>
          <w:color w:val="auto"/>
          <w:kern w:val="0"/>
          <w:szCs w:val="21"/>
          <w:highlight w:val="none"/>
        </w:rPr>
        <w:t xml:space="preserve">现委托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（姓名）为我方代理人，参加贵方组织的</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项目的投标。现正式提交下述文件1份：</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1、开标一览表。</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2、报价明细表。</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4、技术响应。</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4、商务响应。</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5、证明文件。</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6、抵制商业贿赂承诺。为便于贵方公正、择优地确定</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供应商及其投标产品和服务，我方就本次投标有关事项郑重声明并宣布同意如下：</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1、我方承诺已经具备</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文件中规定的参加政府采购活动的</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应当具备的条件。我方愿意向贵方提供任何与本</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3、我方同意在</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有效期内遵守本</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中的承诺且在此期限期满之前均具有约束力。如果我方</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有效期与合同履行期相同。</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4、我方已详细审查全部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文件，包括修改文件（如有的话）和有关附件，将自行承担因对全部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5、我方保证尊重</w:t>
      </w:r>
      <w:r>
        <w:rPr>
          <w:rFonts w:hint="eastAsia" w:ascii="宋体" w:hAnsi="宋体" w:eastAsia="宋体" w:cs="宋体"/>
          <w:color w:val="auto"/>
          <w:kern w:val="0"/>
          <w:szCs w:val="21"/>
          <w:highlight w:val="none"/>
          <w:lang w:eastAsia="zh-CN"/>
        </w:rPr>
        <w:t>评标委员会</w:t>
      </w:r>
      <w:r>
        <w:rPr>
          <w:rFonts w:hint="eastAsia" w:ascii="宋体" w:hAnsi="宋体" w:eastAsia="宋体" w:cs="宋体"/>
          <w:color w:val="auto"/>
          <w:kern w:val="0"/>
          <w:szCs w:val="21"/>
          <w:highlight w:val="none"/>
        </w:rPr>
        <w:t>的评标结果，完全理解本</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项目最低投标价不作为</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的保证。</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6、我方理解并遵守</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文件的全部规定，接受</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7、如果我方代表</w:t>
      </w:r>
      <w:r>
        <w:rPr>
          <w:rFonts w:hint="eastAsia" w:ascii="宋体" w:hAnsi="宋体" w:eastAsia="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8、如果我方存在</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须知第9.3项所述情况，同意被认定为在经营活动中有重大违法记录。</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9、如果发生</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须知第2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.4.1、2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10、如果发生</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须知第2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.5项所述情况，同意</w:t>
      </w:r>
      <w:r>
        <w:rPr>
          <w:rFonts w:hint="eastAsia" w:ascii="宋体" w:hAnsi="宋体" w:eastAsia="宋体" w:cs="宋体"/>
          <w:color w:val="auto"/>
          <w:kern w:val="0"/>
          <w:szCs w:val="21"/>
          <w:highlight w:val="none"/>
          <w:lang w:eastAsia="zh-CN"/>
        </w:rPr>
        <w:t>评标委员会</w:t>
      </w:r>
      <w:r>
        <w:rPr>
          <w:rFonts w:hint="eastAsia" w:ascii="宋体" w:hAnsi="宋体" w:eastAsia="宋体" w:cs="宋体"/>
          <w:color w:val="auto"/>
          <w:kern w:val="0"/>
          <w:szCs w:val="21"/>
          <w:highlight w:val="none"/>
        </w:rPr>
        <w:t>认定我方的行为属于串通投标的行为，并自愿接受监管部门的处罚。</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11、如果现场变更采购方式，我方同意在不改变</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12、如果被确定为</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供应商，我方同意按</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文件的规定领取</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通知书并缴纳服务费。否则，视为我方</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后自动放弃</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资格，承担由此引起的一切后果。</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13、如果被确定为</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供应商，我方同意在领取</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通知书之日起日内，按照</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文件的规定与采购人签订采购合同。否则，视为我方</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后无正当理由不与采购人签订合同并承担相应法律责任。</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14、我方最近3年内的被公开披露或查处的违法违规行为有：</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 xml:space="preserve">   地址：  邮编：</w:t>
      </w:r>
    </w:p>
    <w:p>
      <w:pPr>
        <w:widowControl/>
        <w:wordWrap w:val="0"/>
        <w:spacing w:line="460" w:lineRule="exact"/>
        <w:ind w:firstLine="42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 xml:space="preserve">   电话：  传真： </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p>
    <w:p>
      <w:pPr>
        <w:widowControl/>
        <w:wordWrap w:val="0"/>
        <w:spacing w:line="460" w:lineRule="exact"/>
        <w:ind w:firstLine="735" w:firstLineChars="35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代表</w:t>
      </w:r>
      <w:r>
        <w:rPr>
          <w:rFonts w:hint="eastAsia" w:ascii="宋体" w:hAnsi="宋体" w:eastAsia="宋体" w:cs="宋体"/>
          <w:color w:val="auto"/>
          <w:kern w:val="0"/>
          <w:szCs w:val="21"/>
          <w:highlight w:val="none"/>
          <w:lang w:val="en-US" w:eastAsia="zh-CN"/>
        </w:rPr>
        <w:t>签字或</w:t>
      </w:r>
      <w:r>
        <w:rPr>
          <w:rFonts w:hint="eastAsia" w:ascii="宋体" w:hAnsi="宋体" w:eastAsia="宋体" w:cs="宋体"/>
          <w:color w:val="auto"/>
          <w:kern w:val="0"/>
          <w:szCs w:val="21"/>
          <w:highlight w:val="none"/>
          <w:lang w:eastAsia="zh-CN"/>
        </w:rPr>
        <w:t>盖章</w:t>
      </w:r>
      <w:r>
        <w:rPr>
          <w:rFonts w:hint="eastAsia" w:ascii="宋体" w:hAnsi="宋体" w:eastAsia="宋体" w:cs="宋体"/>
          <w:color w:val="auto"/>
          <w:kern w:val="0"/>
          <w:szCs w:val="21"/>
          <w:highlight w:val="none"/>
        </w:rPr>
        <w:t xml:space="preserve">： </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：（全称并加盖公章）</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p>
    <w:p>
      <w:pPr>
        <w:widowControl/>
        <w:snapToGrid w:val="0"/>
        <w:spacing w:line="460" w:lineRule="exact"/>
        <w:ind w:firstLine="3360" w:firstLineChars="1600"/>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 xml:space="preserve">年    月   日 </w:t>
      </w:r>
    </w:p>
    <w:p>
      <w:pPr>
        <w:widowControl/>
        <w:wordWrap w:val="0"/>
        <w:snapToGrid w:val="0"/>
        <w:spacing w:before="50" w:after="50" w:line="480" w:lineRule="auto"/>
        <w:jc w:val="left"/>
        <w:rPr>
          <w:rFonts w:hint="eastAsia" w:ascii="宋体" w:hAnsi="宋体" w:eastAsia="宋体" w:cs="宋体"/>
          <w:b/>
          <w:color w:val="auto"/>
          <w:kern w:val="0"/>
          <w:sz w:val="24"/>
          <w:highlight w:val="none"/>
        </w:rPr>
      </w:pPr>
    </w:p>
    <w:p>
      <w:pPr>
        <w:widowControl/>
        <w:wordWrap w:val="0"/>
        <w:snapToGrid w:val="0"/>
        <w:spacing w:before="50" w:after="50" w:line="480" w:lineRule="auto"/>
        <w:jc w:val="left"/>
        <w:rPr>
          <w:rFonts w:hint="eastAsia" w:ascii="宋体" w:hAnsi="宋体" w:eastAsia="宋体" w:cs="宋体"/>
          <w:b/>
          <w:color w:val="auto"/>
          <w:kern w:val="0"/>
          <w:sz w:val="24"/>
          <w:highlight w:val="none"/>
        </w:rPr>
      </w:pPr>
    </w:p>
    <w:p>
      <w:pPr>
        <w:spacing w:line="500" w:lineRule="exact"/>
        <w:jc w:val="center"/>
        <w:rPr>
          <w:rFonts w:hint="eastAsia" w:ascii="宋体" w:hAnsi="宋体" w:eastAsia="宋体" w:cs="宋体"/>
          <w:b/>
          <w:bCs/>
          <w:color w:val="auto"/>
          <w:sz w:val="24"/>
          <w:highlight w:val="none"/>
        </w:rPr>
      </w:pP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p>
    <w:p>
      <w:pPr>
        <w:rPr>
          <w:rFonts w:hint="eastAsia" w:ascii="宋体" w:hAnsi="宋体" w:eastAsia="宋体" w:cs="宋体"/>
          <w:color w:val="auto"/>
          <w:highlight w:val="none"/>
        </w:rPr>
      </w:pPr>
    </w:p>
    <w:p>
      <w:pPr>
        <w:pStyle w:val="2"/>
        <w:spacing w:before="20" w:after="20"/>
        <w:rPr>
          <w:rFonts w:hint="eastAsia" w:ascii="宋体" w:hAnsi="宋体" w:eastAsia="宋体" w:cs="宋体"/>
          <w:color w:val="auto"/>
          <w:highlight w:val="none"/>
        </w:rPr>
      </w:pPr>
      <w:bookmarkStart w:id="68" w:name="_Toc7838"/>
      <w:r>
        <w:rPr>
          <w:rFonts w:hint="eastAsia" w:ascii="宋体" w:hAnsi="宋体" w:eastAsia="宋体" w:cs="宋体"/>
          <w:color w:val="auto"/>
          <w:highlight w:val="none"/>
        </w:rPr>
        <w:t>附件3               开标一览表</w:t>
      </w:r>
      <w:bookmarkEnd w:id="68"/>
    </w:p>
    <w:p>
      <w:pPr>
        <w:spacing w:line="239" w:lineRule="auto"/>
        <w:jc w:val="right"/>
        <w:rPr>
          <w:rFonts w:hint="eastAsia" w:ascii="宋体" w:hAnsi="宋体" w:eastAsia="宋体" w:cs="宋体"/>
          <w:color w:val="auto"/>
          <w:sz w:val="24"/>
          <w:highlight w:val="none"/>
          <w:lang w:val="en-US"/>
        </w:rPr>
      </w:pPr>
      <w:r>
        <w:rPr>
          <w:rFonts w:hint="eastAsia" w:ascii="宋体" w:hAnsi="宋体" w:eastAsia="宋体" w:cs="宋体"/>
          <w:color w:val="auto"/>
          <w:sz w:val="24"/>
          <w:highlight w:val="none"/>
        </w:rPr>
        <w:t>单位：人民币</w:t>
      </w:r>
      <w:r>
        <w:rPr>
          <w:rFonts w:hint="eastAsia" w:ascii="宋体" w:hAnsi="宋体" w:eastAsia="宋体" w:cs="宋体"/>
          <w:sz w:val="24"/>
          <w:lang w:val="en-US" w:eastAsia="zh-CN"/>
        </w:rPr>
        <w:t>元</w:t>
      </w:r>
    </w:p>
    <w:p>
      <w:pPr>
        <w:rPr>
          <w:rFonts w:hint="eastAsia" w:ascii="宋体" w:hAnsi="宋体" w:eastAsia="宋体" w:cs="宋体"/>
          <w:color w:val="auto"/>
          <w:highlight w:val="none"/>
        </w:rPr>
      </w:pPr>
    </w:p>
    <w:tbl>
      <w:tblPr>
        <w:tblStyle w:val="3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hint="eastAsia" w:ascii="宋体" w:hAnsi="宋体" w:eastAsia="宋体" w:cs="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hint="eastAsia" w:ascii="宋体" w:hAnsi="宋体" w:eastAsia="宋体" w:cs="宋体"/>
                <w:color w:val="auto"/>
                <w:szCs w:val="21"/>
                <w:highlight w:val="none"/>
              </w:rPr>
            </w:pPr>
            <w:r>
              <w:rPr>
                <w:rFonts w:hint="eastAsia" w:ascii="宋体" w:hAnsi="宋体" w:cs="宋体"/>
                <w:color w:val="auto"/>
                <w:kern w:val="0"/>
                <w:szCs w:val="21"/>
                <w:highlight w:val="none"/>
              </w:rPr>
              <w:t>投标人名称</w:t>
            </w:r>
          </w:p>
        </w:tc>
        <w:tc>
          <w:tcPr>
            <w:tcW w:w="7708" w:type="dxa"/>
            <w:noWrap/>
            <w:vAlign w:val="center"/>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978" w:type="dxa"/>
            <w:noWrap/>
            <w:vAlign w:val="center"/>
          </w:tcPr>
          <w:p>
            <w:pPr>
              <w:jc w:val="center"/>
              <w:rPr>
                <w:rFonts w:hint="eastAsia" w:ascii="宋体" w:hAnsi="宋体" w:eastAsia="宋体" w:cs="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 xml:space="preserve">大写：        </w:t>
            </w:r>
          </w:p>
          <w:p>
            <w:pPr>
              <w:rPr>
                <w:rFonts w:hint="eastAsia" w:ascii="宋体" w:hAnsi="宋体" w:eastAsia="宋体" w:cs="宋体"/>
                <w:color w:val="auto"/>
                <w:szCs w:val="21"/>
                <w:highlight w:val="none"/>
                <w:lang w:val="en-US" w:eastAsia="zh-CN"/>
              </w:rPr>
            </w:pPr>
            <w:r>
              <w:rPr>
                <w:rFonts w:hint="eastAsia" w:ascii="宋体" w:hAnsi="宋体"/>
                <w:color w:val="auto"/>
                <w:szCs w:val="21"/>
                <w:highlight w:val="none"/>
                <w:lang w:val="en-US" w:eastAsia="zh-CN"/>
              </w:rPr>
              <w:t>小写：        元/台（详见报价明细表）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hint="eastAsia" w:ascii="宋体" w:hAnsi="宋体" w:eastAsia="宋体" w:cs="宋体"/>
                <w:color w:val="auto"/>
                <w:szCs w:val="21"/>
                <w:highlight w:val="none"/>
                <w:lang w:val="en-US" w:eastAsia="zh-CN"/>
              </w:rPr>
            </w:pPr>
            <w:r>
              <w:rPr>
                <w:rFonts w:hint="eastAsia" w:ascii="宋体" w:hAnsi="宋体" w:cs="宋体"/>
                <w:color w:val="auto"/>
                <w:kern w:val="0"/>
                <w:szCs w:val="21"/>
                <w:highlight w:val="none"/>
              </w:rPr>
              <w:t>交货地点</w:t>
            </w:r>
          </w:p>
        </w:tc>
        <w:tc>
          <w:tcPr>
            <w:tcW w:w="7708" w:type="dxa"/>
            <w:noWrap/>
            <w:vAlign w:val="bottom"/>
          </w:tcPr>
          <w:p>
            <w:pPr>
              <w:spacing w:line="360" w:lineRule="auto"/>
              <w:ind w:firstLine="1155" w:firstLineChars="55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hint="eastAsia" w:ascii="宋体" w:hAnsi="宋体" w:eastAsia="宋体" w:cs="宋体"/>
                <w:color w:val="auto"/>
                <w:szCs w:val="21"/>
                <w:highlight w:val="none"/>
              </w:rPr>
            </w:pPr>
            <w:r>
              <w:rPr>
                <w:rFonts w:hint="eastAsia" w:ascii="宋体" w:hAnsi="宋体" w:cs="宋体"/>
                <w:color w:val="auto"/>
                <w:kern w:val="0"/>
                <w:szCs w:val="21"/>
                <w:highlight w:val="none"/>
              </w:rPr>
              <w:t>投标有效期</w:t>
            </w:r>
          </w:p>
        </w:tc>
        <w:tc>
          <w:tcPr>
            <w:tcW w:w="7708" w:type="dxa"/>
            <w:noWrap/>
            <w:vAlign w:val="bottom"/>
          </w:tcPr>
          <w:p>
            <w:pPr>
              <w:spacing w:line="360" w:lineRule="auto"/>
              <w:ind w:firstLine="1155" w:firstLineChars="55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s="宋体"/>
                <w:color w:val="auto"/>
                <w:szCs w:val="21"/>
                <w:highlight w:val="none"/>
                <w:lang w:eastAsia="zh-CN"/>
              </w:rPr>
            </w:pPr>
            <w:r>
              <w:rPr>
                <w:rFonts w:hint="eastAsia" w:ascii="宋体" w:hAnsi="宋体"/>
                <w:color w:val="auto"/>
                <w:szCs w:val="21"/>
                <w:highlight w:val="none"/>
              </w:rPr>
              <w:t>质量标准</w:t>
            </w:r>
          </w:p>
        </w:tc>
        <w:tc>
          <w:tcPr>
            <w:tcW w:w="7708" w:type="dxa"/>
            <w:noWrap/>
            <w:vAlign w:val="bottom"/>
          </w:tcPr>
          <w:p>
            <w:pPr>
              <w:spacing w:line="360" w:lineRule="auto"/>
              <w:ind w:firstLine="1155" w:firstLineChars="550"/>
              <w:rPr>
                <w:rFonts w:hint="eastAsia" w:ascii="宋体" w:hAnsi="宋体" w:eastAsia="宋体" w:cs="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s="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18"/>
              <w:ind w:left="0" w:leftChars="0"/>
              <w:rPr>
                <w:rFonts w:hint="eastAsia" w:ascii="宋体" w:hAnsi="宋体" w:eastAsia="宋体" w:cs="宋体"/>
                <w:color w:val="auto"/>
                <w:sz w:val="21"/>
                <w:szCs w:val="21"/>
                <w:highlight w:val="none"/>
              </w:rPr>
            </w:pPr>
          </w:p>
        </w:tc>
      </w:tr>
    </w:tbl>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注: 1、报价一经涂改，应在涂改处加盖单位公章或</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代表签字或盖章，否则其投标作无效标处理。</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2、以上报价应与“报价明细表”中的报价相一致。</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kern w:val="0"/>
          <w:szCs w:val="21"/>
          <w:highlight w:val="none"/>
        </w:rPr>
        <w:t>4、</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按格式填列，不得自行更改。否则引起的不利后果由</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承担。</w:t>
      </w:r>
    </w:p>
    <w:p>
      <w:pPr>
        <w:spacing w:line="360" w:lineRule="auto"/>
        <w:ind w:firstLine="420" w:firstLineChars="200"/>
        <w:jc w:val="center"/>
        <w:rPr>
          <w:rFonts w:hint="eastAsia" w:ascii="宋体" w:hAnsi="宋体" w:eastAsia="宋体" w:cs="宋体"/>
          <w:color w:val="auto"/>
          <w:szCs w:val="21"/>
          <w:highlight w:val="none"/>
        </w:rPr>
      </w:pPr>
      <w:bookmarkStart w:id="69" w:name="_Toc11620"/>
      <w:bookmarkStart w:id="70" w:name="_Toc20877"/>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（全称并加盖公章）：</w:t>
      </w:r>
      <w:bookmarkEnd w:id="69"/>
      <w:bookmarkEnd w:id="70"/>
    </w:p>
    <w:p>
      <w:pPr>
        <w:spacing w:line="360" w:lineRule="auto"/>
        <w:ind w:firstLine="420" w:firstLineChars="200"/>
        <w:jc w:val="center"/>
        <w:rPr>
          <w:rFonts w:hint="eastAsia" w:ascii="宋体" w:hAnsi="宋体" w:eastAsia="宋体" w:cs="宋体"/>
          <w:color w:val="auto"/>
          <w:szCs w:val="21"/>
          <w:highlight w:val="none"/>
          <w:u w:val="single"/>
        </w:rPr>
      </w:pPr>
      <w:bookmarkStart w:id="71" w:name="_Toc12222"/>
      <w:bookmarkStart w:id="72" w:name="_Toc625"/>
      <w:r>
        <w:rPr>
          <w:rFonts w:hint="eastAsia" w:ascii="宋体" w:hAnsi="宋体" w:eastAsia="宋体" w:cs="宋体"/>
          <w:color w:val="auto"/>
          <w:szCs w:val="21"/>
          <w:highlight w:val="none"/>
        </w:rPr>
        <w:t>法定代表人或其委托代理人（</w:t>
      </w:r>
      <w:r>
        <w:rPr>
          <w:rFonts w:hint="eastAsia" w:ascii="宋体" w:hAnsi="宋体" w:eastAsia="宋体" w:cs="宋体"/>
          <w:color w:val="auto"/>
          <w:szCs w:val="21"/>
          <w:highlight w:val="none"/>
          <w:lang w:val="en-US" w:eastAsia="zh-CN"/>
        </w:rPr>
        <w:t>签字或</w:t>
      </w:r>
      <w:r>
        <w:rPr>
          <w:rFonts w:hint="eastAsia" w:ascii="宋体" w:hAnsi="宋体" w:eastAsia="宋体" w:cs="宋体"/>
          <w:color w:val="auto"/>
          <w:szCs w:val="21"/>
          <w:highlight w:val="none"/>
          <w:lang w:eastAsia="zh-CN"/>
        </w:rPr>
        <w:t>盖章</w:t>
      </w:r>
      <w:r>
        <w:rPr>
          <w:rFonts w:hint="eastAsia" w:ascii="宋体" w:hAnsi="宋体" w:eastAsia="宋体" w:cs="宋体"/>
          <w:color w:val="auto"/>
          <w:szCs w:val="21"/>
          <w:highlight w:val="none"/>
        </w:rPr>
        <w:t>）：</w:t>
      </w:r>
      <w:bookmarkEnd w:id="71"/>
      <w:bookmarkEnd w:id="72"/>
    </w:p>
    <w:p>
      <w:pPr>
        <w:jc w:val="center"/>
        <w:rPr>
          <w:rFonts w:hint="eastAsia" w:ascii="宋体" w:hAnsi="宋体" w:eastAsia="宋体" w:cs="宋体"/>
          <w:color w:val="auto"/>
          <w:szCs w:val="21"/>
          <w:highlight w:val="none"/>
        </w:rPr>
      </w:pPr>
    </w:p>
    <w:p>
      <w:pPr>
        <w:spacing w:line="360" w:lineRule="auto"/>
        <w:ind w:firstLine="420" w:firstLineChars="200"/>
        <w:jc w:val="center"/>
        <w:rPr>
          <w:rFonts w:hint="eastAsia" w:ascii="宋体" w:hAnsi="宋体" w:eastAsia="宋体" w:cs="宋体"/>
          <w:color w:val="auto"/>
          <w:highlight w:val="none"/>
        </w:rPr>
      </w:pPr>
      <w:bookmarkStart w:id="73" w:name="_Toc9950"/>
      <w:bookmarkStart w:id="74" w:name="_Toc1330"/>
      <w:r>
        <w:rPr>
          <w:rFonts w:hint="eastAsia" w:ascii="宋体" w:hAnsi="宋体" w:eastAsia="宋体" w:cs="宋体"/>
          <w:color w:val="auto"/>
          <w:szCs w:val="21"/>
          <w:highlight w:val="none"/>
        </w:rPr>
        <w:t>年  月  日</w:t>
      </w:r>
      <w:bookmarkEnd w:id="73"/>
      <w:bookmarkEnd w:id="74"/>
    </w:p>
    <w:p>
      <w:pPr>
        <w:rPr>
          <w:rFonts w:hint="eastAsia" w:ascii="宋体" w:hAnsi="宋体" w:eastAsia="宋体" w:cs="宋体"/>
          <w:color w:val="auto"/>
          <w:highlight w:val="none"/>
        </w:rPr>
      </w:pPr>
    </w:p>
    <w:bookmarkEnd w:id="49"/>
    <w:bookmarkEnd w:id="50"/>
    <w:p>
      <w:pPr>
        <w:spacing w:before="20" w:after="20"/>
        <w:outlineLvl w:val="9"/>
        <w:rPr>
          <w:rFonts w:hint="eastAsia" w:ascii="宋体" w:hAnsi="宋体" w:eastAsia="宋体" w:cs="宋体"/>
          <w:color w:val="000000" w:themeColor="text1"/>
          <w:highlight w:val="none"/>
          <w:lang w:eastAsia="zh-CN"/>
          <w14:textFill>
            <w14:solidFill>
              <w14:schemeClr w14:val="tx1"/>
            </w14:solidFill>
          </w14:textFill>
        </w:rPr>
      </w:pPr>
      <w:bookmarkStart w:id="75" w:name="_Toc22004"/>
      <w:bookmarkStart w:id="76" w:name="_Toc24984"/>
    </w:p>
    <w:p>
      <w:pPr>
        <w:outlineLvl w:val="9"/>
        <w:rPr>
          <w:rFonts w:hint="eastAsia" w:ascii="宋体" w:hAnsi="宋体" w:eastAsia="宋体" w:cs="宋体"/>
          <w:lang w:eastAsia="zh-CN"/>
        </w:rPr>
      </w:pPr>
    </w:p>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br w:type="page"/>
      </w:r>
    </w:p>
    <w:p>
      <w:pPr>
        <w:pStyle w:val="2"/>
        <w:spacing w:before="20" w:after="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附件4               报价明细表</w:t>
      </w:r>
      <w:bookmarkEnd w:id="75"/>
      <w:bookmarkEnd w:id="76"/>
    </w:p>
    <w:p>
      <w:pPr>
        <w:widowControl/>
        <w:wordWrap w:val="0"/>
        <w:snapToGrid w:val="0"/>
        <w:spacing w:before="50" w:after="50"/>
        <w:ind w:left="-3" w:leftChars="-72" w:right="-817" w:rightChars="-389" w:hanging="148" w:hangingChars="62"/>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0"/>
          <w:sz w:val="24"/>
          <w:highlight w:val="none"/>
          <w14:textFill>
            <w14:solidFill>
              <w14:schemeClr w14:val="tx1"/>
            </w14:solidFill>
          </w14:textFill>
        </w:rPr>
        <w:t xml:space="preserve">                       金额单位：人民币（元）</w:t>
      </w:r>
    </w:p>
    <w:tbl>
      <w:tblPr>
        <w:tblStyle w:val="32"/>
        <w:tblpPr w:leftFromText="180" w:rightFromText="180" w:vertAnchor="text" w:horzAnchor="page" w:tblpX="1380" w:tblpY="359"/>
        <w:tblOverlap w:val="never"/>
        <w:tblW w:w="95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0"/>
        <w:gridCol w:w="2241"/>
        <w:gridCol w:w="1516"/>
        <w:gridCol w:w="1223"/>
        <w:gridCol w:w="1327"/>
        <w:gridCol w:w="1200"/>
        <w:gridCol w:w="10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106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r>
              <w:rPr>
                <w:rFonts w:hint="eastAsia" w:ascii="宋体" w:hAnsi="宋体" w:cs="宋体"/>
                <w:color w:val="auto"/>
                <w:kern w:val="0"/>
                <w:sz w:val="24"/>
                <w:highlight w:val="none"/>
              </w:rPr>
              <w:t>序号</w:t>
            </w:r>
          </w:p>
        </w:tc>
        <w:tc>
          <w:tcPr>
            <w:tcW w:w="2241" w:type="dxa"/>
            <w:tcBorders>
              <w:top w:val="single" w:color="auto" w:sz="4" w:space="0"/>
              <w:left w:val="single" w:color="auto" w:sz="4" w:space="0"/>
              <w:bottom w:val="nil"/>
              <w:right w:val="single" w:color="auto" w:sz="4" w:space="0"/>
            </w:tcBorders>
            <w:vAlign w:val="center"/>
          </w:tcPr>
          <w:p>
            <w:pPr>
              <w:widowControl/>
              <w:snapToGrid w:val="0"/>
              <w:spacing w:before="50" w:after="50"/>
              <w:jc w:val="cente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auto"/>
                <w:kern w:val="0"/>
                <w:sz w:val="24"/>
                <w:highlight w:val="none"/>
              </w:rPr>
              <w:t>货物名称</w:t>
            </w:r>
          </w:p>
        </w:tc>
        <w:tc>
          <w:tcPr>
            <w:tcW w:w="151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auto"/>
                <w:kern w:val="0"/>
                <w:sz w:val="24"/>
                <w:highlight w:val="none"/>
                <w:lang w:val="en-US" w:eastAsia="zh-CN"/>
              </w:rPr>
              <w:t>品牌</w:t>
            </w:r>
          </w:p>
        </w:tc>
        <w:tc>
          <w:tcPr>
            <w:tcW w:w="1223"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auto"/>
                <w:kern w:val="0"/>
                <w:sz w:val="24"/>
                <w:highlight w:val="none"/>
              </w:rPr>
              <w:t>规格/</w:t>
            </w:r>
            <w:r>
              <w:rPr>
                <w:rFonts w:hint="eastAsia" w:ascii="宋体" w:hAnsi="宋体" w:cs="宋体"/>
                <w:color w:val="auto"/>
                <w:kern w:val="0"/>
                <w:sz w:val="24"/>
                <w:highlight w:val="none"/>
                <w:lang w:val="en-US" w:eastAsia="zh-CN"/>
              </w:rPr>
              <w:t>型号</w:t>
            </w:r>
          </w:p>
        </w:tc>
        <w:tc>
          <w:tcPr>
            <w:tcW w:w="132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auto"/>
                <w:kern w:val="0"/>
                <w:sz w:val="24"/>
                <w:highlight w:val="none"/>
              </w:rPr>
              <w:t>单位</w:t>
            </w:r>
          </w:p>
        </w:tc>
        <w:tc>
          <w:tcPr>
            <w:tcW w:w="120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auto"/>
                <w:kern w:val="0"/>
                <w:sz w:val="24"/>
                <w:highlight w:val="none"/>
              </w:rPr>
              <w:t>数量</w:t>
            </w:r>
          </w:p>
        </w:tc>
        <w:tc>
          <w:tcPr>
            <w:tcW w:w="1013"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auto"/>
                <w:kern w:val="0"/>
                <w:sz w:val="24"/>
                <w:highlight w:val="none"/>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106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r>
              <w:rPr>
                <w:rFonts w:hint="eastAsia" w:ascii="宋体" w:hAnsi="宋体" w:cs="宋体"/>
                <w:color w:val="auto"/>
                <w:spacing w:val="20"/>
                <w:kern w:val="0"/>
                <w:sz w:val="24"/>
                <w:highlight w:val="none"/>
              </w:rPr>
              <w:t xml:space="preserve">…… </w:t>
            </w:r>
          </w:p>
        </w:tc>
        <w:tc>
          <w:tcPr>
            <w:tcW w:w="1516"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567" w:type="dxa"/>
            <w:gridSpan w:val="6"/>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eastAsia="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auto"/>
                <w:spacing w:val="20"/>
                <w:kern w:val="0"/>
                <w:sz w:val="24"/>
                <w:highlight w:val="none"/>
              </w:rPr>
              <w:t>投标总价(</w:t>
            </w:r>
            <w:r>
              <w:rPr>
                <w:rFonts w:hint="eastAsia" w:ascii="宋体" w:hAnsi="宋体" w:cs="宋体"/>
                <w:color w:val="auto"/>
                <w:kern w:val="0"/>
                <w:sz w:val="24"/>
                <w:szCs w:val="21"/>
                <w:highlight w:val="none"/>
              </w:rPr>
              <w:t>大写)：</w:t>
            </w:r>
          </w:p>
        </w:tc>
        <w:tc>
          <w:tcPr>
            <w:tcW w:w="1013"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eastAsia="宋体" w:cs="宋体"/>
                <w:color w:val="000000" w:themeColor="text1"/>
                <w:kern w:val="0"/>
                <w:sz w:val="24"/>
                <w:szCs w:val="21"/>
                <w:highlight w:val="none"/>
                <w14:textFill>
                  <w14:solidFill>
                    <w14:schemeClr w14:val="tx1"/>
                  </w14:solidFill>
                </w14:textFill>
              </w:rPr>
            </w:pPr>
            <w:r>
              <w:rPr>
                <w:rFonts w:hint="eastAsia" w:ascii="宋体" w:hAnsi="宋体" w:cs="宋体"/>
                <w:color w:val="auto"/>
                <w:kern w:val="0"/>
                <w:sz w:val="24"/>
                <w:szCs w:val="21"/>
                <w:highlight w:val="none"/>
              </w:rPr>
              <w:t>￥</w:t>
            </w:r>
          </w:p>
        </w:tc>
      </w:tr>
    </w:tbl>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代表</w:t>
      </w:r>
      <w:r>
        <w:rPr>
          <w:rFonts w:hint="eastAsia" w:ascii="宋体" w:hAnsi="宋体" w:eastAsia="宋体" w:cs="宋体"/>
          <w:color w:val="auto"/>
          <w:kern w:val="0"/>
          <w:sz w:val="24"/>
          <w:highlight w:val="none"/>
          <w:lang w:val="en-US" w:eastAsia="zh-CN"/>
        </w:rPr>
        <w:t>签字或</w:t>
      </w:r>
      <w:r>
        <w:rPr>
          <w:rFonts w:hint="eastAsia" w:ascii="宋体" w:hAnsi="宋体" w:eastAsia="宋体" w:cs="宋体"/>
          <w:color w:val="auto"/>
          <w:kern w:val="0"/>
          <w:sz w:val="24"/>
          <w:highlight w:val="none"/>
          <w:lang w:eastAsia="zh-CN"/>
        </w:rPr>
        <w:t>盖章</w:t>
      </w:r>
      <w:r>
        <w:rPr>
          <w:rFonts w:hint="eastAsia" w:ascii="宋体" w:hAnsi="宋体" w:eastAsia="宋体" w:cs="宋体"/>
          <w:color w:val="auto"/>
          <w:kern w:val="0"/>
          <w:sz w:val="24"/>
          <w:highlight w:val="none"/>
        </w:rPr>
        <w:t xml:space="preserve">： </w:t>
      </w:r>
    </w:p>
    <w:p>
      <w:pPr>
        <w:widowControl/>
        <w:wordWrap w:val="0"/>
        <w:snapToGrid w:val="0"/>
        <w:spacing w:line="460" w:lineRule="exact"/>
        <w:ind w:firstLine="2760" w:firstLineChars="1150"/>
        <w:jc w:val="left"/>
        <w:rPr>
          <w:rFonts w:hint="eastAsia" w:ascii="宋体" w:hAnsi="宋体" w:eastAsia="宋体" w:cs="宋体"/>
          <w:color w:val="auto"/>
          <w:kern w:val="0"/>
          <w:sz w:val="52"/>
          <w:szCs w:val="52"/>
          <w:highlight w:val="non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：（全称并加盖公章）</w:t>
      </w:r>
    </w:p>
    <w:p>
      <w:pPr>
        <w:widowControl/>
        <w:wordWrap w:val="0"/>
        <w:snapToGrid w:val="0"/>
        <w:spacing w:line="460" w:lineRule="exact"/>
        <w:ind w:firstLine="1040" w:firstLineChars="200"/>
        <w:jc w:val="left"/>
        <w:rPr>
          <w:rFonts w:hint="eastAsia" w:ascii="宋体" w:hAnsi="宋体" w:eastAsia="宋体" w:cs="宋体"/>
          <w:color w:val="auto"/>
          <w:kern w:val="0"/>
          <w:sz w:val="52"/>
          <w:szCs w:val="52"/>
          <w:highlight w:val="none"/>
          <w:u w:val="single"/>
        </w:rPr>
      </w:pPr>
    </w:p>
    <w:p>
      <w:pPr>
        <w:widowControl/>
        <w:wordWrap w:val="0"/>
        <w:spacing w:line="460" w:lineRule="exact"/>
        <w:ind w:firstLine="4800" w:firstLineChars="2000"/>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rPr>
        <w:t>年    月    日</w:t>
      </w:r>
    </w:p>
    <w:p>
      <w:pPr>
        <w:pStyle w:val="2"/>
        <w:rPr>
          <w:color w:val="auto"/>
          <w:highlight w:val="none"/>
        </w:rPr>
      </w:pPr>
      <w:r>
        <w:rPr>
          <w:rFonts w:hint="eastAsia" w:ascii="宋体" w:hAnsi="宋体" w:eastAsia="宋体" w:cs="宋体"/>
          <w:color w:val="auto"/>
          <w:highlight w:val="none"/>
        </w:rPr>
        <w:br w:type="page"/>
      </w:r>
      <w:bookmarkStart w:id="77" w:name="_Toc226"/>
      <w:bookmarkStart w:id="78" w:name="_Toc15804"/>
      <w:r>
        <w:rPr>
          <w:rFonts w:hint="eastAsia" w:ascii="宋体" w:hAnsi="宋体" w:eastAsia="宋体" w:cs="宋体"/>
          <w:color w:val="auto"/>
          <w:highlight w:val="none"/>
        </w:rPr>
        <w:t xml:space="preserve">附件5         </w:t>
      </w:r>
      <w:bookmarkEnd w:id="77"/>
      <w:bookmarkEnd w:id="78"/>
      <w:r>
        <w:rPr>
          <w:rFonts w:hint="eastAsia" w:ascii="宋体" w:hAnsi="宋体" w:eastAsia="宋体" w:cs="宋体"/>
          <w:color w:val="auto"/>
          <w:highlight w:val="none"/>
        </w:rPr>
        <w:t xml:space="preserve">     </w:t>
      </w:r>
      <w:r>
        <w:rPr>
          <w:rFonts w:hint="eastAsia"/>
          <w:color w:val="auto"/>
          <w:highlight w:val="none"/>
        </w:rPr>
        <w:t>技术响应表（格式）</w:t>
      </w:r>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r>
        <w:rPr>
          <w:rFonts w:hint="eastAsia" w:cs="宋体"/>
          <w:color w:val="auto"/>
          <w:kern w:val="0"/>
          <w:sz w:val="24"/>
          <w:highlight w:val="none"/>
          <w:lang w:val="en-US" w:eastAsia="zh-CN"/>
        </w:rPr>
        <w:t xml:space="preserve"> </w:t>
      </w:r>
    </w:p>
    <w:tbl>
      <w:tblPr>
        <w:tblStyle w:val="33"/>
        <w:tblpPr w:leftFromText="180" w:rightFromText="180" w:vertAnchor="text" w:horzAnchor="page" w:tblpX="1410" w:tblpY="5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712"/>
        <w:gridCol w:w="2114"/>
        <w:gridCol w:w="22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69" w:type="dxa"/>
            <w:vAlign w:val="center"/>
          </w:tcPr>
          <w:p>
            <w:pPr>
              <w:jc w:val="center"/>
              <w:rPr>
                <w:color w:val="auto"/>
                <w:sz w:val="24"/>
                <w:highlight w:val="none"/>
              </w:rPr>
            </w:pPr>
            <w:r>
              <w:rPr>
                <w:rFonts w:hint="eastAsia"/>
                <w:color w:val="auto"/>
                <w:sz w:val="24"/>
                <w:highlight w:val="none"/>
              </w:rPr>
              <w:t>序号</w:t>
            </w:r>
          </w:p>
        </w:tc>
        <w:tc>
          <w:tcPr>
            <w:tcW w:w="1712" w:type="dxa"/>
            <w:vAlign w:val="center"/>
          </w:tcPr>
          <w:p>
            <w:pPr>
              <w:jc w:val="center"/>
              <w:rPr>
                <w:color w:val="auto"/>
                <w:sz w:val="24"/>
                <w:highlight w:val="none"/>
              </w:rPr>
            </w:pPr>
            <w:r>
              <w:rPr>
                <w:rFonts w:hint="eastAsia"/>
                <w:color w:val="auto"/>
                <w:sz w:val="24"/>
                <w:highlight w:val="none"/>
              </w:rPr>
              <w:t>货物名称</w:t>
            </w:r>
          </w:p>
        </w:tc>
        <w:tc>
          <w:tcPr>
            <w:tcW w:w="2114" w:type="dxa"/>
            <w:vAlign w:val="center"/>
          </w:tcPr>
          <w:p>
            <w:pPr>
              <w:spacing w:line="360" w:lineRule="auto"/>
              <w:jc w:val="center"/>
              <w:rPr>
                <w:color w:val="auto"/>
                <w:sz w:val="24"/>
                <w:highlight w:val="none"/>
              </w:rPr>
            </w:pPr>
            <w:r>
              <w:rPr>
                <w:rFonts w:hint="eastAsia" w:ascii="宋体" w:hAnsi="宋体" w:cs="宋体"/>
                <w:color w:val="auto"/>
                <w:kern w:val="0"/>
                <w:sz w:val="24"/>
                <w:highlight w:val="none"/>
                <w:lang w:val="en-US" w:eastAsia="zh-CN"/>
              </w:rPr>
              <w:t>采购</w:t>
            </w:r>
            <w:r>
              <w:rPr>
                <w:rFonts w:hint="eastAsia" w:ascii="宋体" w:hAnsi="宋体" w:cs="宋体"/>
                <w:color w:val="auto"/>
                <w:kern w:val="0"/>
                <w:sz w:val="24"/>
                <w:highlight w:val="none"/>
              </w:rPr>
              <w:t>文件要求</w:t>
            </w:r>
          </w:p>
        </w:tc>
        <w:tc>
          <w:tcPr>
            <w:tcW w:w="227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投标文件响应</w:t>
            </w:r>
          </w:p>
        </w:tc>
        <w:tc>
          <w:tcPr>
            <w:tcW w:w="195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1</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color w:val="auto"/>
                <w:sz w:val="24"/>
                <w:highlight w:val="none"/>
              </w:rPr>
            </w:pPr>
          </w:p>
        </w:tc>
        <w:tc>
          <w:tcPr>
            <w:tcW w:w="1952"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2</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3</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4</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w:t>
            </w:r>
          </w:p>
        </w:tc>
        <w:tc>
          <w:tcPr>
            <w:tcW w:w="1712" w:type="dxa"/>
            <w:vAlign w:val="center"/>
          </w:tcPr>
          <w:p>
            <w:pPr>
              <w:jc w:val="center"/>
              <w:rPr>
                <w:color w:val="auto"/>
                <w:sz w:val="24"/>
                <w:highlight w:val="none"/>
              </w:rPr>
            </w:pPr>
          </w:p>
        </w:tc>
        <w:tc>
          <w:tcPr>
            <w:tcW w:w="2114" w:type="dxa"/>
            <w:vAlign w:val="center"/>
          </w:tcPr>
          <w:p>
            <w:pPr>
              <w:jc w:val="center"/>
              <w:rPr>
                <w:bCs/>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bl>
    <w:p>
      <w:pPr>
        <w:rPr>
          <w:b/>
          <w:color w:val="auto"/>
          <w:kern w:val="0"/>
          <w:sz w:val="24"/>
          <w:highlight w:val="none"/>
        </w:rPr>
      </w:pPr>
    </w:p>
    <w:p>
      <w:pPr>
        <w:widowControl/>
        <w:wordWrap w:val="0"/>
        <w:spacing w:before="50" w:after="50" w:line="480" w:lineRule="auto"/>
        <w:jc w:val="left"/>
        <w:rPr>
          <w:rFonts w:ascii="宋体" w:hAnsi="宋体" w:cs="宋体"/>
          <w:bCs/>
          <w:color w:val="auto"/>
          <w:kern w:val="0"/>
          <w:sz w:val="24"/>
          <w:highlight w:val="none"/>
        </w:rPr>
      </w:pPr>
      <w:r>
        <w:rPr>
          <w:rFonts w:hint="eastAsia" w:ascii="宋体" w:hAnsi="宋体" w:cs="宋体"/>
          <w:bCs/>
          <w:color w:val="auto"/>
          <w:kern w:val="0"/>
          <w:sz w:val="24"/>
          <w:highlight w:val="none"/>
        </w:rPr>
        <w:t>注：投标人必须如实完整填写表格， “偏离情况”是指“正偏离”、“负偏离”或“无偏离”。</w:t>
      </w:r>
    </w:p>
    <w:p>
      <w:pPr>
        <w:rPr>
          <w:rFonts w:hint="eastAsia" w:ascii="宋体" w:hAnsi="宋体" w:eastAsia="宋体" w:cs="宋体"/>
          <w:b/>
          <w:color w:val="auto"/>
          <w:kern w:val="0"/>
          <w:sz w:val="24"/>
          <w:highlight w:val="none"/>
        </w:rPr>
      </w:pPr>
    </w:p>
    <w:p>
      <w:pPr>
        <w:widowControl/>
        <w:wordWrap w:val="0"/>
        <w:spacing w:line="460" w:lineRule="exact"/>
        <w:ind w:firstLine="4680" w:firstLineChars="19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4680" w:firstLineChars="19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ind w:firstLine="4800" w:firstLineChars="2000"/>
        <w:rPr>
          <w:rFonts w:hint="eastAsia" w:ascii="宋体" w:hAnsi="宋体" w:eastAsia="宋体" w:cs="宋体"/>
          <w:color w:val="auto"/>
          <w:highlight w:val="none"/>
        </w:rPr>
      </w:pPr>
      <w:r>
        <w:rPr>
          <w:rFonts w:hint="eastAsia" w:ascii="宋体" w:hAnsi="宋体" w:cs="宋体"/>
          <w:color w:val="auto"/>
          <w:kern w:val="0"/>
          <w:sz w:val="24"/>
          <w:highlight w:val="none"/>
        </w:rPr>
        <w:t>年    月    日</w:t>
      </w:r>
    </w:p>
    <w:p>
      <w:pPr>
        <w:widowControl/>
        <w:wordWrap w:val="0"/>
        <w:snapToGrid w:val="0"/>
        <w:spacing w:line="460" w:lineRule="exact"/>
        <w:jc w:val="left"/>
        <w:outlineLvl w:val="0"/>
        <w:rPr>
          <w:rFonts w:hint="eastAsia" w:ascii="宋体" w:hAnsi="宋体" w:eastAsia="宋体" w:cs="宋体"/>
          <w:b/>
          <w:color w:val="auto"/>
          <w:sz w:val="28"/>
          <w:highlight w:val="none"/>
        </w:rPr>
        <w:sectPr>
          <w:pgSz w:w="11906" w:h="16838"/>
          <w:pgMar w:top="1417" w:right="1474" w:bottom="1417" w:left="1474" w:header="851" w:footer="624" w:gutter="0"/>
          <w:pgNumType w:fmt="decimal"/>
          <w:cols w:space="720" w:num="1"/>
          <w:docGrid w:type="lines" w:linePitch="319" w:charSpace="0"/>
        </w:sectPr>
      </w:pPr>
      <w:bookmarkStart w:id="79" w:name="_Toc29960"/>
      <w:bookmarkStart w:id="80" w:name="_Toc20420"/>
    </w:p>
    <w:p>
      <w:pPr>
        <w:widowControl/>
        <w:wordWrap w:val="0"/>
        <w:snapToGrid w:val="0"/>
        <w:spacing w:line="460" w:lineRule="exact"/>
        <w:jc w:val="left"/>
        <w:outlineLvl w:val="0"/>
        <w:rPr>
          <w:rFonts w:hint="eastAsia"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附件6               商务响应</w:t>
      </w:r>
      <w:bookmarkEnd w:id="79"/>
      <w:bookmarkEnd w:id="80"/>
      <w:r>
        <w:rPr>
          <w:rFonts w:hint="eastAsia" w:ascii="宋体" w:hAnsi="宋体" w:eastAsia="宋体" w:cs="宋体"/>
          <w:b/>
          <w:color w:val="auto"/>
          <w:sz w:val="28"/>
          <w:highlight w:val="none"/>
          <w:lang w:val="en-US" w:eastAsia="zh-CN"/>
        </w:rPr>
        <w:t>部分</w:t>
      </w:r>
    </w:p>
    <w:p>
      <w:pPr>
        <w:widowControl/>
        <w:wordWrap w:val="0"/>
        <w:spacing w:line="460" w:lineRule="exact"/>
        <w:jc w:val="left"/>
        <w:rPr>
          <w:rFonts w:hint="eastAsia" w:ascii="宋体" w:hAnsi="宋体" w:eastAsia="宋体" w:cs="宋体"/>
          <w:b/>
          <w:color w:val="auto"/>
          <w:kern w:val="0"/>
          <w:sz w:val="32"/>
          <w:szCs w:val="32"/>
          <w:highlight w:val="none"/>
          <w:lang w:val="en-US" w:eastAsia="zh-CN"/>
        </w:rPr>
      </w:pPr>
      <w:r>
        <w:rPr>
          <w:rFonts w:hint="eastAsia" w:ascii="宋体" w:hAnsi="宋体" w:eastAsia="宋体" w:cs="宋体"/>
          <w:b/>
          <w:color w:val="auto"/>
          <w:kern w:val="0"/>
          <w:sz w:val="32"/>
          <w:szCs w:val="32"/>
          <w:highlight w:val="none"/>
          <w:lang w:val="en-US" w:eastAsia="zh-CN"/>
        </w:rPr>
        <w:t xml:space="preserve">  </w:t>
      </w:r>
    </w:p>
    <w:p>
      <w:pPr>
        <w:widowControl/>
        <w:wordWrap w:val="0"/>
        <w:spacing w:line="460" w:lineRule="exact"/>
        <w:ind w:firstLine="482" w:firstLineChars="200"/>
        <w:jc w:val="left"/>
        <w:rPr>
          <w:rFonts w:hint="eastAsia" w:ascii="宋体" w:hAnsi="宋体" w:eastAsia="宋体" w:cs="宋体"/>
          <w:b/>
          <w:color w:val="auto"/>
          <w:kern w:val="0"/>
          <w:sz w:val="32"/>
          <w:szCs w:val="32"/>
          <w:highlight w:val="none"/>
          <w:lang w:val="en-US" w:eastAsia="zh-CN"/>
        </w:rPr>
      </w:pPr>
      <w:r>
        <w:rPr>
          <w:rFonts w:hint="eastAsia" w:ascii="宋体" w:hAnsi="宋体" w:eastAsia="宋体" w:cs="宋体"/>
          <w:b/>
          <w:color w:val="auto"/>
          <w:kern w:val="0"/>
          <w:sz w:val="24"/>
          <w:szCs w:val="24"/>
          <w:highlight w:val="none"/>
          <w:lang w:val="en-US" w:eastAsia="zh-CN"/>
        </w:rPr>
        <w:t>商务部分相关证明文件</w:t>
      </w:r>
    </w:p>
    <w:p>
      <w:pPr>
        <w:rPr>
          <w:rFonts w:hint="eastAsia" w:ascii="宋体" w:hAnsi="宋体" w:eastAsia="宋体" w:cs="宋体"/>
          <w:b/>
          <w:color w:val="auto"/>
          <w:kern w:val="0"/>
          <w:sz w:val="24"/>
          <w:highlight w:val="none"/>
        </w:rPr>
      </w:pPr>
    </w:p>
    <w:p>
      <w:pPr>
        <w:pStyle w:val="30"/>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rPr>
          <w:rFonts w:hint="eastAsia" w:ascii="宋体" w:hAnsi="宋体" w:eastAsia="宋体" w:cs="宋体"/>
          <w:b/>
          <w:color w:val="auto"/>
          <w:sz w:val="28"/>
          <w:highlight w:val="none"/>
        </w:rPr>
      </w:pPr>
      <w:bookmarkStart w:id="81" w:name="_Toc31526"/>
      <w:bookmarkStart w:id="82" w:name="_Toc28621"/>
      <w:r>
        <w:rPr>
          <w:rFonts w:hint="eastAsia" w:ascii="宋体" w:hAnsi="宋体" w:eastAsia="宋体" w:cs="宋体"/>
          <w:b/>
          <w:color w:val="auto"/>
          <w:sz w:val="28"/>
          <w:highlight w:val="none"/>
        </w:rPr>
        <w:br w:type="page"/>
      </w:r>
    </w:p>
    <w:p>
      <w:pPr>
        <w:widowControl/>
        <w:wordWrap w:val="0"/>
        <w:spacing w:line="460" w:lineRule="exact"/>
        <w:jc w:val="left"/>
        <w:outlineLvl w:val="0"/>
        <w:rPr>
          <w:rFonts w:hint="eastAsia" w:ascii="宋体" w:hAnsi="宋体" w:eastAsia="宋体" w:cs="宋体"/>
          <w:b/>
          <w:color w:val="auto"/>
          <w:sz w:val="28"/>
          <w:highlight w:val="none"/>
        </w:rPr>
      </w:pPr>
      <w:r>
        <w:rPr>
          <w:rFonts w:hint="eastAsia" w:ascii="宋体" w:hAnsi="宋体" w:eastAsia="宋体" w:cs="宋体"/>
          <w:b/>
          <w:color w:val="auto"/>
          <w:sz w:val="28"/>
          <w:highlight w:val="none"/>
        </w:rPr>
        <w:t>附件7               法定代表人身份证明（格式）</w:t>
      </w:r>
      <w:bookmarkEnd w:id="81"/>
      <w:bookmarkEnd w:id="82"/>
    </w:p>
    <w:p>
      <w:pPr>
        <w:widowControl/>
        <w:wordWrap w:val="0"/>
        <w:spacing w:line="460" w:lineRule="exact"/>
        <w:jc w:val="left"/>
        <w:rPr>
          <w:rFonts w:hint="eastAsia" w:ascii="宋体" w:hAnsi="宋体" w:eastAsia="宋体" w:cs="宋体"/>
          <w:color w:val="auto"/>
          <w:kern w:val="0"/>
          <w:sz w:val="24"/>
          <w:highlight w:val="none"/>
        </w:rPr>
      </w:pPr>
    </w:p>
    <w:p>
      <w:pPr>
        <w:widowControl/>
        <w:wordWrap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名称：</w:t>
      </w:r>
      <w:r>
        <w:rPr>
          <w:rFonts w:hint="eastAsia" w:ascii="宋体" w:hAnsi="宋体" w:eastAsia="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地址：</w:t>
      </w:r>
      <w:r>
        <w:rPr>
          <w:rFonts w:hint="eastAsia" w:ascii="宋体" w:hAnsi="宋体" w:eastAsia="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highlight w:val="none"/>
        </w:rPr>
        <w:t>成立时间：</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szCs w:val="20"/>
          <w:highlight w:val="none"/>
        </w:rPr>
        <w:t>年</w:t>
      </w:r>
      <w:r>
        <w:rPr>
          <w:rFonts w:hint="eastAsia" w:ascii="宋体" w:hAnsi="宋体" w:eastAsia="宋体" w:cs="宋体"/>
          <w:color w:val="auto"/>
          <w:kern w:val="0"/>
          <w:sz w:val="24"/>
          <w:szCs w:val="20"/>
          <w:highlight w:val="none"/>
          <w:lang w:val="en-US" w:eastAsia="zh-CN"/>
        </w:rPr>
        <w:t xml:space="preserve">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月</w:t>
      </w:r>
      <w:r>
        <w:rPr>
          <w:rFonts w:hint="eastAsia" w:ascii="宋体" w:hAnsi="宋体" w:eastAsia="宋体" w:cs="宋体"/>
          <w:color w:val="auto"/>
          <w:kern w:val="0"/>
          <w:sz w:val="24"/>
          <w:szCs w:val="20"/>
          <w:highlight w:val="none"/>
          <w:lang w:val="en-US" w:eastAsia="zh-CN"/>
        </w:rPr>
        <w:t xml:space="preserve">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日</w:t>
      </w:r>
    </w:p>
    <w:p>
      <w:pPr>
        <w:widowControl/>
        <w:wordWrap w:val="0"/>
        <w:spacing w:line="460" w:lineRule="exact"/>
        <w:ind w:firstLine="480" w:firstLineChars="20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szCs w:val="20"/>
          <w:highlight w:val="none"/>
        </w:rPr>
        <w:t>经营期限：</w:t>
      </w:r>
      <w:r>
        <w:rPr>
          <w:rFonts w:hint="eastAsia" w:ascii="宋体" w:hAnsi="宋体" w:eastAsia="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 w:val="24"/>
          <w:highlight w:val="none"/>
        </w:rPr>
        <w:t>姓名：</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szCs w:val="20"/>
          <w:highlight w:val="none"/>
        </w:rPr>
        <w:t>，性别：</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，年龄：</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，职务：</w:t>
      </w:r>
      <w:r>
        <w:rPr>
          <w:rFonts w:hint="eastAsia" w:ascii="宋体" w:hAnsi="宋体" w:eastAsia="宋体" w:cs="宋体"/>
          <w:color w:val="auto"/>
          <w:kern w:val="0"/>
          <w:szCs w:val="21"/>
          <w:highlight w:val="none"/>
          <w:u w:val="single"/>
          <w:lang w:val="en-US" w:eastAsia="zh-CN"/>
        </w:rPr>
        <w:t xml:space="preserve">        </w:t>
      </w:r>
    </w:p>
    <w:p>
      <w:pPr>
        <w:widowControl/>
        <w:wordWrap w:val="0"/>
        <w:spacing w:line="460" w:lineRule="exact"/>
        <w:jc w:val="left"/>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szCs w:val="20"/>
          <w:highlight w:val="none"/>
        </w:rPr>
        <w:t>系</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w:t>
      </w:r>
      <w:r>
        <w:rPr>
          <w:rFonts w:hint="eastAsia" w:ascii="宋体" w:hAnsi="宋体" w:eastAsia="宋体" w:cs="宋体"/>
          <w:color w:val="auto"/>
          <w:kern w:val="0"/>
          <w:sz w:val="24"/>
          <w:szCs w:val="20"/>
          <w:highlight w:val="none"/>
          <w:lang w:eastAsia="zh-CN"/>
        </w:rPr>
        <w:t>供应商</w:t>
      </w:r>
      <w:r>
        <w:rPr>
          <w:rFonts w:hint="eastAsia" w:ascii="宋体" w:hAnsi="宋体" w:eastAsia="宋体" w:cs="宋体"/>
          <w:color w:val="auto"/>
          <w:kern w:val="0"/>
          <w:sz w:val="24"/>
          <w:szCs w:val="20"/>
          <w:highlight w:val="none"/>
        </w:rPr>
        <w:t>名称）的法定代表人。</w:t>
      </w:r>
    </w:p>
    <w:p>
      <w:pPr>
        <w:widowControl/>
        <w:wordWrap w:val="0"/>
        <w:spacing w:line="460" w:lineRule="exact"/>
        <w:jc w:val="left"/>
        <w:rPr>
          <w:rFonts w:hint="eastAsia" w:ascii="宋体" w:hAnsi="宋体" w:eastAsia="宋体" w:cs="宋体"/>
          <w:color w:val="auto"/>
          <w:kern w:val="0"/>
          <w:sz w:val="24"/>
          <w:szCs w:val="20"/>
          <w:highlight w:val="none"/>
        </w:rPr>
      </w:pPr>
    </w:p>
    <w:p>
      <w:pPr>
        <w:widowControl/>
        <w:wordWrap w:val="0"/>
        <w:spacing w:line="460" w:lineRule="exact"/>
        <w:ind w:firstLine="480" w:firstLineChars="200"/>
        <w:jc w:val="left"/>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szCs w:val="20"/>
          <w:highlight w:val="none"/>
        </w:rPr>
        <w:t>特此证明。</w:t>
      </w:r>
    </w:p>
    <w:p>
      <w:pPr>
        <w:widowControl/>
        <w:wordWrap w:val="0"/>
        <w:spacing w:line="460" w:lineRule="exact"/>
        <w:jc w:val="left"/>
        <w:rPr>
          <w:rFonts w:hint="eastAsia" w:ascii="宋体" w:hAnsi="宋体" w:eastAsia="宋体" w:cs="宋体"/>
          <w:color w:val="auto"/>
          <w:kern w:val="0"/>
          <w:sz w:val="24"/>
          <w:szCs w:val="20"/>
          <w:highlight w:val="none"/>
        </w:rPr>
      </w:pPr>
    </w:p>
    <w:p>
      <w:pPr>
        <w:widowControl/>
        <w:wordWrap w:val="0"/>
        <w:spacing w:beforeLines="100" w:afterLines="100" w:line="480" w:lineRule="exact"/>
        <w:jc w:val="center"/>
        <w:rPr>
          <w:rFonts w:hint="eastAsia" w:ascii="宋体" w:hAnsi="宋体" w:eastAsia="宋体" w:cs="宋体"/>
          <w:b/>
          <w:color w:val="auto"/>
          <w:kern w:val="0"/>
          <w:sz w:val="36"/>
          <w:szCs w:val="36"/>
          <w:highlight w:val="none"/>
        </w:rPr>
      </w:pPr>
    </w:p>
    <w:tbl>
      <w:tblPr>
        <w:tblStyle w:val="32"/>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此处请粘贴法定代表人身份证复印件</w:t>
            </w:r>
          </w:p>
          <w:p>
            <w:pPr>
              <w:widowControl/>
              <w:spacing w:line="480" w:lineRule="exact"/>
              <w:jc w:val="left"/>
              <w:rPr>
                <w:rFonts w:hint="eastAsia" w:ascii="宋体" w:hAnsi="宋体" w:eastAsia="宋体" w:cs="宋体"/>
                <w:color w:val="auto"/>
                <w:kern w:val="0"/>
                <w:sz w:val="24"/>
                <w:highlight w:val="none"/>
              </w:rPr>
            </w:pPr>
          </w:p>
          <w:p>
            <w:pPr>
              <w:widowControl/>
              <w:spacing w:line="480" w:lineRule="exact"/>
              <w:jc w:val="left"/>
              <w:rPr>
                <w:rFonts w:hint="eastAsia" w:ascii="宋体" w:hAnsi="宋体" w:eastAsia="宋体" w:cs="宋体"/>
                <w:color w:val="auto"/>
                <w:kern w:val="0"/>
                <w:sz w:val="24"/>
                <w:highlight w:val="none"/>
              </w:rPr>
            </w:pPr>
          </w:p>
        </w:tc>
      </w:tr>
    </w:tbl>
    <w:p>
      <w:pPr>
        <w:widowControl/>
        <w:wordWrap w:val="0"/>
        <w:spacing w:beforeLines="100" w:afterLines="100" w:line="480" w:lineRule="exact"/>
        <w:jc w:val="center"/>
        <w:rPr>
          <w:rFonts w:hint="eastAsia" w:ascii="宋体" w:hAnsi="宋体" w:eastAsia="宋体" w:cs="宋体"/>
          <w:b/>
          <w:color w:val="auto"/>
          <w:kern w:val="0"/>
          <w:sz w:val="24"/>
          <w:highlight w:val="none"/>
        </w:rPr>
      </w:pPr>
    </w:p>
    <w:p>
      <w:pPr>
        <w:widowControl/>
        <w:wordWrap w:val="0"/>
        <w:spacing w:beforeLines="100" w:afterLines="100" w:line="480" w:lineRule="exact"/>
        <w:jc w:val="center"/>
        <w:rPr>
          <w:rFonts w:hint="eastAsia" w:ascii="宋体" w:hAnsi="宋体" w:eastAsia="宋体" w:cs="宋体"/>
          <w:b/>
          <w:color w:val="auto"/>
          <w:kern w:val="0"/>
          <w:sz w:val="36"/>
          <w:szCs w:val="36"/>
          <w:highlight w:val="none"/>
        </w:rPr>
      </w:pPr>
    </w:p>
    <w:p>
      <w:pPr>
        <w:widowControl/>
        <w:wordWrap w:val="0"/>
        <w:spacing w:beforeLines="100" w:afterLines="100" w:line="480" w:lineRule="exact"/>
        <w:jc w:val="center"/>
        <w:rPr>
          <w:rFonts w:hint="eastAsia" w:ascii="宋体" w:hAnsi="宋体" w:eastAsia="宋体" w:cs="宋体"/>
          <w:b/>
          <w:color w:val="auto"/>
          <w:kern w:val="0"/>
          <w:sz w:val="36"/>
          <w:szCs w:val="36"/>
          <w:highlight w:val="none"/>
        </w:rPr>
      </w:pPr>
    </w:p>
    <w:p>
      <w:pPr>
        <w:widowControl/>
        <w:wordWrap w:val="0"/>
        <w:spacing w:line="480" w:lineRule="exact"/>
        <w:jc w:val="right"/>
        <w:rPr>
          <w:rFonts w:hint="eastAsia" w:ascii="宋体" w:hAnsi="宋体" w:eastAsia="宋体" w:cs="宋体"/>
          <w:color w:val="auto"/>
          <w:kern w:val="0"/>
          <w:sz w:val="24"/>
          <w:highlight w:val="none"/>
        </w:rPr>
      </w:pPr>
    </w:p>
    <w:p>
      <w:pPr>
        <w:widowControl/>
        <w:wordWrap w:val="0"/>
        <w:spacing w:line="480" w:lineRule="exact"/>
        <w:jc w:val="right"/>
        <w:rPr>
          <w:rFonts w:hint="eastAsia" w:ascii="宋体" w:hAnsi="宋体" w:eastAsia="宋体" w:cs="宋体"/>
          <w:color w:val="auto"/>
          <w:kern w:val="0"/>
          <w:sz w:val="24"/>
          <w:highlight w:val="none"/>
        </w:rPr>
      </w:pPr>
    </w:p>
    <w:p>
      <w:pPr>
        <w:widowControl/>
        <w:wordWrap w:val="0"/>
        <w:snapToGrid w:val="0"/>
        <w:spacing w:line="460" w:lineRule="exact"/>
        <w:ind w:firstLine="2760" w:firstLineChars="115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（全称并加盖公章）</w:t>
      </w:r>
    </w:p>
    <w:p>
      <w:pPr>
        <w:widowControl/>
        <w:wordWrap w:val="0"/>
        <w:spacing w:line="460" w:lineRule="exact"/>
        <w:ind w:left="3780" w:leftChars="1800"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年    月    日</w:t>
      </w:r>
    </w:p>
    <w:p>
      <w:pPr>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52"/>
        <w:rPr>
          <w:rFonts w:hint="eastAsia" w:ascii="宋体" w:hAnsi="宋体" w:eastAsia="宋体" w:cs="宋体"/>
          <w:color w:val="auto"/>
          <w:highlight w:val="none"/>
        </w:rPr>
      </w:pPr>
    </w:p>
    <w:p>
      <w:pPr>
        <w:widowControl/>
        <w:wordWrap w:val="0"/>
        <w:spacing w:line="460" w:lineRule="exact"/>
        <w:ind w:firstLine="365" w:firstLineChars="130"/>
        <w:jc w:val="left"/>
        <w:outlineLvl w:val="0"/>
        <w:rPr>
          <w:rFonts w:hint="eastAsia" w:ascii="宋体" w:hAnsi="宋体" w:eastAsia="宋体" w:cs="宋体"/>
          <w:b/>
          <w:color w:val="auto"/>
          <w:sz w:val="28"/>
          <w:highlight w:val="none"/>
        </w:rPr>
      </w:pPr>
      <w:bookmarkStart w:id="83" w:name="_Toc13976"/>
      <w:bookmarkStart w:id="84" w:name="_Toc30519"/>
      <w:r>
        <w:rPr>
          <w:rFonts w:hint="eastAsia" w:ascii="宋体" w:hAnsi="宋体" w:eastAsia="宋体" w:cs="宋体"/>
          <w:b/>
          <w:color w:val="auto"/>
          <w:sz w:val="28"/>
          <w:highlight w:val="none"/>
        </w:rPr>
        <w:t>附件8               法定代表人授权书（格式）</w:t>
      </w:r>
      <w:bookmarkEnd w:id="83"/>
      <w:bookmarkEnd w:id="84"/>
    </w:p>
    <w:p>
      <w:pPr>
        <w:widowControl/>
        <w:tabs>
          <w:tab w:val="left" w:pos="420"/>
          <w:tab w:val="left" w:pos="2160"/>
        </w:tabs>
        <w:wordWrap w:val="0"/>
        <w:spacing w:line="460" w:lineRule="exact"/>
        <w:ind w:firstLine="480" w:firstLineChars="200"/>
        <w:jc w:val="left"/>
        <w:rPr>
          <w:rFonts w:hint="eastAsia" w:ascii="宋体" w:hAnsi="宋体" w:eastAsia="宋体" w:cs="宋体"/>
          <w:color w:val="auto"/>
          <w:kern w:val="0"/>
          <w:sz w:val="24"/>
          <w:highlight w:val="none"/>
        </w:rPr>
      </w:pPr>
    </w:p>
    <w:p>
      <w:pPr>
        <w:widowControl/>
        <w:wordWrap w:val="0"/>
        <w:snapToGrid w:val="0"/>
        <w:spacing w:line="460" w:lineRule="exact"/>
        <w:jc w:val="left"/>
        <w:rPr>
          <w:rFonts w:hint="eastAsia" w:ascii="宋体" w:hAnsi="宋体" w:eastAsia="宋体" w:cs="宋体"/>
          <w:b/>
          <w:bCs/>
          <w:color w:val="auto"/>
          <w:kern w:val="0"/>
          <w:sz w:val="24"/>
          <w:highlight w:val="none"/>
        </w:rPr>
      </w:pPr>
      <w:r>
        <w:rPr>
          <w:rFonts w:hint="eastAsia" w:ascii="宋体" w:hAnsi="宋体" w:eastAsia="宋体" w:cs="宋体"/>
          <w:bCs/>
          <w:color w:val="auto"/>
          <w:kern w:val="0"/>
          <w:sz w:val="24"/>
          <w:highlight w:val="none"/>
        </w:rPr>
        <w:t>致：</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eastAsia="zh-CN"/>
        </w:rPr>
        <w:t>采购人</w:t>
      </w:r>
      <w:r>
        <w:rPr>
          <w:rFonts w:hint="eastAsia" w:ascii="宋体" w:hAnsi="宋体" w:eastAsia="宋体" w:cs="宋体"/>
          <w:color w:val="auto"/>
          <w:kern w:val="0"/>
          <w:sz w:val="24"/>
          <w:highlight w:val="none"/>
        </w:rPr>
        <w:t>名称）：</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我</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（姓名）系</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 xml:space="preserve">名称）的法定代表人，现委托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（姓名）为我方代理人。代理人根据本授权，以我方的名义参加</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代理人无转委托权。</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委托期限：</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职务：                      职务：</w:t>
      </w:r>
    </w:p>
    <w:tbl>
      <w:tblPr>
        <w:tblStyle w:val="32"/>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hint="eastAsia" w:ascii="宋体" w:hAnsi="宋体" w:eastAsia="宋体" w:cs="宋体"/>
                <w:color w:val="auto"/>
                <w:kern w:val="0"/>
                <w:sz w:val="24"/>
                <w:highlight w:val="none"/>
              </w:rPr>
            </w:pPr>
            <w:r>
              <w:rPr>
                <w:rFonts w:hint="eastAsia" w:ascii="宋体" w:hAnsi="宋体" w:eastAsia="宋体" w:cs="宋体"/>
                <w:bCs/>
                <w:color w:val="auto"/>
                <w:kern w:val="0"/>
                <w:sz w:val="24"/>
                <w:highlight w:val="none"/>
              </w:rPr>
              <w:t>此处请粘贴</w:t>
            </w:r>
            <w:r>
              <w:rPr>
                <w:rFonts w:hint="eastAsia" w:ascii="宋体" w:hAnsi="宋体" w:eastAsia="宋体" w:cs="宋体"/>
                <w:color w:val="auto"/>
                <w:kern w:val="0"/>
                <w:sz w:val="24"/>
                <w:highlight w:val="none"/>
              </w:rPr>
              <w:t>委托代理人</w:t>
            </w:r>
            <w:r>
              <w:rPr>
                <w:rFonts w:hint="eastAsia" w:ascii="宋体" w:hAnsi="宋体" w:eastAsia="宋体" w:cs="宋体"/>
                <w:bCs/>
                <w:color w:val="auto"/>
                <w:kern w:val="0"/>
                <w:sz w:val="24"/>
                <w:highlight w:val="none"/>
              </w:rPr>
              <w:t>身份证复印件</w:t>
            </w:r>
          </w:p>
        </w:tc>
      </w:tr>
    </w:tbl>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委托代理人身份证号码：</w:t>
      </w:r>
    </w:p>
    <w:p>
      <w:pPr>
        <w:widowControl/>
        <w:wordWrap w:val="0"/>
        <w:spacing w:line="460" w:lineRule="exact"/>
        <w:ind w:firstLine="4800" w:firstLineChars="2000"/>
        <w:jc w:val="left"/>
        <w:rPr>
          <w:rFonts w:hint="eastAsia" w:ascii="宋体" w:hAnsi="宋体" w:eastAsia="宋体" w:cs="宋体"/>
          <w:color w:val="auto"/>
          <w:kern w:val="0"/>
          <w:sz w:val="24"/>
          <w:highlight w:val="none"/>
        </w:rPr>
      </w:pPr>
    </w:p>
    <w:p>
      <w:pPr>
        <w:widowControl/>
        <w:wordWrap w:val="0"/>
        <w:spacing w:line="360" w:lineRule="auto"/>
        <w:jc w:val="center"/>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（全称并加盖公章）</w:t>
      </w:r>
    </w:p>
    <w:p>
      <w:pPr>
        <w:widowControl/>
        <w:wordWrap w:val="0"/>
        <w:spacing w:line="460" w:lineRule="exact"/>
        <w:ind w:firstLine="3840" w:firstLineChars="1600"/>
        <w:jc w:val="left"/>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rPr>
        <w:t>年    月    日</w:t>
      </w:r>
    </w:p>
    <w:p>
      <w:pPr>
        <w:widowControl/>
        <w:spacing w:line="360" w:lineRule="auto"/>
        <w:ind w:firstLine="7228" w:firstLineChars="2250"/>
        <w:jc w:val="left"/>
        <w:rPr>
          <w:rFonts w:hint="eastAsia" w:ascii="宋体" w:hAnsi="宋体" w:eastAsia="宋体" w:cs="宋体"/>
          <w:b/>
          <w:color w:val="auto"/>
          <w:kern w:val="0"/>
          <w:sz w:val="32"/>
          <w:szCs w:val="32"/>
          <w:highlight w:val="none"/>
        </w:rPr>
      </w:pPr>
    </w:p>
    <w:p>
      <w:pP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widowControl/>
        <w:snapToGrid w:val="0"/>
        <w:spacing w:before="156" w:after="156" w:line="360" w:lineRule="auto"/>
        <w:jc w:val="left"/>
        <w:rPr>
          <w:rFonts w:hint="eastAsia" w:ascii="宋体" w:hAnsi="宋体" w:eastAsia="宋体" w:cs="宋体"/>
          <w:b/>
          <w:color w:val="auto"/>
          <w:kern w:val="0"/>
          <w:sz w:val="24"/>
          <w:highlight w:val="none"/>
        </w:rPr>
      </w:pPr>
    </w:p>
    <w:p>
      <w:pPr>
        <w:widowControl/>
        <w:snapToGrid w:val="0"/>
        <w:spacing w:before="156" w:after="156" w:line="360" w:lineRule="auto"/>
        <w:jc w:val="left"/>
        <w:outlineLvl w:val="0"/>
        <w:rPr>
          <w:rFonts w:hint="eastAsia" w:ascii="宋体" w:hAnsi="宋体" w:eastAsia="宋体" w:cs="宋体"/>
          <w:b/>
          <w:color w:val="auto"/>
          <w:kern w:val="0"/>
          <w:sz w:val="24"/>
          <w:highlight w:val="none"/>
        </w:rPr>
      </w:pPr>
      <w:bookmarkStart w:id="85" w:name="_Toc24693"/>
      <w:bookmarkStart w:id="86" w:name="_Toc18105"/>
      <w:r>
        <w:rPr>
          <w:rFonts w:hint="eastAsia" w:ascii="宋体" w:hAnsi="宋体" w:eastAsia="宋体" w:cs="宋体"/>
          <w:b/>
          <w:color w:val="auto"/>
          <w:sz w:val="28"/>
          <w:highlight w:val="none"/>
        </w:rPr>
        <w:t>附件9               证明文件</w:t>
      </w:r>
      <w:bookmarkEnd w:id="85"/>
      <w:bookmarkEnd w:id="86"/>
    </w:p>
    <w:p>
      <w:pPr>
        <w:pStyle w:val="7"/>
        <w:spacing w:beforeAutospacing="0" w:afterAutospacing="0" w:line="480" w:lineRule="auto"/>
        <w:ind w:firstLine="537" w:firstLineChars="224"/>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9.1</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资格审查资料</w:t>
      </w:r>
    </w:p>
    <w:p>
      <w:pPr>
        <w:pStyle w:val="7"/>
        <w:spacing w:beforeAutospacing="0" w:afterAutospacing="0" w:line="480" w:lineRule="auto"/>
        <w:ind w:firstLine="537" w:firstLineChars="224"/>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9.2</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技术方案</w:t>
      </w:r>
    </w:p>
    <w:p>
      <w:pPr>
        <w:pStyle w:val="7"/>
        <w:spacing w:beforeAutospacing="0" w:afterAutospacing="0" w:line="480" w:lineRule="auto"/>
        <w:ind w:firstLine="537" w:firstLineChars="224"/>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9.3</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其他需要提供的证明材料</w:t>
      </w:r>
      <w:bookmarkStart w:id="87" w:name="_Toc17966"/>
    </w:p>
    <w:p>
      <w:pPr>
        <w:pStyle w:val="7"/>
        <w:spacing w:beforeAutospacing="0" w:afterAutospacing="0" w:line="480" w:lineRule="auto"/>
        <w:ind w:firstLine="537" w:firstLineChars="224"/>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4"/>
          <w:szCs w:val="24"/>
          <w:highlight w:val="none"/>
        </w:rPr>
        <w:t>9.</w:t>
      </w:r>
      <w:r>
        <w:rPr>
          <w:rFonts w:hint="eastAsia" w:ascii="宋体" w:hAnsi="宋体" w:eastAsia="宋体" w:cs="宋体"/>
          <w:bCs/>
          <w:color w:val="auto"/>
          <w:sz w:val="24"/>
          <w:szCs w:val="24"/>
          <w:highlight w:val="none"/>
          <w:lang w:val="en-US" w:eastAsia="zh-CN"/>
        </w:rPr>
        <w:t xml:space="preserve">4 </w:t>
      </w:r>
      <w:r>
        <w:rPr>
          <w:rFonts w:hint="eastAsia" w:ascii="宋体" w:hAnsi="宋体" w:eastAsia="宋体" w:cs="宋体"/>
          <w:bCs/>
          <w:color w:val="auto"/>
          <w:sz w:val="24"/>
          <w:szCs w:val="24"/>
          <w:highlight w:val="none"/>
        </w:rPr>
        <w:t>其他证明材料。</w:t>
      </w:r>
    </w:p>
    <w:p>
      <w:pPr>
        <w:pStyle w:val="7"/>
        <w:spacing w:beforeAutospacing="0" w:afterAutospacing="0" w:line="480" w:lineRule="auto"/>
        <w:ind w:firstLine="540" w:firstLineChars="224"/>
        <w:jc w:val="both"/>
        <w:rPr>
          <w:rFonts w:hint="eastAsia" w:ascii="宋体" w:hAnsi="宋体" w:eastAsia="宋体" w:cs="宋体"/>
          <w:b/>
          <w:bCs/>
          <w:color w:val="auto"/>
          <w:highlight w:val="none"/>
        </w:rPr>
      </w:pPr>
    </w:p>
    <w:p>
      <w:pPr>
        <w:rPr>
          <w:rFonts w:hint="eastAsia" w:ascii="宋体" w:hAnsi="宋体" w:eastAsia="宋体" w:cs="宋体"/>
          <w:b/>
          <w:bCs/>
          <w:color w:val="auto"/>
          <w:highlight w:val="none"/>
        </w:rPr>
      </w:pPr>
      <w:r>
        <w:rPr>
          <w:rFonts w:hint="eastAsia" w:ascii="宋体" w:hAnsi="宋体" w:eastAsia="宋体" w:cs="宋体"/>
          <w:b/>
          <w:bCs/>
          <w:color w:val="auto"/>
          <w:highlight w:val="none"/>
        </w:rPr>
        <w:br w:type="page"/>
      </w:r>
    </w:p>
    <w:p>
      <w:pPr>
        <w:widowControl/>
        <w:snapToGrid w:val="0"/>
        <w:spacing w:line="360" w:lineRule="auto"/>
        <w:jc w:val="center"/>
        <w:outlineLvl w:val="0"/>
        <w:rPr>
          <w:rFonts w:hint="eastAsia" w:ascii="宋体" w:hAnsi="宋体" w:eastAsia="宋体" w:cs="宋体"/>
          <w:b/>
          <w:color w:val="auto"/>
          <w:kern w:val="0"/>
          <w:sz w:val="28"/>
          <w:szCs w:val="28"/>
          <w:highlight w:val="none"/>
        </w:rPr>
      </w:pPr>
      <w:bookmarkStart w:id="88" w:name="_Toc13726"/>
      <w:bookmarkStart w:id="89" w:name="_Toc12888"/>
      <w:r>
        <w:rPr>
          <w:rFonts w:hint="eastAsia" w:ascii="宋体" w:hAnsi="宋体" w:eastAsia="宋体" w:cs="宋体"/>
          <w:b/>
          <w:color w:val="auto"/>
          <w:kern w:val="0"/>
          <w:sz w:val="28"/>
          <w:szCs w:val="28"/>
          <w:highlight w:val="none"/>
        </w:rPr>
        <w:t xml:space="preserve">附件10        </w:t>
      </w:r>
      <w:bookmarkEnd w:id="87"/>
      <w:r>
        <w:rPr>
          <w:rFonts w:hint="eastAsia" w:ascii="宋体" w:hAnsi="宋体" w:eastAsia="宋体" w:cs="宋体"/>
          <w:b/>
          <w:color w:val="auto"/>
          <w:kern w:val="0"/>
          <w:sz w:val="28"/>
          <w:szCs w:val="28"/>
          <w:highlight w:val="none"/>
        </w:rPr>
        <w:t>供 应 商 承 诺 书</w:t>
      </w:r>
      <w:r>
        <w:rPr>
          <w:rFonts w:hint="eastAsia" w:ascii="宋体" w:hAnsi="宋体" w:eastAsia="宋体" w:cs="宋体"/>
          <w:b/>
          <w:color w:val="auto"/>
          <w:kern w:val="0"/>
          <w:sz w:val="28"/>
          <w:szCs w:val="28"/>
          <w:highlight w:val="none"/>
          <w:lang w:val="en-US" w:eastAsia="zh-CN"/>
        </w:rPr>
        <w:t xml:space="preserve"> </w:t>
      </w:r>
      <w:r>
        <w:rPr>
          <w:rFonts w:hint="eastAsia" w:ascii="宋体" w:hAnsi="宋体" w:eastAsia="宋体" w:cs="宋体"/>
          <w:color w:val="auto"/>
          <w:kern w:val="0"/>
          <w:sz w:val="28"/>
          <w:szCs w:val="28"/>
          <w:highlight w:val="none"/>
        </w:rPr>
        <w:t>（格式）</w:t>
      </w:r>
      <w:bookmarkEnd w:id="88"/>
      <w:bookmarkEnd w:id="89"/>
    </w:p>
    <w:p>
      <w:pPr>
        <w:bidi w:val="0"/>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3、杜绝利用提供财物或给予其他不正当利益谋取</w:t>
      </w:r>
      <w:r>
        <w:rPr>
          <w:rFonts w:hint="eastAsia" w:ascii="宋体" w:hAnsi="宋体" w:eastAsia="宋体" w:cs="宋体"/>
          <w:sz w:val="24"/>
          <w:szCs w:val="24"/>
          <w:lang w:eastAsia="zh-CN"/>
        </w:rPr>
        <w:t>成交</w:t>
      </w:r>
      <w:r>
        <w:rPr>
          <w:rFonts w:hint="eastAsia" w:ascii="宋体" w:hAnsi="宋体" w:eastAsia="宋体" w:cs="宋体"/>
          <w:sz w:val="24"/>
          <w:szCs w:val="24"/>
        </w:rPr>
        <w:t>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5、不参与串标、围标或其他不正当竞争行为；杜绝以虚报资质、业绩或其他弄虚作假等方式骗取</w:t>
      </w:r>
      <w:r>
        <w:rPr>
          <w:rFonts w:hint="eastAsia" w:ascii="宋体" w:hAnsi="宋体" w:eastAsia="宋体" w:cs="宋体"/>
          <w:sz w:val="24"/>
          <w:szCs w:val="24"/>
          <w:lang w:eastAsia="zh-CN"/>
        </w:rPr>
        <w:t>成交</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7、严格按照采购、</w:t>
      </w:r>
      <w:r>
        <w:rPr>
          <w:rFonts w:hint="eastAsia" w:ascii="宋体" w:hAnsi="宋体" w:eastAsia="宋体" w:cs="宋体"/>
          <w:sz w:val="24"/>
          <w:szCs w:val="24"/>
          <w:lang w:eastAsia="zh-CN"/>
        </w:rPr>
        <w:t>响应性文件</w:t>
      </w:r>
      <w:r>
        <w:rPr>
          <w:rFonts w:hint="eastAsia" w:ascii="宋体" w:hAnsi="宋体" w:eastAsia="宋体" w:cs="宋体"/>
          <w:sz w:val="24"/>
          <w:szCs w:val="24"/>
        </w:rPr>
        <w:t>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r>
        <w:rPr>
          <w:rFonts w:hint="eastAsia" w:ascii="宋体" w:hAnsi="宋体" w:eastAsia="宋体" w:cs="宋体"/>
          <w:sz w:val="24"/>
          <w:szCs w:val="24"/>
          <w:lang w:eastAsia="zh-CN"/>
        </w:rPr>
        <w:t>供应商</w:t>
      </w:r>
      <w:r>
        <w:rPr>
          <w:rFonts w:hint="eastAsia" w:ascii="宋体" w:hAnsi="宋体" w:eastAsia="宋体" w:cs="宋体"/>
          <w:sz w:val="24"/>
          <w:szCs w:val="24"/>
        </w:rPr>
        <w:t>（</w:t>
      </w:r>
      <w:r>
        <w:rPr>
          <w:rFonts w:hint="eastAsia" w:ascii="宋体" w:hAnsi="宋体" w:eastAsia="宋体" w:cs="宋体"/>
          <w:sz w:val="24"/>
          <w:szCs w:val="24"/>
          <w:lang w:val="en-US" w:eastAsia="zh-CN"/>
        </w:rPr>
        <w:t>公司名称</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8"/>
          <w:szCs w:val="28"/>
        </w:rPr>
      </w:pPr>
      <w:r>
        <w:rPr>
          <w:rFonts w:hint="eastAsia" w:ascii="宋体" w:hAnsi="宋体" w:eastAsia="宋体" w:cs="宋体"/>
          <w:sz w:val="24"/>
          <w:szCs w:val="24"/>
        </w:rPr>
        <w:t>法定代表人或委托人（</w:t>
      </w:r>
      <w:r>
        <w:rPr>
          <w:rFonts w:hint="eastAsia" w:ascii="宋体" w:hAnsi="宋体" w:eastAsia="宋体" w:cs="宋体"/>
          <w:sz w:val="24"/>
          <w:szCs w:val="24"/>
          <w:lang w:val="en-US" w:eastAsia="zh-CN"/>
        </w:rPr>
        <w:t>签字或</w:t>
      </w:r>
      <w:r>
        <w:rPr>
          <w:rFonts w:hint="eastAsia" w:ascii="宋体" w:hAnsi="宋体" w:eastAsia="宋体" w:cs="宋体"/>
          <w:sz w:val="24"/>
          <w:szCs w:val="24"/>
          <w:lang w:eastAsia="zh-CN"/>
        </w:rPr>
        <w:t>盖章</w:t>
      </w:r>
      <w:r>
        <w:rPr>
          <w:rFonts w:hint="eastAsia" w:ascii="宋体" w:hAnsi="宋体" w:eastAsia="宋体" w:cs="宋体"/>
          <w:sz w:val="24"/>
          <w:szCs w:val="24"/>
        </w:rPr>
        <w:t>）：                   年   月   日</w:t>
      </w:r>
    </w:p>
    <w:p>
      <w:pPr>
        <w:widowControl/>
        <w:spacing w:line="360" w:lineRule="auto"/>
        <w:ind w:firstLine="4305" w:firstLineChars="2050"/>
        <w:jc w:val="left"/>
        <w:rPr>
          <w:rFonts w:hint="eastAsia" w:ascii="宋体" w:hAnsi="宋体" w:eastAsia="宋体" w:cs="宋体"/>
          <w:color w:val="auto"/>
          <w:kern w:val="0"/>
          <w:szCs w:val="21"/>
          <w:highlight w:val="none"/>
        </w:rPr>
      </w:pPr>
    </w:p>
    <w:p>
      <w:pPr>
        <w:pStyle w:val="30"/>
        <w:rPr>
          <w:rFonts w:hint="eastAsia" w:ascii="宋体" w:hAnsi="宋体" w:eastAsia="宋体" w:cs="宋体"/>
          <w:color w:val="auto"/>
          <w:kern w:val="0"/>
          <w:szCs w:val="21"/>
          <w:highlight w:val="none"/>
        </w:rPr>
      </w:pPr>
    </w:p>
    <w:p>
      <w:pPr>
        <w:pStyle w:val="31"/>
        <w:rPr>
          <w:rFonts w:hint="eastAsia" w:ascii="宋体" w:hAnsi="宋体" w:eastAsia="宋体" w:cs="宋体"/>
          <w:color w:val="auto"/>
          <w:kern w:val="0"/>
          <w:szCs w:val="21"/>
          <w:highlight w:val="none"/>
        </w:rPr>
      </w:pPr>
    </w:p>
    <w:p>
      <w:pPr>
        <w:rPr>
          <w:rFonts w:hint="eastAsia" w:ascii="宋体" w:hAnsi="宋体" w:eastAsia="宋体" w:cs="宋体"/>
        </w:rPr>
      </w:pPr>
    </w:p>
    <w:p>
      <w:pPr>
        <w:jc w:val="center"/>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bCs/>
          <w:color w:val="auto"/>
          <w:kern w:val="2"/>
          <w:sz w:val="28"/>
          <w:szCs w:val="18"/>
          <w:highlight w:val="none"/>
          <w:lang w:val="en-US" w:eastAsia="zh-CN" w:bidi="ar-SA"/>
        </w:rPr>
        <w:t>附件11     供应商信用承诺函（格式）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32"/>
          <w:szCs w:val="32"/>
        </w:rPr>
      </w:pPr>
      <w:r>
        <w:rPr>
          <w:rFonts w:hint="eastAsia" w:ascii="宋体" w:hAnsi="宋体" w:eastAsia="宋体" w:cs="宋体"/>
          <w:color w:val="auto"/>
          <w:sz w:val="24"/>
          <w:szCs w:val="24"/>
          <w:lang w:val="en-US" w:eastAsia="zh-CN"/>
        </w:rPr>
        <w:t>（四）有依法缴纳税收和社会保障资金的良好</w:t>
      </w:r>
      <w:r>
        <w:rPr>
          <w:rFonts w:hint="eastAsia" w:ascii="宋体" w:hAnsi="宋体" w:eastAsia="宋体" w:cs="宋体"/>
          <w:sz w:val="32"/>
          <w:szCs w:val="32"/>
          <w:lang w:val="en-US" w:eastAsia="zh-CN"/>
        </w:rPr>
        <w:t>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注：1.供应商须在投标（响应性）文件中按此模板提供承诺函，未提供视为未实质性响应招标文件要求，按无效投标（响应）处理。</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2.供应商的法定代表人或者授权代表的签字或盖章应真实、有效，如由授权代表签字或盖章的，应提供“法定代表人授权书”。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rPr>
      </w:pPr>
    </w:p>
    <w:p>
      <w:pPr>
        <w:rPr>
          <w:rFonts w:hint="eastAsia" w:ascii="宋体" w:hAnsi="宋体" w:eastAsia="宋体" w:cs="宋体"/>
        </w:rPr>
      </w:pPr>
    </w:p>
    <w:p>
      <w:pPr>
        <w:spacing w:line="360" w:lineRule="auto"/>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50"/>
        <w:rPr>
          <w:rFonts w:hint="eastAsia" w:ascii="宋体" w:hAnsi="宋体" w:eastAsia="宋体" w:cs="宋体"/>
        </w:rPr>
      </w:pPr>
    </w:p>
    <w:p>
      <w:pPr>
        <w:widowControl/>
        <w:snapToGrid w:val="0"/>
        <w:spacing w:line="360" w:lineRule="auto"/>
        <w:jc w:val="center"/>
        <w:outlineLvl w:val="0"/>
        <w:rPr>
          <w:rFonts w:hint="eastAsia" w:ascii="宋体" w:hAnsi="宋体" w:eastAsia="宋体" w:cs="宋体"/>
          <w:b/>
          <w:color w:val="auto"/>
          <w:kern w:val="0"/>
          <w:sz w:val="24"/>
          <w:highlight w:val="none"/>
        </w:rPr>
      </w:pPr>
      <w:bookmarkStart w:id="90" w:name="_Toc23394"/>
      <w:bookmarkStart w:id="91" w:name="_Toc25094"/>
      <w:r>
        <w:rPr>
          <w:rFonts w:hint="eastAsia" w:ascii="宋体" w:hAnsi="宋体" w:eastAsia="宋体" w:cs="宋体"/>
          <w:b/>
          <w:color w:val="auto"/>
          <w:kern w:val="0"/>
          <w:sz w:val="24"/>
          <w:highlight w:val="none"/>
          <w:lang w:eastAsia="zh-CN"/>
        </w:rPr>
        <w:t>供应商</w:t>
      </w:r>
      <w:r>
        <w:rPr>
          <w:rFonts w:hint="eastAsia" w:ascii="宋体" w:hAnsi="宋体" w:eastAsia="宋体" w:cs="宋体"/>
          <w:b/>
          <w:color w:val="auto"/>
          <w:kern w:val="0"/>
          <w:sz w:val="24"/>
          <w:highlight w:val="none"/>
        </w:rPr>
        <w:t>认为有必要的其他资料</w:t>
      </w:r>
      <w:bookmarkEnd w:id="90"/>
      <w:bookmarkEnd w:id="91"/>
    </w:p>
    <w:p>
      <w:pPr>
        <w:widowControl/>
        <w:spacing w:line="360" w:lineRule="auto"/>
        <w:ind w:firstLine="42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备注：</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应当仔细核对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文件中有关废标条款和评标标准，提供</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认为应当附加的其它内容，以充分证明其投标符合</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文件规定，并为评标提供充分依据。如果</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未能提供相关证明文件，将有可能导致废标或者无法得分。</w:t>
      </w: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both"/>
        <w:rPr>
          <w:rFonts w:hint="eastAsia" w:ascii="宋体" w:hAnsi="宋体" w:eastAsia="宋体" w:cs="宋体"/>
          <w:b/>
          <w:bCs/>
          <w:color w:val="auto"/>
          <w:sz w:val="28"/>
          <w:szCs w:val="28"/>
          <w:highlight w:val="none"/>
        </w:rPr>
      </w:pPr>
    </w:p>
    <w:sectPr>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0"/>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0"/>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rFonts w:hint="eastAsia" w:ascii="宋体" w:hAnsi="宋体" w:cs="宋体"/>
        <w:color w:val="auto"/>
        <w:szCs w:val="21"/>
        <w:highlight w:val="none"/>
        <w:shd w:val="clear" w:color="auto" w:fill="FFFFFF"/>
        <w:lang w:val="en-US" w:eastAsia="zh-CN"/>
      </w:rPr>
      <w:t>驻马店市中心医院IT运维监控管理系统采购项目</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rPr>
        <w:rFonts w:hint="eastAsia"/>
      </w:rPr>
    </w:pPr>
    <w:r>
      <w:rPr>
        <w:rFonts w:hint="eastAsia" w:ascii="宋体" w:hAnsi="宋体" w:cs="宋体"/>
        <w:color w:val="auto"/>
        <w:szCs w:val="21"/>
        <w:highlight w:val="none"/>
        <w:shd w:val="clear" w:color="auto" w:fill="FFFFFF"/>
        <w:lang w:val="en-US" w:eastAsia="zh-CN"/>
      </w:rPr>
      <w:t>驻马店市中心医院IT运维监控管理系统采购项目</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45858D46"/>
    <w:multiLevelType w:val="singleLevel"/>
    <w:tmpl w:val="45858D46"/>
    <w:lvl w:ilvl="0" w:tentative="0">
      <w:start w:val="4"/>
      <w:numFmt w:val="chineseCounting"/>
      <w:suff w:val="nothing"/>
      <w:lvlText w:val="%1、"/>
      <w:lvlJc w:val="left"/>
      <w:rPr>
        <w:rFonts w:hint="eastAsia"/>
      </w:rPr>
    </w:lvl>
  </w:abstractNum>
  <w:abstractNum w:abstractNumId="3">
    <w:nsid w:val="52A67D3E"/>
    <w:multiLevelType w:val="multilevel"/>
    <w:tmpl w:val="52A67D3E"/>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9B6410A"/>
    <w:multiLevelType w:val="singleLevel"/>
    <w:tmpl w:val="59B6410A"/>
    <w:lvl w:ilvl="0" w:tentative="0">
      <w:start w:val="1"/>
      <w:numFmt w:val="decimal"/>
      <w:suff w:val="nothing"/>
      <w:lvlText w:val="（%1）"/>
      <w:lvlJc w:val="left"/>
    </w:lvl>
  </w:abstractNum>
  <w:abstractNum w:abstractNumId="5">
    <w:nsid w:val="737118FD"/>
    <w:multiLevelType w:val="multilevel"/>
    <w:tmpl w:val="737118FD"/>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1ADF"/>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28E"/>
    <w:rsid w:val="00FF3BCD"/>
    <w:rsid w:val="00FF5B28"/>
    <w:rsid w:val="00FF7C18"/>
    <w:rsid w:val="01076050"/>
    <w:rsid w:val="010C3DC8"/>
    <w:rsid w:val="01525212"/>
    <w:rsid w:val="01537095"/>
    <w:rsid w:val="01564054"/>
    <w:rsid w:val="015C0A67"/>
    <w:rsid w:val="017E6D95"/>
    <w:rsid w:val="01C56903"/>
    <w:rsid w:val="01D715BE"/>
    <w:rsid w:val="01EB45BC"/>
    <w:rsid w:val="01FA63A5"/>
    <w:rsid w:val="02011C7D"/>
    <w:rsid w:val="02020F53"/>
    <w:rsid w:val="02035523"/>
    <w:rsid w:val="021C6E40"/>
    <w:rsid w:val="02222FF2"/>
    <w:rsid w:val="02384FF4"/>
    <w:rsid w:val="023F67A9"/>
    <w:rsid w:val="0247575A"/>
    <w:rsid w:val="025235B1"/>
    <w:rsid w:val="0262674D"/>
    <w:rsid w:val="02747B01"/>
    <w:rsid w:val="02890D36"/>
    <w:rsid w:val="02D92EF7"/>
    <w:rsid w:val="02DA4665"/>
    <w:rsid w:val="02F40325"/>
    <w:rsid w:val="02FA082F"/>
    <w:rsid w:val="031126C4"/>
    <w:rsid w:val="03475E56"/>
    <w:rsid w:val="035E4919"/>
    <w:rsid w:val="036A009A"/>
    <w:rsid w:val="03844805"/>
    <w:rsid w:val="03845791"/>
    <w:rsid w:val="03A011E9"/>
    <w:rsid w:val="03AE7F27"/>
    <w:rsid w:val="03BD2BCD"/>
    <w:rsid w:val="03CC058D"/>
    <w:rsid w:val="03E017D2"/>
    <w:rsid w:val="03F77068"/>
    <w:rsid w:val="04416C20"/>
    <w:rsid w:val="047968B1"/>
    <w:rsid w:val="04870542"/>
    <w:rsid w:val="04921BD5"/>
    <w:rsid w:val="049468D5"/>
    <w:rsid w:val="04B30F7A"/>
    <w:rsid w:val="04D119A3"/>
    <w:rsid w:val="04D637B7"/>
    <w:rsid w:val="051B7D1D"/>
    <w:rsid w:val="054C0111"/>
    <w:rsid w:val="05545DD3"/>
    <w:rsid w:val="056E2AD6"/>
    <w:rsid w:val="05806815"/>
    <w:rsid w:val="058251D3"/>
    <w:rsid w:val="058C28F1"/>
    <w:rsid w:val="05945CCE"/>
    <w:rsid w:val="059D05A4"/>
    <w:rsid w:val="059D5E17"/>
    <w:rsid w:val="05AB0A28"/>
    <w:rsid w:val="05AB0F81"/>
    <w:rsid w:val="05B93D6B"/>
    <w:rsid w:val="05D43BAD"/>
    <w:rsid w:val="05D53002"/>
    <w:rsid w:val="05D75738"/>
    <w:rsid w:val="05F17CC7"/>
    <w:rsid w:val="061E7D14"/>
    <w:rsid w:val="06446B44"/>
    <w:rsid w:val="06560AED"/>
    <w:rsid w:val="066469C9"/>
    <w:rsid w:val="066646A1"/>
    <w:rsid w:val="0683550F"/>
    <w:rsid w:val="06856A47"/>
    <w:rsid w:val="06983B20"/>
    <w:rsid w:val="069A3B66"/>
    <w:rsid w:val="06B31420"/>
    <w:rsid w:val="06B91765"/>
    <w:rsid w:val="06CA2AD2"/>
    <w:rsid w:val="06CE3071"/>
    <w:rsid w:val="06D33DBA"/>
    <w:rsid w:val="06E13F9F"/>
    <w:rsid w:val="06FB0AC5"/>
    <w:rsid w:val="070D2D5D"/>
    <w:rsid w:val="07111B8D"/>
    <w:rsid w:val="074A5B92"/>
    <w:rsid w:val="075D0147"/>
    <w:rsid w:val="075E3193"/>
    <w:rsid w:val="078E18EB"/>
    <w:rsid w:val="07B10EA5"/>
    <w:rsid w:val="07CE3FA1"/>
    <w:rsid w:val="07D4164E"/>
    <w:rsid w:val="07EC2ECB"/>
    <w:rsid w:val="07FE66CB"/>
    <w:rsid w:val="080B4D47"/>
    <w:rsid w:val="08321601"/>
    <w:rsid w:val="08326375"/>
    <w:rsid w:val="083D5C91"/>
    <w:rsid w:val="0847191F"/>
    <w:rsid w:val="08591DC3"/>
    <w:rsid w:val="08695E80"/>
    <w:rsid w:val="087C4541"/>
    <w:rsid w:val="087E5595"/>
    <w:rsid w:val="08BC0A60"/>
    <w:rsid w:val="08C52D6F"/>
    <w:rsid w:val="08CB0CA3"/>
    <w:rsid w:val="08EF0201"/>
    <w:rsid w:val="08F41DE8"/>
    <w:rsid w:val="09737462"/>
    <w:rsid w:val="099156C3"/>
    <w:rsid w:val="09A53F39"/>
    <w:rsid w:val="09A60E13"/>
    <w:rsid w:val="09A82D92"/>
    <w:rsid w:val="09AB2883"/>
    <w:rsid w:val="09D206F0"/>
    <w:rsid w:val="0A321AC2"/>
    <w:rsid w:val="0A343D4E"/>
    <w:rsid w:val="0A3E6D2E"/>
    <w:rsid w:val="0A8455AD"/>
    <w:rsid w:val="0A951165"/>
    <w:rsid w:val="0AD13A85"/>
    <w:rsid w:val="0AE0655C"/>
    <w:rsid w:val="0B091954"/>
    <w:rsid w:val="0B637D77"/>
    <w:rsid w:val="0B7006C4"/>
    <w:rsid w:val="0B726646"/>
    <w:rsid w:val="0BAC324F"/>
    <w:rsid w:val="0BC11EE9"/>
    <w:rsid w:val="0BF16C73"/>
    <w:rsid w:val="0BF72F1E"/>
    <w:rsid w:val="0C3152C1"/>
    <w:rsid w:val="0C3957A5"/>
    <w:rsid w:val="0C606A38"/>
    <w:rsid w:val="0C626DA7"/>
    <w:rsid w:val="0C6876AE"/>
    <w:rsid w:val="0C71390F"/>
    <w:rsid w:val="0C720EC8"/>
    <w:rsid w:val="0C942042"/>
    <w:rsid w:val="0C9D50DC"/>
    <w:rsid w:val="0CA5271D"/>
    <w:rsid w:val="0CAC4D10"/>
    <w:rsid w:val="0CC72121"/>
    <w:rsid w:val="0CEE5A21"/>
    <w:rsid w:val="0D05268E"/>
    <w:rsid w:val="0D0646E7"/>
    <w:rsid w:val="0D0C38CA"/>
    <w:rsid w:val="0D206810"/>
    <w:rsid w:val="0D35493D"/>
    <w:rsid w:val="0D682A90"/>
    <w:rsid w:val="0D735465"/>
    <w:rsid w:val="0DC577E0"/>
    <w:rsid w:val="0DCA6984"/>
    <w:rsid w:val="0DDC6319"/>
    <w:rsid w:val="0E0C0D4C"/>
    <w:rsid w:val="0E115DA1"/>
    <w:rsid w:val="0E162D6D"/>
    <w:rsid w:val="0E541CA2"/>
    <w:rsid w:val="0E594756"/>
    <w:rsid w:val="0E95596D"/>
    <w:rsid w:val="0EAE6205"/>
    <w:rsid w:val="0EAE6579"/>
    <w:rsid w:val="0EAF71BF"/>
    <w:rsid w:val="0ECE6257"/>
    <w:rsid w:val="0EE4129D"/>
    <w:rsid w:val="0F171032"/>
    <w:rsid w:val="0F335E69"/>
    <w:rsid w:val="0F372614"/>
    <w:rsid w:val="0F3A0931"/>
    <w:rsid w:val="0F3D59C9"/>
    <w:rsid w:val="0F516D5A"/>
    <w:rsid w:val="0F565B36"/>
    <w:rsid w:val="0F684933"/>
    <w:rsid w:val="0F821E7D"/>
    <w:rsid w:val="0FCA42ED"/>
    <w:rsid w:val="0FE7592C"/>
    <w:rsid w:val="0FFD20F0"/>
    <w:rsid w:val="0FFD2EA4"/>
    <w:rsid w:val="103E6E57"/>
    <w:rsid w:val="1041497B"/>
    <w:rsid w:val="10425FF6"/>
    <w:rsid w:val="106612B1"/>
    <w:rsid w:val="109010E6"/>
    <w:rsid w:val="10B271F4"/>
    <w:rsid w:val="10B537CC"/>
    <w:rsid w:val="10C8275C"/>
    <w:rsid w:val="10C86D3B"/>
    <w:rsid w:val="10E03539"/>
    <w:rsid w:val="10E82D1F"/>
    <w:rsid w:val="10EE5C94"/>
    <w:rsid w:val="10F5757C"/>
    <w:rsid w:val="110F1949"/>
    <w:rsid w:val="113329E7"/>
    <w:rsid w:val="113F294C"/>
    <w:rsid w:val="11437C85"/>
    <w:rsid w:val="11575085"/>
    <w:rsid w:val="1166372C"/>
    <w:rsid w:val="11700D10"/>
    <w:rsid w:val="1178125A"/>
    <w:rsid w:val="118441E0"/>
    <w:rsid w:val="1196056D"/>
    <w:rsid w:val="11D34654"/>
    <w:rsid w:val="12010480"/>
    <w:rsid w:val="120E707F"/>
    <w:rsid w:val="121D0051"/>
    <w:rsid w:val="12413D84"/>
    <w:rsid w:val="127A7D1C"/>
    <w:rsid w:val="12836D8B"/>
    <w:rsid w:val="12AB0349"/>
    <w:rsid w:val="12B66520"/>
    <w:rsid w:val="12CD57F1"/>
    <w:rsid w:val="12CE7AFA"/>
    <w:rsid w:val="12D67466"/>
    <w:rsid w:val="12DC02A0"/>
    <w:rsid w:val="13036052"/>
    <w:rsid w:val="13272A5D"/>
    <w:rsid w:val="13493108"/>
    <w:rsid w:val="13733928"/>
    <w:rsid w:val="13920D68"/>
    <w:rsid w:val="139C16C9"/>
    <w:rsid w:val="13B63CE1"/>
    <w:rsid w:val="13BC6684"/>
    <w:rsid w:val="13C72B3A"/>
    <w:rsid w:val="13DD7ADC"/>
    <w:rsid w:val="13DF575E"/>
    <w:rsid w:val="13E470BD"/>
    <w:rsid w:val="13EE3A98"/>
    <w:rsid w:val="14072FCF"/>
    <w:rsid w:val="142123F7"/>
    <w:rsid w:val="142A11D8"/>
    <w:rsid w:val="144B544C"/>
    <w:rsid w:val="145B7B45"/>
    <w:rsid w:val="14717443"/>
    <w:rsid w:val="148D52E3"/>
    <w:rsid w:val="14992B90"/>
    <w:rsid w:val="14AF1856"/>
    <w:rsid w:val="14AF19A3"/>
    <w:rsid w:val="14B53957"/>
    <w:rsid w:val="14C53ECE"/>
    <w:rsid w:val="14CF6CB0"/>
    <w:rsid w:val="14D507B4"/>
    <w:rsid w:val="14E002E6"/>
    <w:rsid w:val="14FC36BD"/>
    <w:rsid w:val="14FF5EA7"/>
    <w:rsid w:val="151E3A0F"/>
    <w:rsid w:val="15477903"/>
    <w:rsid w:val="1557566D"/>
    <w:rsid w:val="15811F1B"/>
    <w:rsid w:val="15A30135"/>
    <w:rsid w:val="15A34015"/>
    <w:rsid w:val="15BB487B"/>
    <w:rsid w:val="15CE086D"/>
    <w:rsid w:val="15E2236F"/>
    <w:rsid w:val="161D09ED"/>
    <w:rsid w:val="162323A3"/>
    <w:rsid w:val="162F30B1"/>
    <w:rsid w:val="16510F12"/>
    <w:rsid w:val="166448F9"/>
    <w:rsid w:val="1677211D"/>
    <w:rsid w:val="167954F9"/>
    <w:rsid w:val="169F7296"/>
    <w:rsid w:val="16A060BA"/>
    <w:rsid w:val="16A57EAF"/>
    <w:rsid w:val="16AC6E3F"/>
    <w:rsid w:val="16C872D5"/>
    <w:rsid w:val="16D54FA3"/>
    <w:rsid w:val="16D84D9F"/>
    <w:rsid w:val="16E94D3E"/>
    <w:rsid w:val="170D06E0"/>
    <w:rsid w:val="17332185"/>
    <w:rsid w:val="17475951"/>
    <w:rsid w:val="179F2E61"/>
    <w:rsid w:val="17BC6C9F"/>
    <w:rsid w:val="17BE19D3"/>
    <w:rsid w:val="17C227C0"/>
    <w:rsid w:val="17EE5BFF"/>
    <w:rsid w:val="18097740"/>
    <w:rsid w:val="185D3C42"/>
    <w:rsid w:val="185F38AF"/>
    <w:rsid w:val="188F0211"/>
    <w:rsid w:val="18AD1BEB"/>
    <w:rsid w:val="18B3004A"/>
    <w:rsid w:val="18B96080"/>
    <w:rsid w:val="18DB2CD8"/>
    <w:rsid w:val="18F67868"/>
    <w:rsid w:val="190B2D88"/>
    <w:rsid w:val="190E6B63"/>
    <w:rsid w:val="19123928"/>
    <w:rsid w:val="19194264"/>
    <w:rsid w:val="19283048"/>
    <w:rsid w:val="19420786"/>
    <w:rsid w:val="19427EC0"/>
    <w:rsid w:val="195711D7"/>
    <w:rsid w:val="195D2A3F"/>
    <w:rsid w:val="198310E9"/>
    <w:rsid w:val="198D747A"/>
    <w:rsid w:val="19A15638"/>
    <w:rsid w:val="1A073B05"/>
    <w:rsid w:val="1A125525"/>
    <w:rsid w:val="1A5F4342"/>
    <w:rsid w:val="1A616E2C"/>
    <w:rsid w:val="1A76530F"/>
    <w:rsid w:val="1A7F369B"/>
    <w:rsid w:val="1A8C5D82"/>
    <w:rsid w:val="1A8D5F5F"/>
    <w:rsid w:val="1A994988"/>
    <w:rsid w:val="1A9B546C"/>
    <w:rsid w:val="1AA3511F"/>
    <w:rsid w:val="1AAE3B54"/>
    <w:rsid w:val="1AC10987"/>
    <w:rsid w:val="1AF423FA"/>
    <w:rsid w:val="1B0C5B32"/>
    <w:rsid w:val="1B0D3E82"/>
    <w:rsid w:val="1B1652AB"/>
    <w:rsid w:val="1B181CD5"/>
    <w:rsid w:val="1B265306"/>
    <w:rsid w:val="1B4F2450"/>
    <w:rsid w:val="1B530868"/>
    <w:rsid w:val="1B8C18B7"/>
    <w:rsid w:val="1BB73AE1"/>
    <w:rsid w:val="1BDA6D68"/>
    <w:rsid w:val="1BF14125"/>
    <w:rsid w:val="1C555978"/>
    <w:rsid w:val="1C6554A1"/>
    <w:rsid w:val="1C7971B7"/>
    <w:rsid w:val="1C917D91"/>
    <w:rsid w:val="1CD402EC"/>
    <w:rsid w:val="1CED16EF"/>
    <w:rsid w:val="1CF02333"/>
    <w:rsid w:val="1D0C33A2"/>
    <w:rsid w:val="1D113E6E"/>
    <w:rsid w:val="1D114E5E"/>
    <w:rsid w:val="1D1F0050"/>
    <w:rsid w:val="1D2222DC"/>
    <w:rsid w:val="1D525097"/>
    <w:rsid w:val="1D5B3CDE"/>
    <w:rsid w:val="1D6E2950"/>
    <w:rsid w:val="1D98209B"/>
    <w:rsid w:val="1DA23746"/>
    <w:rsid w:val="1DAA14B9"/>
    <w:rsid w:val="1DD04513"/>
    <w:rsid w:val="1DDD2BCB"/>
    <w:rsid w:val="1E0345E3"/>
    <w:rsid w:val="1E067C30"/>
    <w:rsid w:val="1E656063"/>
    <w:rsid w:val="1E6B06A5"/>
    <w:rsid w:val="1E7F7D9E"/>
    <w:rsid w:val="1E840DA4"/>
    <w:rsid w:val="1EA5444C"/>
    <w:rsid w:val="1EB350EF"/>
    <w:rsid w:val="1EB91EFA"/>
    <w:rsid w:val="1EC21749"/>
    <w:rsid w:val="1EEB7C4E"/>
    <w:rsid w:val="1F072441"/>
    <w:rsid w:val="1F171B83"/>
    <w:rsid w:val="1F2D491A"/>
    <w:rsid w:val="1F7369C7"/>
    <w:rsid w:val="1F94547B"/>
    <w:rsid w:val="1FAF308C"/>
    <w:rsid w:val="1FB64FF9"/>
    <w:rsid w:val="1FC11109"/>
    <w:rsid w:val="1FC97167"/>
    <w:rsid w:val="1FEF08C8"/>
    <w:rsid w:val="1FF72E6A"/>
    <w:rsid w:val="201B3ED4"/>
    <w:rsid w:val="20310B02"/>
    <w:rsid w:val="206F0406"/>
    <w:rsid w:val="20784063"/>
    <w:rsid w:val="207E346A"/>
    <w:rsid w:val="208E12C3"/>
    <w:rsid w:val="209502A3"/>
    <w:rsid w:val="20F75336"/>
    <w:rsid w:val="2100305C"/>
    <w:rsid w:val="210F579E"/>
    <w:rsid w:val="212550B5"/>
    <w:rsid w:val="213042A1"/>
    <w:rsid w:val="21592B62"/>
    <w:rsid w:val="2172049B"/>
    <w:rsid w:val="21747CD2"/>
    <w:rsid w:val="218D482A"/>
    <w:rsid w:val="219263AA"/>
    <w:rsid w:val="219E5782"/>
    <w:rsid w:val="21E72B0B"/>
    <w:rsid w:val="221F2D96"/>
    <w:rsid w:val="22246DB1"/>
    <w:rsid w:val="22440067"/>
    <w:rsid w:val="225A6017"/>
    <w:rsid w:val="22631AF5"/>
    <w:rsid w:val="227A5532"/>
    <w:rsid w:val="22843A03"/>
    <w:rsid w:val="228E5C2C"/>
    <w:rsid w:val="22934D82"/>
    <w:rsid w:val="22A338AB"/>
    <w:rsid w:val="22AD37A2"/>
    <w:rsid w:val="22B31E8A"/>
    <w:rsid w:val="22C05285"/>
    <w:rsid w:val="22C735BD"/>
    <w:rsid w:val="22F06957"/>
    <w:rsid w:val="23122833"/>
    <w:rsid w:val="231D4917"/>
    <w:rsid w:val="23223458"/>
    <w:rsid w:val="23225D32"/>
    <w:rsid w:val="23357BE6"/>
    <w:rsid w:val="2342574E"/>
    <w:rsid w:val="2377331D"/>
    <w:rsid w:val="237D43DE"/>
    <w:rsid w:val="23940114"/>
    <w:rsid w:val="23B57016"/>
    <w:rsid w:val="23D4764B"/>
    <w:rsid w:val="23EC3718"/>
    <w:rsid w:val="23FC7B0B"/>
    <w:rsid w:val="24044EF2"/>
    <w:rsid w:val="2407139D"/>
    <w:rsid w:val="240B04F4"/>
    <w:rsid w:val="242A0646"/>
    <w:rsid w:val="2435301D"/>
    <w:rsid w:val="243D6E1A"/>
    <w:rsid w:val="245E07C6"/>
    <w:rsid w:val="24607F91"/>
    <w:rsid w:val="246C581B"/>
    <w:rsid w:val="247C52A2"/>
    <w:rsid w:val="24CC106B"/>
    <w:rsid w:val="24D00598"/>
    <w:rsid w:val="24D725E9"/>
    <w:rsid w:val="25045F70"/>
    <w:rsid w:val="250474F1"/>
    <w:rsid w:val="25056E93"/>
    <w:rsid w:val="25092EBA"/>
    <w:rsid w:val="25241020"/>
    <w:rsid w:val="25562731"/>
    <w:rsid w:val="257572C3"/>
    <w:rsid w:val="25790E85"/>
    <w:rsid w:val="25972C60"/>
    <w:rsid w:val="25974C6F"/>
    <w:rsid w:val="259D1676"/>
    <w:rsid w:val="25A353EB"/>
    <w:rsid w:val="25A62FB3"/>
    <w:rsid w:val="25B87B65"/>
    <w:rsid w:val="25CB78C3"/>
    <w:rsid w:val="25D54390"/>
    <w:rsid w:val="261879A7"/>
    <w:rsid w:val="261A071C"/>
    <w:rsid w:val="26243349"/>
    <w:rsid w:val="26355556"/>
    <w:rsid w:val="264B0BA4"/>
    <w:rsid w:val="268C5256"/>
    <w:rsid w:val="268E455B"/>
    <w:rsid w:val="26912B30"/>
    <w:rsid w:val="269772F0"/>
    <w:rsid w:val="26997893"/>
    <w:rsid w:val="26A30712"/>
    <w:rsid w:val="26A526DC"/>
    <w:rsid w:val="26AC0C27"/>
    <w:rsid w:val="26C807A6"/>
    <w:rsid w:val="26D1527F"/>
    <w:rsid w:val="26DB67BA"/>
    <w:rsid w:val="26E311CD"/>
    <w:rsid w:val="26EF24ED"/>
    <w:rsid w:val="26F1408A"/>
    <w:rsid w:val="26F96584"/>
    <w:rsid w:val="27015370"/>
    <w:rsid w:val="270B421F"/>
    <w:rsid w:val="274E2228"/>
    <w:rsid w:val="27517A93"/>
    <w:rsid w:val="275E53AF"/>
    <w:rsid w:val="276658E8"/>
    <w:rsid w:val="277E30D2"/>
    <w:rsid w:val="27803F2A"/>
    <w:rsid w:val="27A34941"/>
    <w:rsid w:val="27DE38C3"/>
    <w:rsid w:val="27EE3A7B"/>
    <w:rsid w:val="283C23DF"/>
    <w:rsid w:val="283D69F1"/>
    <w:rsid w:val="284C16F5"/>
    <w:rsid w:val="28520641"/>
    <w:rsid w:val="28570AB5"/>
    <w:rsid w:val="28622C36"/>
    <w:rsid w:val="28B001A2"/>
    <w:rsid w:val="28C2534B"/>
    <w:rsid w:val="28C5525A"/>
    <w:rsid w:val="28D14B96"/>
    <w:rsid w:val="29020C46"/>
    <w:rsid w:val="290240C7"/>
    <w:rsid w:val="291A2B97"/>
    <w:rsid w:val="29274EE0"/>
    <w:rsid w:val="2969197F"/>
    <w:rsid w:val="29746E87"/>
    <w:rsid w:val="297C03C2"/>
    <w:rsid w:val="299566CF"/>
    <w:rsid w:val="299573AB"/>
    <w:rsid w:val="29BE5BD0"/>
    <w:rsid w:val="29C01572"/>
    <w:rsid w:val="29CA4207"/>
    <w:rsid w:val="29E74CE2"/>
    <w:rsid w:val="2A241B69"/>
    <w:rsid w:val="2A306A36"/>
    <w:rsid w:val="2A3873C3"/>
    <w:rsid w:val="2A5372C6"/>
    <w:rsid w:val="2A5B03D8"/>
    <w:rsid w:val="2A6F6D07"/>
    <w:rsid w:val="2A882500"/>
    <w:rsid w:val="2AB63ABC"/>
    <w:rsid w:val="2AB63D0A"/>
    <w:rsid w:val="2B003D00"/>
    <w:rsid w:val="2B015402"/>
    <w:rsid w:val="2B074D5E"/>
    <w:rsid w:val="2B100BA9"/>
    <w:rsid w:val="2B1B5825"/>
    <w:rsid w:val="2B1E3AFC"/>
    <w:rsid w:val="2B8D373E"/>
    <w:rsid w:val="2B9E4F56"/>
    <w:rsid w:val="2BA74800"/>
    <w:rsid w:val="2BDB5A88"/>
    <w:rsid w:val="2BE91C37"/>
    <w:rsid w:val="2BEC3F72"/>
    <w:rsid w:val="2BEF17F2"/>
    <w:rsid w:val="2C083572"/>
    <w:rsid w:val="2C185F94"/>
    <w:rsid w:val="2C1F1AC4"/>
    <w:rsid w:val="2C2E71FC"/>
    <w:rsid w:val="2C3F3A41"/>
    <w:rsid w:val="2C4431C4"/>
    <w:rsid w:val="2C5352DD"/>
    <w:rsid w:val="2C62059F"/>
    <w:rsid w:val="2C6634FA"/>
    <w:rsid w:val="2CAC022C"/>
    <w:rsid w:val="2CC11807"/>
    <w:rsid w:val="2CF16074"/>
    <w:rsid w:val="2CF81D1B"/>
    <w:rsid w:val="2D350E74"/>
    <w:rsid w:val="2D3F2453"/>
    <w:rsid w:val="2D402CDE"/>
    <w:rsid w:val="2D835174"/>
    <w:rsid w:val="2D9331F9"/>
    <w:rsid w:val="2DD90B7B"/>
    <w:rsid w:val="2DDD3FC1"/>
    <w:rsid w:val="2DF701D8"/>
    <w:rsid w:val="2DF970A1"/>
    <w:rsid w:val="2E085834"/>
    <w:rsid w:val="2E1034F8"/>
    <w:rsid w:val="2E120D8E"/>
    <w:rsid w:val="2E443652"/>
    <w:rsid w:val="2E505773"/>
    <w:rsid w:val="2E742F70"/>
    <w:rsid w:val="2E9A689E"/>
    <w:rsid w:val="2EDC2A13"/>
    <w:rsid w:val="2EFD7DB9"/>
    <w:rsid w:val="2F1A081D"/>
    <w:rsid w:val="2F1E3DC0"/>
    <w:rsid w:val="2F2D326E"/>
    <w:rsid w:val="2F3112DE"/>
    <w:rsid w:val="2F3B6922"/>
    <w:rsid w:val="2F3D7B25"/>
    <w:rsid w:val="2F506C6D"/>
    <w:rsid w:val="2F512253"/>
    <w:rsid w:val="2F51291F"/>
    <w:rsid w:val="2F55758A"/>
    <w:rsid w:val="2F7962F8"/>
    <w:rsid w:val="2F7F15AE"/>
    <w:rsid w:val="2FA54796"/>
    <w:rsid w:val="2FA674E2"/>
    <w:rsid w:val="2FEE7D26"/>
    <w:rsid w:val="2FFE7D49"/>
    <w:rsid w:val="3002294D"/>
    <w:rsid w:val="3011153D"/>
    <w:rsid w:val="30142680"/>
    <w:rsid w:val="302A11B1"/>
    <w:rsid w:val="302A5C42"/>
    <w:rsid w:val="30662043"/>
    <w:rsid w:val="309537C1"/>
    <w:rsid w:val="30B8125D"/>
    <w:rsid w:val="30BF439A"/>
    <w:rsid w:val="30C07A16"/>
    <w:rsid w:val="30CF6A37"/>
    <w:rsid w:val="30D250CF"/>
    <w:rsid w:val="31002970"/>
    <w:rsid w:val="311016AD"/>
    <w:rsid w:val="3136622A"/>
    <w:rsid w:val="3139422E"/>
    <w:rsid w:val="31496359"/>
    <w:rsid w:val="314D19A6"/>
    <w:rsid w:val="316177A4"/>
    <w:rsid w:val="31700E4B"/>
    <w:rsid w:val="3172683C"/>
    <w:rsid w:val="31A359FC"/>
    <w:rsid w:val="31AD0D61"/>
    <w:rsid w:val="31CD73BD"/>
    <w:rsid w:val="31D66571"/>
    <w:rsid w:val="31DB4220"/>
    <w:rsid w:val="31DC56CD"/>
    <w:rsid w:val="31E63B94"/>
    <w:rsid w:val="31F27AF7"/>
    <w:rsid w:val="32176602"/>
    <w:rsid w:val="321C4663"/>
    <w:rsid w:val="322A7699"/>
    <w:rsid w:val="322B25C6"/>
    <w:rsid w:val="32422E70"/>
    <w:rsid w:val="325E56C6"/>
    <w:rsid w:val="3275698A"/>
    <w:rsid w:val="32A93829"/>
    <w:rsid w:val="32B943EC"/>
    <w:rsid w:val="32DC63A0"/>
    <w:rsid w:val="32E429C1"/>
    <w:rsid w:val="330503EE"/>
    <w:rsid w:val="33246FD7"/>
    <w:rsid w:val="334A3B2A"/>
    <w:rsid w:val="3365592E"/>
    <w:rsid w:val="336A31F3"/>
    <w:rsid w:val="336F6533"/>
    <w:rsid w:val="337E5E2F"/>
    <w:rsid w:val="3384610D"/>
    <w:rsid w:val="33AA5979"/>
    <w:rsid w:val="33C03E90"/>
    <w:rsid w:val="33C96649"/>
    <w:rsid w:val="33CC3D88"/>
    <w:rsid w:val="33DD0306"/>
    <w:rsid w:val="33FD722F"/>
    <w:rsid w:val="3400362D"/>
    <w:rsid w:val="340B09C5"/>
    <w:rsid w:val="341E4CAB"/>
    <w:rsid w:val="34584EE2"/>
    <w:rsid w:val="347D373F"/>
    <w:rsid w:val="34922A93"/>
    <w:rsid w:val="34956481"/>
    <w:rsid w:val="34A35871"/>
    <w:rsid w:val="34BF2B72"/>
    <w:rsid w:val="34C06C9D"/>
    <w:rsid w:val="34DF24AE"/>
    <w:rsid w:val="3512281F"/>
    <w:rsid w:val="351C4931"/>
    <w:rsid w:val="351C4EAC"/>
    <w:rsid w:val="351D4C26"/>
    <w:rsid w:val="352E7D40"/>
    <w:rsid w:val="35361A77"/>
    <w:rsid w:val="35461A22"/>
    <w:rsid w:val="35483CC9"/>
    <w:rsid w:val="35A815CB"/>
    <w:rsid w:val="35AA1B9C"/>
    <w:rsid w:val="35C96809"/>
    <w:rsid w:val="35DB09A6"/>
    <w:rsid w:val="35EE389B"/>
    <w:rsid w:val="36080591"/>
    <w:rsid w:val="3609472F"/>
    <w:rsid w:val="368B22F2"/>
    <w:rsid w:val="369B4CF0"/>
    <w:rsid w:val="36AA33F6"/>
    <w:rsid w:val="36D62629"/>
    <w:rsid w:val="36D76172"/>
    <w:rsid w:val="36D84407"/>
    <w:rsid w:val="36E40CF9"/>
    <w:rsid w:val="36E833BB"/>
    <w:rsid w:val="36EB1E1B"/>
    <w:rsid w:val="36F17F0D"/>
    <w:rsid w:val="36FA4102"/>
    <w:rsid w:val="3735197D"/>
    <w:rsid w:val="373756A2"/>
    <w:rsid w:val="375E0DA6"/>
    <w:rsid w:val="378B61A6"/>
    <w:rsid w:val="37B90F0B"/>
    <w:rsid w:val="37CD3F98"/>
    <w:rsid w:val="37DF75BA"/>
    <w:rsid w:val="37E148E2"/>
    <w:rsid w:val="37F848EE"/>
    <w:rsid w:val="38304889"/>
    <w:rsid w:val="38382675"/>
    <w:rsid w:val="383B7B0D"/>
    <w:rsid w:val="3851700B"/>
    <w:rsid w:val="385246B6"/>
    <w:rsid w:val="3876113B"/>
    <w:rsid w:val="38A53DB7"/>
    <w:rsid w:val="38BF3388"/>
    <w:rsid w:val="38CC268D"/>
    <w:rsid w:val="38DF1FDA"/>
    <w:rsid w:val="38EC2960"/>
    <w:rsid w:val="38FD20FF"/>
    <w:rsid w:val="38FE3794"/>
    <w:rsid w:val="392536E2"/>
    <w:rsid w:val="39465F15"/>
    <w:rsid w:val="3952217B"/>
    <w:rsid w:val="396453C5"/>
    <w:rsid w:val="39922CCF"/>
    <w:rsid w:val="39A65327"/>
    <w:rsid w:val="39A65C9B"/>
    <w:rsid w:val="39BC5ED6"/>
    <w:rsid w:val="39D27231"/>
    <w:rsid w:val="39EB39E0"/>
    <w:rsid w:val="39EF02D4"/>
    <w:rsid w:val="3A11342A"/>
    <w:rsid w:val="3A153110"/>
    <w:rsid w:val="3A2149EA"/>
    <w:rsid w:val="3A2507C0"/>
    <w:rsid w:val="3A393FA7"/>
    <w:rsid w:val="3A3A5A22"/>
    <w:rsid w:val="3A524858"/>
    <w:rsid w:val="3A63048C"/>
    <w:rsid w:val="3A64203E"/>
    <w:rsid w:val="3A663D00"/>
    <w:rsid w:val="3A7428D0"/>
    <w:rsid w:val="3A923AE4"/>
    <w:rsid w:val="3AA50E25"/>
    <w:rsid w:val="3AC566E3"/>
    <w:rsid w:val="3AD6747A"/>
    <w:rsid w:val="3B312338"/>
    <w:rsid w:val="3B3D0FF2"/>
    <w:rsid w:val="3B521A18"/>
    <w:rsid w:val="3B595665"/>
    <w:rsid w:val="3B8D2B96"/>
    <w:rsid w:val="3B923660"/>
    <w:rsid w:val="3BA174BE"/>
    <w:rsid w:val="3BCA44BE"/>
    <w:rsid w:val="3BE61128"/>
    <w:rsid w:val="3C061F3A"/>
    <w:rsid w:val="3C0A04F9"/>
    <w:rsid w:val="3C495480"/>
    <w:rsid w:val="3C4C3A42"/>
    <w:rsid w:val="3C6F0167"/>
    <w:rsid w:val="3C71667B"/>
    <w:rsid w:val="3C7E158E"/>
    <w:rsid w:val="3C914F3B"/>
    <w:rsid w:val="3CC17F13"/>
    <w:rsid w:val="3CE320A3"/>
    <w:rsid w:val="3CE9196C"/>
    <w:rsid w:val="3CF15105"/>
    <w:rsid w:val="3D0C04B9"/>
    <w:rsid w:val="3D1414C5"/>
    <w:rsid w:val="3D1C763E"/>
    <w:rsid w:val="3D201AA5"/>
    <w:rsid w:val="3D2B37EA"/>
    <w:rsid w:val="3D2F7FF3"/>
    <w:rsid w:val="3D3D1507"/>
    <w:rsid w:val="3D62085B"/>
    <w:rsid w:val="3D7B4622"/>
    <w:rsid w:val="3D942E29"/>
    <w:rsid w:val="3DA53531"/>
    <w:rsid w:val="3DB54E0C"/>
    <w:rsid w:val="3DB900C1"/>
    <w:rsid w:val="3DE91725"/>
    <w:rsid w:val="3DF159B1"/>
    <w:rsid w:val="3DFA54A9"/>
    <w:rsid w:val="3E115986"/>
    <w:rsid w:val="3E1A106E"/>
    <w:rsid w:val="3E36303B"/>
    <w:rsid w:val="3E416D36"/>
    <w:rsid w:val="3E526044"/>
    <w:rsid w:val="3E6C2B3A"/>
    <w:rsid w:val="3E8C5311"/>
    <w:rsid w:val="3E8E7E55"/>
    <w:rsid w:val="3EB61473"/>
    <w:rsid w:val="3EC66011"/>
    <w:rsid w:val="3ED93269"/>
    <w:rsid w:val="3F315E6B"/>
    <w:rsid w:val="3F5175E2"/>
    <w:rsid w:val="3F56276A"/>
    <w:rsid w:val="3F6C10E0"/>
    <w:rsid w:val="3F963015"/>
    <w:rsid w:val="3F964D35"/>
    <w:rsid w:val="3FA327ED"/>
    <w:rsid w:val="3FB11738"/>
    <w:rsid w:val="3FB5581B"/>
    <w:rsid w:val="3FB960A0"/>
    <w:rsid w:val="3FC33D05"/>
    <w:rsid w:val="3FD12086"/>
    <w:rsid w:val="3FF46B18"/>
    <w:rsid w:val="3FF74A2E"/>
    <w:rsid w:val="3FF81676"/>
    <w:rsid w:val="3FFC36E2"/>
    <w:rsid w:val="4005572D"/>
    <w:rsid w:val="402833BA"/>
    <w:rsid w:val="40283C2B"/>
    <w:rsid w:val="40394FD1"/>
    <w:rsid w:val="40425879"/>
    <w:rsid w:val="405C1C05"/>
    <w:rsid w:val="40765D15"/>
    <w:rsid w:val="407E686E"/>
    <w:rsid w:val="407F2DE9"/>
    <w:rsid w:val="40991379"/>
    <w:rsid w:val="409B3C3D"/>
    <w:rsid w:val="40C30D01"/>
    <w:rsid w:val="40F701DF"/>
    <w:rsid w:val="40FD480A"/>
    <w:rsid w:val="411853EE"/>
    <w:rsid w:val="412A32F8"/>
    <w:rsid w:val="417F433E"/>
    <w:rsid w:val="419C4043"/>
    <w:rsid w:val="41B7239D"/>
    <w:rsid w:val="41BB7016"/>
    <w:rsid w:val="41FF3845"/>
    <w:rsid w:val="421104A9"/>
    <w:rsid w:val="42143B88"/>
    <w:rsid w:val="42164586"/>
    <w:rsid w:val="425B5DD1"/>
    <w:rsid w:val="4260300C"/>
    <w:rsid w:val="427C799E"/>
    <w:rsid w:val="42800B9B"/>
    <w:rsid w:val="42A06B6C"/>
    <w:rsid w:val="42A27996"/>
    <w:rsid w:val="42AA04E2"/>
    <w:rsid w:val="42EA5650"/>
    <w:rsid w:val="431408DA"/>
    <w:rsid w:val="4331401E"/>
    <w:rsid w:val="434B36A5"/>
    <w:rsid w:val="43591DDA"/>
    <w:rsid w:val="435A0DF2"/>
    <w:rsid w:val="436C42E1"/>
    <w:rsid w:val="437C210F"/>
    <w:rsid w:val="43847F02"/>
    <w:rsid w:val="438F113C"/>
    <w:rsid w:val="439E7EFB"/>
    <w:rsid w:val="43B1568A"/>
    <w:rsid w:val="43BD7F58"/>
    <w:rsid w:val="43D43ECA"/>
    <w:rsid w:val="43DD452F"/>
    <w:rsid w:val="43DE6CD4"/>
    <w:rsid w:val="43E51150"/>
    <w:rsid w:val="43EF28BB"/>
    <w:rsid w:val="43EF56D3"/>
    <w:rsid w:val="44095C00"/>
    <w:rsid w:val="440A6FD2"/>
    <w:rsid w:val="44211A0F"/>
    <w:rsid w:val="444946CA"/>
    <w:rsid w:val="444B3F54"/>
    <w:rsid w:val="4476661F"/>
    <w:rsid w:val="447E3AC5"/>
    <w:rsid w:val="448E5DEE"/>
    <w:rsid w:val="44A90BAA"/>
    <w:rsid w:val="44B24A20"/>
    <w:rsid w:val="44BC0BEE"/>
    <w:rsid w:val="44BC3FCC"/>
    <w:rsid w:val="44BF6C07"/>
    <w:rsid w:val="44C55A88"/>
    <w:rsid w:val="44FB1C9C"/>
    <w:rsid w:val="454F1836"/>
    <w:rsid w:val="45887B45"/>
    <w:rsid w:val="458B66DF"/>
    <w:rsid w:val="45940F0E"/>
    <w:rsid w:val="45AC5DBA"/>
    <w:rsid w:val="45AD2F03"/>
    <w:rsid w:val="45C647AF"/>
    <w:rsid w:val="45DD529D"/>
    <w:rsid w:val="45E57886"/>
    <w:rsid w:val="46003076"/>
    <w:rsid w:val="46026F63"/>
    <w:rsid w:val="46177E29"/>
    <w:rsid w:val="46205B7F"/>
    <w:rsid w:val="465D501C"/>
    <w:rsid w:val="466367DB"/>
    <w:rsid w:val="46686D18"/>
    <w:rsid w:val="46BF7E28"/>
    <w:rsid w:val="46C3037C"/>
    <w:rsid w:val="46FF15E0"/>
    <w:rsid w:val="4700581C"/>
    <w:rsid w:val="4702516A"/>
    <w:rsid w:val="474A4B33"/>
    <w:rsid w:val="475239DF"/>
    <w:rsid w:val="47665A15"/>
    <w:rsid w:val="47677941"/>
    <w:rsid w:val="477F1660"/>
    <w:rsid w:val="4788232A"/>
    <w:rsid w:val="478B0398"/>
    <w:rsid w:val="478F5D0B"/>
    <w:rsid w:val="47B8724E"/>
    <w:rsid w:val="47ED7BCA"/>
    <w:rsid w:val="48002ED8"/>
    <w:rsid w:val="48016F34"/>
    <w:rsid w:val="480556DB"/>
    <w:rsid w:val="48185C56"/>
    <w:rsid w:val="48450F81"/>
    <w:rsid w:val="484E729D"/>
    <w:rsid w:val="48566773"/>
    <w:rsid w:val="485A23C2"/>
    <w:rsid w:val="48A16B62"/>
    <w:rsid w:val="48BC6222"/>
    <w:rsid w:val="48C245E9"/>
    <w:rsid w:val="48DB312A"/>
    <w:rsid w:val="48DF49D9"/>
    <w:rsid w:val="492108CC"/>
    <w:rsid w:val="49413F52"/>
    <w:rsid w:val="494F6304"/>
    <w:rsid w:val="4A05334F"/>
    <w:rsid w:val="4A244932"/>
    <w:rsid w:val="4A2922C8"/>
    <w:rsid w:val="4A4117B2"/>
    <w:rsid w:val="4A4A6F73"/>
    <w:rsid w:val="4A7A4350"/>
    <w:rsid w:val="4A7E2497"/>
    <w:rsid w:val="4A896826"/>
    <w:rsid w:val="4ABF5E17"/>
    <w:rsid w:val="4AC1073B"/>
    <w:rsid w:val="4AD52CE0"/>
    <w:rsid w:val="4AE01A66"/>
    <w:rsid w:val="4AE104D6"/>
    <w:rsid w:val="4AE11158"/>
    <w:rsid w:val="4AED707B"/>
    <w:rsid w:val="4B015D61"/>
    <w:rsid w:val="4B0B7979"/>
    <w:rsid w:val="4B520DF4"/>
    <w:rsid w:val="4B603107"/>
    <w:rsid w:val="4B9802B0"/>
    <w:rsid w:val="4B9E65BE"/>
    <w:rsid w:val="4B9F33A8"/>
    <w:rsid w:val="4BA80AFD"/>
    <w:rsid w:val="4BB033BA"/>
    <w:rsid w:val="4BB469AD"/>
    <w:rsid w:val="4BC06040"/>
    <w:rsid w:val="4BF441D2"/>
    <w:rsid w:val="4C1C2A09"/>
    <w:rsid w:val="4C694192"/>
    <w:rsid w:val="4C7964D9"/>
    <w:rsid w:val="4C9269F6"/>
    <w:rsid w:val="4CC84335"/>
    <w:rsid w:val="4CE9350A"/>
    <w:rsid w:val="4D297BF3"/>
    <w:rsid w:val="4D2D0EAF"/>
    <w:rsid w:val="4D7F0082"/>
    <w:rsid w:val="4D952FD9"/>
    <w:rsid w:val="4D970662"/>
    <w:rsid w:val="4DB33393"/>
    <w:rsid w:val="4DBC3CE3"/>
    <w:rsid w:val="4DCF1E0D"/>
    <w:rsid w:val="4DD632D9"/>
    <w:rsid w:val="4DE05D9E"/>
    <w:rsid w:val="4DE05DF9"/>
    <w:rsid w:val="4DE44800"/>
    <w:rsid w:val="4DEE0709"/>
    <w:rsid w:val="4DFC14EA"/>
    <w:rsid w:val="4DFF6815"/>
    <w:rsid w:val="4E0A3427"/>
    <w:rsid w:val="4E304B5D"/>
    <w:rsid w:val="4E611B8B"/>
    <w:rsid w:val="4E682F8C"/>
    <w:rsid w:val="4E6A7BB7"/>
    <w:rsid w:val="4F0773B4"/>
    <w:rsid w:val="4F307BB1"/>
    <w:rsid w:val="4F3D562D"/>
    <w:rsid w:val="4F5C4EE0"/>
    <w:rsid w:val="4F6E1972"/>
    <w:rsid w:val="4F943166"/>
    <w:rsid w:val="4FBA02A1"/>
    <w:rsid w:val="4FE7106E"/>
    <w:rsid w:val="4FFE4A87"/>
    <w:rsid w:val="50053943"/>
    <w:rsid w:val="50123D80"/>
    <w:rsid w:val="50374A3C"/>
    <w:rsid w:val="50550E55"/>
    <w:rsid w:val="50901457"/>
    <w:rsid w:val="509F43E4"/>
    <w:rsid w:val="50A54D3E"/>
    <w:rsid w:val="50B82E88"/>
    <w:rsid w:val="50F1402B"/>
    <w:rsid w:val="50FD2AD9"/>
    <w:rsid w:val="51097D9A"/>
    <w:rsid w:val="51237D2E"/>
    <w:rsid w:val="515B06D0"/>
    <w:rsid w:val="51996737"/>
    <w:rsid w:val="51B408B8"/>
    <w:rsid w:val="51B80848"/>
    <w:rsid w:val="51C24B3D"/>
    <w:rsid w:val="51CC0868"/>
    <w:rsid w:val="51D5340F"/>
    <w:rsid w:val="521B651D"/>
    <w:rsid w:val="52382F2A"/>
    <w:rsid w:val="52386E3D"/>
    <w:rsid w:val="523A7DD1"/>
    <w:rsid w:val="523B7711"/>
    <w:rsid w:val="5271774C"/>
    <w:rsid w:val="528645DB"/>
    <w:rsid w:val="52D9534C"/>
    <w:rsid w:val="52DE008D"/>
    <w:rsid w:val="52EE341E"/>
    <w:rsid w:val="52F37FE6"/>
    <w:rsid w:val="52FC1CAF"/>
    <w:rsid w:val="531A330F"/>
    <w:rsid w:val="532B6CAF"/>
    <w:rsid w:val="53350D91"/>
    <w:rsid w:val="53412644"/>
    <w:rsid w:val="53433903"/>
    <w:rsid w:val="53517A72"/>
    <w:rsid w:val="5361549D"/>
    <w:rsid w:val="536220DA"/>
    <w:rsid w:val="53650637"/>
    <w:rsid w:val="53757C6B"/>
    <w:rsid w:val="537E1075"/>
    <w:rsid w:val="53A44D07"/>
    <w:rsid w:val="53A46AC8"/>
    <w:rsid w:val="53AB7F1F"/>
    <w:rsid w:val="53AC6F7B"/>
    <w:rsid w:val="53CD50EA"/>
    <w:rsid w:val="53EB297B"/>
    <w:rsid w:val="53EC4BF7"/>
    <w:rsid w:val="53F758A1"/>
    <w:rsid w:val="540D5A7F"/>
    <w:rsid w:val="542E2BC2"/>
    <w:rsid w:val="54352A96"/>
    <w:rsid w:val="54447390"/>
    <w:rsid w:val="545A24A8"/>
    <w:rsid w:val="545E1D01"/>
    <w:rsid w:val="54935B8F"/>
    <w:rsid w:val="54CC6227"/>
    <w:rsid w:val="54D10F9B"/>
    <w:rsid w:val="54D97871"/>
    <w:rsid w:val="54F56FC1"/>
    <w:rsid w:val="551D586C"/>
    <w:rsid w:val="55200298"/>
    <w:rsid w:val="55335E1B"/>
    <w:rsid w:val="554B7EF0"/>
    <w:rsid w:val="556F3D99"/>
    <w:rsid w:val="55720837"/>
    <w:rsid w:val="55860894"/>
    <w:rsid w:val="558F6181"/>
    <w:rsid w:val="55B02DF1"/>
    <w:rsid w:val="55DC290C"/>
    <w:rsid w:val="55EA5D64"/>
    <w:rsid w:val="55F01FA1"/>
    <w:rsid w:val="56130B60"/>
    <w:rsid w:val="568E1BDA"/>
    <w:rsid w:val="56990B7C"/>
    <w:rsid w:val="569E1126"/>
    <w:rsid w:val="56B80DEB"/>
    <w:rsid w:val="56E0560F"/>
    <w:rsid w:val="56E06E61"/>
    <w:rsid w:val="56F653FE"/>
    <w:rsid w:val="574448FC"/>
    <w:rsid w:val="575B7AFD"/>
    <w:rsid w:val="57660D3F"/>
    <w:rsid w:val="57D1153D"/>
    <w:rsid w:val="57FA3774"/>
    <w:rsid w:val="58084A3C"/>
    <w:rsid w:val="582772A7"/>
    <w:rsid w:val="58531B77"/>
    <w:rsid w:val="585D2975"/>
    <w:rsid w:val="585F64F9"/>
    <w:rsid w:val="587E3341"/>
    <w:rsid w:val="58CF56D8"/>
    <w:rsid w:val="58D31010"/>
    <w:rsid w:val="58D6741E"/>
    <w:rsid w:val="58DB0535"/>
    <w:rsid w:val="58E62E0E"/>
    <w:rsid w:val="58EA3D0E"/>
    <w:rsid w:val="58F71269"/>
    <w:rsid w:val="58FE045E"/>
    <w:rsid w:val="59561946"/>
    <w:rsid w:val="59670F51"/>
    <w:rsid w:val="596A44F9"/>
    <w:rsid w:val="596C19BB"/>
    <w:rsid w:val="59790BDB"/>
    <w:rsid w:val="597E3F42"/>
    <w:rsid w:val="598541D6"/>
    <w:rsid w:val="598653AC"/>
    <w:rsid w:val="59AC3C86"/>
    <w:rsid w:val="59AD43A0"/>
    <w:rsid w:val="59D42FDA"/>
    <w:rsid w:val="59DA4E01"/>
    <w:rsid w:val="59F34F31"/>
    <w:rsid w:val="59F64E82"/>
    <w:rsid w:val="5A0A5DD6"/>
    <w:rsid w:val="5A10435C"/>
    <w:rsid w:val="5A2654CC"/>
    <w:rsid w:val="5A323A44"/>
    <w:rsid w:val="5A395E66"/>
    <w:rsid w:val="5A402DB2"/>
    <w:rsid w:val="5A484352"/>
    <w:rsid w:val="5A5321A5"/>
    <w:rsid w:val="5A8734AF"/>
    <w:rsid w:val="5A9D3E45"/>
    <w:rsid w:val="5AA4101D"/>
    <w:rsid w:val="5AB17576"/>
    <w:rsid w:val="5ABD68E6"/>
    <w:rsid w:val="5ABF73D2"/>
    <w:rsid w:val="5ACB3D8A"/>
    <w:rsid w:val="5AE1508F"/>
    <w:rsid w:val="5AF80256"/>
    <w:rsid w:val="5B110CC9"/>
    <w:rsid w:val="5B1F7B5D"/>
    <w:rsid w:val="5B49552F"/>
    <w:rsid w:val="5B585171"/>
    <w:rsid w:val="5B585B78"/>
    <w:rsid w:val="5B6D62B9"/>
    <w:rsid w:val="5B9A2B59"/>
    <w:rsid w:val="5BC0085A"/>
    <w:rsid w:val="5BEA2363"/>
    <w:rsid w:val="5BF03D58"/>
    <w:rsid w:val="5BF20AFB"/>
    <w:rsid w:val="5C1A6BB2"/>
    <w:rsid w:val="5C313AEE"/>
    <w:rsid w:val="5C37233A"/>
    <w:rsid w:val="5C5355FE"/>
    <w:rsid w:val="5C6F4105"/>
    <w:rsid w:val="5CBB7F6F"/>
    <w:rsid w:val="5CC248CE"/>
    <w:rsid w:val="5D442CB4"/>
    <w:rsid w:val="5D482563"/>
    <w:rsid w:val="5D7C3F11"/>
    <w:rsid w:val="5D9D49E0"/>
    <w:rsid w:val="5DDF1821"/>
    <w:rsid w:val="5DE2656A"/>
    <w:rsid w:val="5DEA2F91"/>
    <w:rsid w:val="5DF94AE0"/>
    <w:rsid w:val="5DFA5883"/>
    <w:rsid w:val="5E3146A3"/>
    <w:rsid w:val="5E442F62"/>
    <w:rsid w:val="5E6C2C5B"/>
    <w:rsid w:val="5E6E2DD8"/>
    <w:rsid w:val="5E7251A2"/>
    <w:rsid w:val="5E7C3591"/>
    <w:rsid w:val="5E9D0E18"/>
    <w:rsid w:val="5EA341D7"/>
    <w:rsid w:val="5EA755DE"/>
    <w:rsid w:val="5ED35F0E"/>
    <w:rsid w:val="5EE132AC"/>
    <w:rsid w:val="5EFC1390"/>
    <w:rsid w:val="5EFC3EB6"/>
    <w:rsid w:val="5F03335D"/>
    <w:rsid w:val="5F0368C7"/>
    <w:rsid w:val="5F1544E7"/>
    <w:rsid w:val="5F312D8D"/>
    <w:rsid w:val="5F3C4923"/>
    <w:rsid w:val="5F531FCE"/>
    <w:rsid w:val="5F5A7800"/>
    <w:rsid w:val="5F5F4E16"/>
    <w:rsid w:val="5F8030B6"/>
    <w:rsid w:val="5F9A65E6"/>
    <w:rsid w:val="5F9B2627"/>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B3C50"/>
    <w:rsid w:val="608B6567"/>
    <w:rsid w:val="60BA67A8"/>
    <w:rsid w:val="60FF21D9"/>
    <w:rsid w:val="613021B3"/>
    <w:rsid w:val="613253FD"/>
    <w:rsid w:val="61421F29"/>
    <w:rsid w:val="61712185"/>
    <w:rsid w:val="618B7207"/>
    <w:rsid w:val="61A90D68"/>
    <w:rsid w:val="62065A1D"/>
    <w:rsid w:val="621775E2"/>
    <w:rsid w:val="622F7552"/>
    <w:rsid w:val="6250406E"/>
    <w:rsid w:val="627D6831"/>
    <w:rsid w:val="62811B1C"/>
    <w:rsid w:val="6287513D"/>
    <w:rsid w:val="62A20409"/>
    <w:rsid w:val="62B54B44"/>
    <w:rsid w:val="62E045DA"/>
    <w:rsid w:val="62E454A1"/>
    <w:rsid w:val="62F36E4C"/>
    <w:rsid w:val="62F47F8F"/>
    <w:rsid w:val="62F7233F"/>
    <w:rsid w:val="631F3FB4"/>
    <w:rsid w:val="6340438B"/>
    <w:rsid w:val="6353238E"/>
    <w:rsid w:val="63612AB8"/>
    <w:rsid w:val="6379289B"/>
    <w:rsid w:val="637D0978"/>
    <w:rsid w:val="638968B0"/>
    <w:rsid w:val="638A282C"/>
    <w:rsid w:val="63A85E90"/>
    <w:rsid w:val="63A962DB"/>
    <w:rsid w:val="63AB1A91"/>
    <w:rsid w:val="63B82D47"/>
    <w:rsid w:val="63C74D38"/>
    <w:rsid w:val="63EE4692"/>
    <w:rsid w:val="63FD622D"/>
    <w:rsid w:val="643F32F9"/>
    <w:rsid w:val="64582686"/>
    <w:rsid w:val="64673C87"/>
    <w:rsid w:val="64773463"/>
    <w:rsid w:val="64A251DD"/>
    <w:rsid w:val="650242F0"/>
    <w:rsid w:val="65365B2B"/>
    <w:rsid w:val="653F447E"/>
    <w:rsid w:val="65542778"/>
    <w:rsid w:val="655829AF"/>
    <w:rsid w:val="656B70C3"/>
    <w:rsid w:val="658F4798"/>
    <w:rsid w:val="659B1EBA"/>
    <w:rsid w:val="65B461E9"/>
    <w:rsid w:val="65BE39A8"/>
    <w:rsid w:val="65FB3FBE"/>
    <w:rsid w:val="66247D11"/>
    <w:rsid w:val="664D7777"/>
    <w:rsid w:val="66736112"/>
    <w:rsid w:val="667F5B5B"/>
    <w:rsid w:val="6694262A"/>
    <w:rsid w:val="66942BF7"/>
    <w:rsid w:val="66947991"/>
    <w:rsid w:val="66990381"/>
    <w:rsid w:val="66B31B01"/>
    <w:rsid w:val="66CE1E80"/>
    <w:rsid w:val="66E362F9"/>
    <w:rsid w:val="66E47FD9"/>
    <w:rsid w:val="66F127F8"/>
    <w:rsid w:val="67071922"/>
    <w:rsid w:val="673B73C0"/>
    <w:rsid w:val="674743C8"/>
    <w:rsid w:val="675608B6"/>
    <w:rsid w:val="67754402"/>
    <w:rsid w:val="677D54ED"/>
    <w:rsid w:val="678C03A6"/>
    <w:rsid w:val="67B25E27"/>
    <w:rsid w:val="67B4646D"/>
    <w:rsid w:val="67C4383B"/>
    <w:rsid w:val="67D35E1A"/>
    <w:rsid w:val="67F35317"/>
    <w:rsid w:val="680201B7"/>
    <w:rsid w:val="68362BFB"/>
    <w:rsid w:val="683E1DD2"/>
    <w:rsid w:val="683F1130"/>
    <w:rsid w:val="684456A1"/>
    <w:rsid w:val="685E1363"/>
    <w:rsid w:val="687731D1"/>
    <w:rsid w:val="6878475E"/>
    <w:rsid w:val="688E1089"/>
    <w:rsid w:val="68A026F3"/>
    <w:rsid w:val="68AF6C13"/>
    <w:rsid w:val="68DE0E16"/>
    <w:rsid w:val="690E07C7"/>
    <w:rsid w:val="69236A65"/>
    <w:rsid w:val="692E469B"/>
    <w:rsid w:val="69315C48"/>
    <w:rsid w:val="694019EC"/>
    <w:rsid w:val="69584DB4"/>
    <w:rsid w:val="696C3D80"/>
    <w:rsid w:val="698A5EE4"/>
    <w:rsid w:val="69C2047C"/>
    <w:rsid w:val="69C811ED"/>
    <w:rsid w:val="69D33070"/>
    <w:rsid w:val="69E97E75"/>
    <w:rsid w:val="69FB5D9E"/>
    <w:rsid w:val="6A1A3007"/>
    <w:rsid w:val="6A1E645E"/>
    <w:rsid w:val="6A417049"/>
    <w:rsid w:val="6A7903E5"/>
    <w:rsid w:val="6A975464"/>
    <w:rsid w:val="6AA03032"/>
    <w:rsid w:val="6AA86FEC"/>
    <w:rsid w:val="6ADA6AC4"/>
    <w:rsid w:val="6ADB11D6"/>
    <w:rsid w:val="6B1A2C3C"/>
    <w:rsid w:val="6B31644D"/>
    <w:rsid w:val="6B417EB3"/>
    <w:rsid w:val="6B486C86"/>
    <w:rsid w:val="6B554C72"/>
    <w:rsid w:val="6B69379A"/>
    <w:rsid w:val="6B847AD7"/>
    <w:rsid w:val="6B9A2DF9"/>
    <w:rsid w:val="6BA047ED"/>
    <w:rsid w:val="6BAC4619"/>
    <w:rsid w:val="6BCD2823"/>
    <w:rsid w:val="6BD149A6"/>
    <w:rsid w:val="6BDD15DD"/>
    <w:rsid w:val="6BDF2966"/>
    <w:rsid w:val="6BE86A5F"/>
    <w:rsid w:val="6C234DED"/>
    <w:rsid w:val="6C29198B"/>
    <w:rsid w:val="6C3A67D1"/>
    <w:rsid w:val="6C3D2D5C"/>
    <w:rsid w:val="6C3F2EB6"/>
    <w:rsid w:val="6C4800AA"/>
    <w:rsid w:val="6C4D28F8"/>
    <w:rsid w:val="6C5309A3"/>
    <w:rsid w:val="6C573E9C"/>
    <w:rsid w:val="6C5C23DC"/>
    <w:rsid w:val="6C686061"/>
    <w:rsid w:val="6C6D1126"/>
    <w:rsid w:val="6C986334"/>
    <w:rsid w:val="6CA35B3A"/>
    <w:rsid w:val="6CA41A5D"/>
    <w:rsid w:val="6CA479DF"/>
    <w:rsid w:val="6CAF588C"/>
    <w:rsid w:val="6CB4638E"/>
    <w:rsid w:val="6CBF3C6A"/>
    <w:rsid w:val="6CBF5306"/>
    <w:rsid w:val="6CE70FA1"/>
    <w:rsid w:val="6CFA6351"/>
    <w:rsid w:val="6CFC3C40"/>
    <w:rsid w:val="6D480984"/>
    <w:rsid w:val="6DB13E57"/>
    <w:rsid w:val="6DC71662"/>
    <w:rsid w:val="6DCD5126"/>
    <w:rsid w:val="6DDB6CB0"/>
    <w:rsid w:val="6DE21877"/>
    <w:rsid w:val="6DE52ACD"/>
    <w:rsid w:val="6DFC0B44"/>
    <w:rsid w:val="6E0458E7"/>
    <w:rsid w:val="6E212037"/>
    <w:rsid w:val="6E3B221B"/>
    <w:rsid w:val="6E475779"/>
    <w:rsid w:val="6E691495"/>
    <w:rsid w:val="6E7764EF"/>
    <w:rsid w:val="6EAD447C"/>
    <w:rsid w:val="6EAE5472"/>
    <w:rsid w:val="6ECD7F59"/>
    <w:rsid w:val="6EED7C80"/>
    <w:rsid w:val="6EF773A4"/>
    <w:rsid w:val="6F2F2D9E"/>
    <w:rsid w:val="6F4147D9"/>
    <w:rsid w:val="6F5B0D5A"/>
    <w:rsid w:val="6F5C35EA"/>
    <w:rsid w:val="6F6B6A15"/>
    <w:rsid w:val="6F947E4B"/>
    <w:rsid w:val="6FA30BDA"/>
    <w:rsid w:val="6FB21D4C"/>
    <w:rsid w:val="6FB80698"/>
    <w:rsid w:val="700417EE"/>
    <w:rsid w:val="701021F4"/>
    <w:rsid w:val="7024611F"/>
    <w:rsid w:val="70637B96"/>
    <w:rsid w:val="70722E5B"/>
    <w:rsid w:val="70797317"/>
    <w:rsid w:val="7099044B"/>
    <w:rsid w:val="709D518F"/>
    <w:rsid w:val="70C759D3"/>
    <w:rsid w:val="70CF2B23"/>
    <w:rsid w:val="70D70CB1"/>
    <w:rsid w:val="710952C1"/>
    <w:rsid w:val="71452CD8"/>
    <w:rsid w:val="7158683A"/>
    <w:rsid w:val="715B2F52"/>
    <w:rsid w:val="71764F23"/>
    <w:rsid w:val="717F5B06"/>
    <w:rsid w:val="71946576"/>
    <w:rsid w:val="71967E84"/>
    <w:rsid w:val="71A61873"/>
    <w:rsid w:val="71AF4936"/>
    <w:rsid w:val="71B12351"/>
    <w:rsid w:val="71B7463E"/>
    <w:rsid w:val="71D75D0F"/>
    <w:rsid w:val="72164FA8"/>
    <w:rsid w:val="721919B3"/>
    <w:rsid w:val="721A6098"/>
    <w:rsid w:val="721D18D3"/>
    <w:rsid w:val="72310D1A"/>
    <w:rsid w:val="725D6B54"/>
    <w:rsid w:val="72765F2F"/>
    <w:rsid w:val="72986FA0"/>
    <w:rsid w:val="72A17C99"/>
    <w:rsid w:val="72AD7197"/>
    <w:rsid w:val="72AF6F7E"/>
    <w:rsid w:val="72CD226C"/>
    <w:rsid w:val="72F71196"/>
    <w:rsid w:val="73047904"/>
    <w:rsid w:val="73253EFA"/>
    <w:rsid w:val="734C1A6A"/>
    <w:rsid w:val="735C5949"/>
    <w:rsid w:val="73671287"/>
    <w:rsid w:val="73737DA5"/>
    <w:rsid w:val="73740A39"/>
    <w:rsid w:val="73887B3E"/>
    <w:rsid w:val="73892412"/>
    <w:rsid w:val="73AF2114"/>
    <w:rsid w:val="73BF51D2"/>
    <w:rsid w:val="73E96BCA"/>
    <w:rsid w:val="73EE4A6E"/>
    <w:rsid w:val="74081451"/>
    <w:rsid w:val="741048BC"/>
    <w:rsid w:val="742E78D4"/>
    <w:rsid w:val="74317498"/>
    <w:rsid w:val="74335A84"/>
    <w:rsid w:val="74676A28"/>
    <w:rsid w:val="747E40B6"/>
    <w:rsid w:val="74AC3224"/>
    <w:rsid w:val="74BB2C83"/>
    <w:rsid w:val="74C33758"/>
    <w:rsid w:val="74DE4E5F"/>
    <w:rsid w:val="74EB54AB"/>
    <w:rsid w:val="74FF6D43"/>
    <w:rsid w:val="750201A2"/>
    <w:rsid w:val="751874FA"/>
    <w:rsid w:val="751A76AF"/>
    <w:rsid w:val="75250574"/>
    <w:rsid w:val="752F5F84"/>
    <w:rsid w:val="7550443E"/>
    <w:rsid w:val="755F0BCC"/>
    <w:rsid w:val="756F17F9"/>
    <w:rsid w:val="75825461"/>
    <w:rsid w:val="759926FC"/>
    <w:rsid w:val="75A24276"/>
    <w:rsid w:val="75AA231D"/>
    <w:rsid w:val="75E8633A"/>
    <w:rsid w:val="75EC17C8"/>
    <w:rsid w:val="763A3DB1"/>
    <w:rsid w:val="763F09AA"/>
    <w:rsid w:val="764F3FCC"/>
    <w:rsid w:val="7650339F"/>
    <w:rsid w:val="76603C9A"/>
    <w:rsid w:val="76967878"/>
    <w:rsid w:val="76BB1CAB"/>
    <w:rsid w:val="76C04050"/>
    <w:rsid w:val="76E65049"/>
    <w:rsid w:val="77076007"/>
    <w:rsid w:val="77170059"/>
    <w:rsid w:val="77413F7E"/>
    <w:rsid w:val="7758241F"/>
    <w:rsid w:val="777A7D22"/>
    <w:rsid w:val="77835654"/>
    <w:rsid w:val="7797109C"/>
    <w:rsid w:val="779A2A38"/>
    <w:rsid w:val="77B4450A"/>
    <w:rsid w:val="77B46E73"/>
    <w:rsid w:val="77D6256A"/>
    <w:rsid w:val="77E37A12"/>
    <w:rsid w:val="77FE3468"/>
    <w:rsid w:val="78250553"/>
    <w:rsid w:val="78430A3F"/>
    <w:rsid w:val="78546F0C"/>
    <w:rsid w:val="78EE1C79"/>
    <w:rsid w:val="78F85605"/>
    <w:rsid w:val="78FA66FA"/>
    <w:rsid w:val="79424F6E"/>
    <w:rsid w:val="7968578C"/>
    <w:rsid w:val="797239CC"/>
    <w:rsid w:val="79831473"/>
    <w:rsid w:val="7999527A"/>
    <w:rsid w:val="79AF76C5"/>
    <w:rsid w:val="79C25EE1"/>
    <w:rsid w:val="79CE2967"/>
    <w:rsid w:val="79EA664C"/>
    <w:rsid w:val="79F9627A"/>
    <w:rsid w:val="7A2F3BBF"/>
    <w:rsid w:val="7A2F459A"/>
    <w:rsid w:val="7A322A39"/>
    <w:rsid w:val="7A517022"/>
    <w:rsid w:val="7A6F5001"/>
    <w:rsid w:val="7A717769"/>
    <w:rsid w:val="7AA2343E"/>
    <w:rsid w:val="7AD60EB8"/>
    <w:rsid w:val="7ADA73A4"/>
    <w:rsid w:val="7AE66B99"/>
    <w:rsid w:val="7AF16E13"/>
    <w:rsid w:val="7AFE508C"/>
    <w:rsid w:val="7B0A3BCA"/>
    <w:rsid w:val="7B345AA9"/>
    <w:rsid w:val="7B4048C1"/>
    <w:rsid w:val="7B73082F"/>
    <w:rsid w:val="7B7B492E"/>
    <w:rsid w:val="7B834152"/>
    <w:rsid w:val="7BB46FBD"/>
    <w:rsid w:val="7BC62E00"/>
    <w:rsid w:val="7BE35E2A"/>
    <w:rsid w:val="7BF66C24"/>
    <w:rsid w:val="7BFA1CC7"/>
    <w:rsid w:val="7BFB70B3"/>
    <w:rsid w:val="7C0251DA"/>
    <w:rsid w:val="7C1052F2"/>
    <w:rsid w:val="7C2668D9"/>
    <w:rsid w:val="7C302AE4"/>
    <w:rsid w:val="7C32497F"/>
    <w:rsid w:val="7C3C69AE"/>
    <w:rsid w:val="7C691974"/>
    <w:rsid w:val="7C8A6570"/>
    <w:rsid w:val="7C8B7390"/>
    <w:rsid w:val="7C9B0D0E"/>
    <w:rsid w:val="7C9F63FA"/>
    <w:rsid w:val="7CA42B03"/>
    <w:rsid w:val="7CB8659A"/>
    <w:rsid w:val="7CCB0999"/>
    <w:rsid w:val="7CD2318A"/>
    <w:rsid w:val="7CD2702A"/>
    <w:rsid w:val="7CD34C42"/>
    <w:rsid w:val="7CDE3FF9"/>
    <w:rsid w:val="7CE26EBF"/>
    <w:rsid w:val="7CEE3130"/>
    <w:rsid w:val="7D0E5A5A"/>
    <w:rsid w:val="7D1F6674"/>
    <w:rsid w:val="7D480B34"/>
    <w:rsid w:val="7D777A3E"/>
    <w:rsid w:val="7D9005BC"/>
    <w:rsid w:val="7D9F0AD0"/>
    <w:rsid w:val="7DD12BB7"/>
    <w:rsid w:val="7DF223A2"/>
    <w:rsid w:val="7DFF0955"/>
    <w:rsid w:val="7E0B750E"/>
    <w:rsid w:val="7E1939E8"/>
    <w:rsid w:val="7E2822EA"/>
    <w:rsid w:val="7E355A7B"/>
    <w:rsid w:val="7E6E3E85"/>
    <w:rsid w:val="7E9C184B"/>
    <w:rsid w:val="7EA72948"/>
    <w:rsid w:val="7EB31EDB"/>
    <w:rsid w:val="7EE70CC0"/>
    <w:rsid w:val="7EEB48DB"/>
    <w:rsid w:val="7EF27444"/>
    <w:rsid w:val="7F054B9C"/>
    <w:rsid w:val="7F185A04"/>
    <w:rsid w:val="7F265C58"/>
    <w:rsid w:val="7F4C4618"/>
    <w:rsid w:val="7F582CF2"/>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line="360" w:lineRule="auto"/>
      <w:outlineLvl w:val="3"/>
    </w:pPr>
    <w:rPr>
      <w:rFonts w:ascii="Arial" w:hAnsi="Arial"/>
      <w:b/>
      <w:bCs/>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6">
    <w:name w:val="List Number"/>
    <w:basedOn w:val="1"/>
    <w:qFormat/>
    <w:uiPriority w:val="0"/>
    <w:pPr>
      <w:widowControl/>
      <w:spacing w:beforeAutospacing="1" w:afterAutospacing="1"/>
      <w:jc w:val="left"/>
    </w:pPr>
    <w:rPr>
      <w:rFonts w:ascii="宋体" w:hAnsi="宋体" w:cs="宋体"/>
      <w:kern w:val="0"/>
      <w:sz w:val="24"/>
    </w:rPr>
  </w:style>
  <w:style w:type="paragraph" w:styleId="7">
    <w:name w:val="Normal Indent"/>
    <w:basedOn w:val="1"/>
    <w:qFormat/>
    <w:uiPriority w:val="0"/>
    <w:pPr>
      <w:widowControl/>
      <w:spacing w:beforeAutospacing="1" w:afterAutospacing="1"/>
      <w:jc w:val="left"/>
    </w:pPr>
    <w:rPr>
      <w:rFonts w:ascii="宋体" w:hAnsi="宋体" w:cs="宋体"/>
      <w:kern w:val="0"/>
      <w:sz w:val="24"/>
    </w:rPr>
  </w:style>
  <w:style w:type="paragraph" w:styleId="8">
    <w:name w:val="Document Map"/>
    <w:basedOn w:val="1"/>
    <w:link w:val="75"/>
    <w:qFormat/>
    <w:uiPriority w:val="0"/>
    <w:rPr>
      <w:rFonts w:ascii="宋体" w:hAnsi="Calibri"/>
      <w:sz w:val="18"/>
      <w:szCs w:val="18"/>
    </w:rPr>
  </w:style>
  <w:style w:type="paragraph" w:styleId="9">
    <w:name w:val="annotation text"/>
    <w:basedOn w:val="1"/>
    <w:qFormat/>
    <w:uiPriority w:val="0"/>
    <w:pPr>
      <w:jc w:val="left"/>
    </w:pPr>
  </w:style>
  <w:style w:type="paragraph" w:styleId="10">
    <w:name w:val="Body Text 3"/>
    <w:basedOn w:val="1"/>
    <w:qFormat/>
    <w:uiPriority w:val="0"/>
    <w:rPr>
      <w:sz w:val="16"/>
      <w:szCs w:val="16"/>
    </w:rPr>
  </w:style>
  <w:style w:type="paragraph" w:styleId="11">
    <w:name w:val="Body Text"/>
    <w:basedOn w:val="1"/>
    <w:next w:val="1"/>
    <w:link w:val="73"/>
    <w:qFormat/>
    <w:uiPriority w:val="0"/>
  </w:style>
  <w:style w:type="paragraph" w:styleId="12">
    <w:name w:val="Body Text Indent"/>
    <w:basedOn w:val="1"/>
    <w:next w:val="13"/>
    <w:qFormat/>
    <w:uiPriority w:val="0"/>
    <w:pPr>
      <w:widowControl/>
      <w:spacing w:beforeAutospacing="1" w:afterAutospacing="1"/>
      <w:jc w:val="left"/>
    </w:pPr>
    <w:rPr>
      <w:rFonts w:ascii="宋体" w:hAnsi="宋体" w:cs="宋体"/>
      <w:kern w:val="0"/>
      <w:sz w:val="24"/>
    </w:rPr>
  </w:style>
  <w:style w:type="paragraph" w:customStyle="1" w:styleId="13">
    <w:name w:val="目录 51"/>
    <w:next w:val="1"/>
    <w:qFormat/>
    <w:uiPriority w:val="0"/>
    <w:pPr>
      <w:wordWrap w:val="0"/>
      <w:ind w:left="1700"/>
      <w:jc w:val="both"/>
    </w:pPr>
    <w:rPr>
      <w:rFonts w:ascii="Calibri" w:hAnsi="Calibri" w:eastAsia="Calibri" w:cs="Times New Roman"/>
      <w:sz w:val="21"/>
      <w:lang w:val="en-US" w:eastAsia="zh-CN" w:bidi="ar-SA"/>
    </w:rPr>
  </w:style>
  <w:style w:type="paragraph" w:styleId="14">
    <w:name w:val="List 2"/>
    <w:basedOn w:val="1"/>
    <w:qFormat/>
    <w:uiPriority w:val="0"/>
    <w:pPr>
      <w:ind w:left="100" w:leftChars="200" w:hanging="200" w:hangingChars="200"/>
    </w:pPr>
  </w:style>
  <w:style w:type="paragraph" w:styleId="15">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6">
    <w:name w:val="toc 3"/>
    <w:basedOn w:val="1"/>
    <w:next w:val="1"/>
    <w:qFormat/>
    <w:uiPriority w:val="0"/>
    <w:pPr>
      <w:tabs>
        <w:tab w:val="left" w:pos="709"/>
        <w:tab w:val="right" w:leader="dot" w:pos="8789"/>
      </w:tabs>
      <w:spacing w:line="400" w:lineRule="atLeast"/>
    </w:pPr>
    <w:rPr>
      <w:rFonts w:ascii="宋体"/>
      <w:kern w:val="0"/>
      <w:szCs w:val="20"/>
    </w:rPr>
  </w:style>
  <w:style w:type="paragraph" w:styleId="17">
    <w:name w:val="Plain Text"/>
    <w:basedOn w:val="1"/>
    <w:qFormat/>
    <w:uiPriority w:val="0"/>
    <w:pPr>
      <w:widowControl/>
      <w:spacing w:beforeAutospacing="1" w:afterAutospacing="1"/>
      <w:jc w:val="left"/>
    </w:pPr>
    <w:rPr>
      <w:rFonts w:ascii="宋体" w:hAnsi="宋体" w:cs="宋体"/>
      <w:kern w:val="0"/>
      <w:sz w:val="24"/>
    </w:rPr>
  </w:style>
  <w:style w:type="paragraph" w:styleId="18">
    <w:name w:val="Date"/>
    <w:basedOn w:val="1"/>
    <w:next w:val="1"/>
    <w:qFormat/>
    <w:uiPriority w:val="0"/>
    <w:pPr>
      <w:ind w:left="100" w:leftChars="2500"/>
    </w:pPr>
    <w:rPr>
      <w:rFonts w:ascii="宋体" w:hAnsi="宋体"/>
      <w:sz w:val="28"/>
    </w:rPr>
  </w:style>
  <w:style w:type="paragraph" w:styleId="19">
    <w:name w:val="Body Text Indent 2"/>
    <w:basedOn w:val="1"/>
    <w:qFormat/>
    <w:uiPriority w:val="0"/>
    <w:pPr>
      <w:spacing w:line="480" w:lineRule="auto"/>
      <w:ind w:left="420" w:leftChars="200"/>
    </w:pPr>
  </w:style>
  <w:style w:type="paragraph" w:styleId="20">
    <w:name w:val="footer"/>
    <w:basedOn w:val="1"/>
    <w:qFormat/>
    <w:uiPriority w:val="0"/>
    <w:pPr>
      <w:tabs>
        <w:tab w:val="center" w:pos="4153"/>
        <w:tab w:val="right" w:pos="8306"/>
      </w:tabs>
      <w:snapToGrid w:val="0"/>
      <w:jc w:val="left"/>
    </w:pPr>
    <w:rPr>
      <w:sz w:val="18"/>
      <w:szCs w:val="18"/>
    </w:rPr>
  </w:style>
  <w:style w:type="paragraph" w:styleId="21">
    <w:name w:val="envelope return"/>
    <w:basedOn w:val="1"/>
    <w:unhideWhenUsed/>
    <w:qFormat/>
    <w:uiPriority w:val="99"/>
    <w:pPr>
      <w:snapToGrid w:val="0"/>
    </w:pPr>
    <w:rPr>
      <w:rFonts w:ascii="Arial" w:hAnsi="Arial"/>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style>
  <w:style w:type="paragraph" w:styleId="24">
    <w:name w:val="List"/>
    <w:basedOn w:val="1"/>
    <w:qFormat/>
    <w:uiPriority w:val="0"/>
    <w:pPr>
      <w:ind w:left="200" w:hanging="200" w:hangingChars="200"/>
    </w:pPr>
  </w:style>
  <w:style w:type="paragraph" w:styleId="25">
    <w:name w:val="Body Text 2"/>
    <w:basedOn w:val="1"/>
    <w:next w:val="11"/>
    <w:qFormat/>
    <w:uiPriority w:val="0"/>
    <w:pPr>
      <w:spacing w:line="480" w:lineRule="auto"/>
    </w:pPr>
  </w:style>
  <w:style w:type="paragraph" w:styleId="26">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8">
    <w:name w:val="Normal (Web)"/>
    <w:basedOn w:val="1"/>
    <w:qFormat/>
    <w:uiPriority w:val="99"/>
    <w:pPr>
      <w:spacing w:before="100" w:beforeAutospacing="1" w:after="100" w:afterAutospacing="1"/>
      <w:jc w:val="left"/>
    </w:pPr>
    <w:rPr>
      <w:kern w:val="0"/>
      <w:sz w:val="24"/>
    </w:rPr>
  </w:style>
  <w:style w:type="paragraph" w:styleId="29">
    <w:name w:val="Title"/>
    <w:basedOn w:val="1"/>
    <w:qFormat/>
    <w:uiPriority w:val="0"/>
    <w:pPr>
      <w:jc w:val="center"/>
      <w:outlineLvl w:val="0"/>
    </w:pPr>
    <w:rPr>
      <w:rFonts w:ascii="Arial" w:hAnsi="Arial" w:cs="Arial"/>
      <w:b/>
      <w:bCs/>
      <w:sz w:val="32"/>
      <w:szCs w:val="32"/>
    </w:rPr>
  </w:style>
  <w:style w:type="paragraph" w:styleId="30">
    <w:name w:val="Body Text First Indent"/>
    <w:basedOn w:val="11"/>
    <w:next w:val="31"/>
    <w:qFormat/>
    <w:uiPriority w:val="0"/>
    <w:pPr>
      <w:spacing w:line="360" w:lineRule="auto"/>
      <w:ind w:firstLine="420" w:firstLineChars="100"/>
    </w:pPr>
    <w:rPr>
      <w:szCs w:val="21"/>
    </w:rPr>
  </w:style>
  <w:style w:type="paragraph" w:styleId="31">
    <w:name w:val="Body Text First Indent 2"/>
    <w:basedOn w:val="12"/>
    <w:next w:val="1"/>
    <w:qFormat/>
    <w:uiPriority w:val="0"/>
    <w:pPr>
      <w:ind w:firstLine="420" w:firstLineChars="200"/>
    </w:pPr>
  </w:style>
  <w:style w:type="table" w:styleId="33">
    <w:name w:val="Table Grid"/>
    <w:basedOn w:val="3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uiPriority w:val="0"/>
    <w:rPr>
      <w:b/>
      <w:bCs/>
      <w:szCs w:val="24"/>
    </w:rPr>
  </w:style>
  <w:style w:type="character" w:styleId="36">
    <w:name w:val="page number"/>
    <w:basedOn w:val="34"/>
    <w:qFormat/>
    <w:uiPriority w:val="0"/>
  </w:style>
  <w:style w:type="character" w:styleId="37">
    <w:name w:val="FollowedHyperlink"/>
    <w:qFormat/>
    <w:uiPriority w:val="0"/>
    <w:rPr>
      <w:color w:val="333333"/>
      <w:szCs w:val="24"/>
      <w:u w:val="none"/>
    </w:rPr>
  </w:style>
  <w:style w:type="character" w:styleId="38">
    <w:name w:val="Emphasis"/>
    <w:basedOn w:val="34"/>
    <w:qFormat/>
    <w:uiPriority w:val="0"/>
  </w:style>
  <w:style w:type="character" w:styleId="39">
    <w:name w:val="HTML Definition"/>
    <w:basedOn w:val="34"/>
    <w:qFormat/>
    <w:uiPriority w:val="0"/>
  </w:style>
  <w:style w:type="character" w:styleId="40">
    <w:name w:val="HTML Typewriter"/>
    <w:basedOn w:val="34"/>
    <w:qFormat/>
    <w:uiPriority w:val="0"/>
    <w:rPr>
      <w:rFonts w:hint="default" w:ascii="monospace" w:hAnsi="monospace" w:eastAsia="monospace" w:cs="monospace"/>
      <w:sz w:val="20"/>
    </w:rPr>
  </w:style>
  <w:style w:type="character" w:styleId="41">
    <w:name w:val="HTML Acronym"/>
    <w:basedOn w:val="34"/>
    <w:qFormat/>
    <w:uiPriority w:val="0"/>
  </w:style>
  <w:style w:type="character" w:styleId="42">
    <w:name w:val="HTML Variable"/>
    <w:basedOn w:val="34"/>
    <w:qFormat/>
    <w:uiPriority w:val="0"/>
  </w:style>
  <w:style w:type="character" w:styleId="43">
    <w:name w:val="Hyperlink"/>
    <w:basedOn w:val="34"/>
    <w:qFormat/>
    <w:uiPriority w:val="0"/>
    <w:rPr>
      <w:color w:val="333333"/>
      <w:szCs w:val="24"/>
      <w:u w:val="none"/>
    </w:rPr>
  </w:style>
  <w:style w:type="character" w:styleId="44">
    <w:name w:val="HTML Code"/>
    <w:basedOn w:val="34"/>
    <w:qFormat/>
    <w:uiPriority w:val="0"/>
    <w:rPr>
      <w:rFonts w:ascii="monospace" w:hAnsi="monospace" w:eastAsia="monospace" w:cs="monospace"/>
      <w:sz w:val="20"/>
    </w:rPr>
  </w:style>
  <w:style w:type="character" w:styleId="45">
    <w:name w:val="HTML Cite"/>
    <w:basedOn w:val="34"/>
    <w:qFormat/>
    <w:uiPriority w:val="0"/>
  </w:style>
  <w:style w:type="character" w:styleId="46">
    <w:name w:val="HTML Keyboard"/>
    <w:basedOn w:val="34"/>
    <w:qFormat/>
    <w:uiPriority w:val="0"/>
    <w:rPr>
      <w:rFonts w:hint="default" w:ascii="monospace" w:hAnsi="monospace" w:eastAsia="monospace" w:cs="monospace"/>
      <w:sz w:val="20"/>
    </w:rPr>
  </w:style>
  <w:style w:type="character" w:styleId="47">
    <w:name w:val="HTML Sample"/>
    <w:basedOn w:val="34"/>
    <w:qFormat/>
    <w:uiPriority w:val="0"/>
    <w:rPr>
      <w:rFonts w:hint="default" w:ascii="monospace" w:hAnsi="monospace" w:eastAsia="monospace" w:cs="monospace"/>
    </w:rPr>
  </w:style>
  <w:style w:type="paragraph" w:customStyle="1" w:styleId="48">
    <w:name w:val="Default"/>
    <w:next w:val="49"/>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9">
    <w:name w:val="大标题"/>
    <w:basedOn w:val="1"/>
    <w:next w:val="31"/>
    <w:qFormat/>
    <w:uiPriority w:val="0"/>
    <w:pPr>
      <w:jc w:val="center"/>
    </w:pPr>
    <w:rPr>
      <w:rFonts w:ascii="Arial" w:hAnsi="Arial"/>
      <w:b/>
      <w:sz w:val="28"/>
    </w:rPr>
  </w:style>
  <w:style w:type="paragraph" w:customStyle="1" w:styleId="50">
    <w:name w:val="样式 正文首行缩进 2 + Arial"/>
    <w:basedOn w:val="1"/>
    <w:next w:val="1"/>
    <w:qFormat/>
    <w:uiPriority w:val="0"/>
    <w:pPr>
      <w:spacing w:after="120" w:line="320" w:lineRule="atLeast"/>
      <w:ind w:firstLine="200" w:firstLineChars="200"/>
    </w:pPr>
    <w:rPr>
      <w:rFonts w:ascii="Arial" w:hAnsi="Arial"/>
      <w:kern w:val="0"/>
    </w:rPr>
  </w:style>
  <w:style w:type="paragraph" w:customStyle="1" w:styleId="51">
    <w:name w:val="No Spacing1"/>
    <w:basedOn w:val="1"/>
    <w:qFormat/>
    <w:uiPriority w:val="0"/>
    <w:pPr>
      <w:spacing w:line="400" w:lineRule="exact"/>
    </w:pPr>
    <w:rPr>
      <w:sz w:val="24"/>
    </w:rPr>
  </w:style>
  <w:style w:type="paragraph" w:customStyle="1" w:styleId="52">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3">
    <w:name w:val="Char"/>
    <w:basedOn w:val="1"/>
    <w:qFormat/>
    <w:uiPriority w:val="0"/>
  </w:style>
  <w:style w:type="paragraph" w:customStyle="1" w:styleId="54">
    <w:name w:val="正文缩进1"/>
    <w:basedOn w:val="1"/>
    <w:qFormat/>
    <w:uiPriority w:val="0"/>
    <w:pPr>
      <w:widowControl/>
      <w:ind w:firstLine="420"/>
      <w:jc w:val="left"/>
    </w:pPr>
    <w:rPr>
      <w:kern w:val="0"/>
      <w:szCs w:val="20"/>
    </w:rPr>
  </w:style>
  <w:style w:type="paragraph" w:customStyle="1" w:styleId="55">
    <w:name w:val="列出段落2"/>
    <w:basedOn w:val="1"/>
    <w:qFormat/>
    <w:uiPriority w:val="34"/>
    <w:pPr>
      <w:ind w:firstLine="420" w:firstLineChars="200"/>
    </w:pPr>
  </w:style>
  <w:style w:type="paragraph" w:customStyle="1" w:styleId="56">
    <w:name w:val="plaintext"/>
    <w:basedOn w:val="1"/>
    <w:qFormat/>
    <w:uiPriority w:val="0"/>
    <w:pPr>
      <w:widowControl/>
      <w:spacing w:beforeAutospacing="1" w:afterAutospacing="1"/>
      <w:jc w:val="left"/>
    </w:pPr>
    <w:rPr>
      <w:rFonts w:ascii="宋体" w:hAnsi="宋体" w:cs="宋体"/>
      <w:kern w:val="0"/>
      <w:sz w:val="24"/>
    </w:rPr>
  </w:style>
  <w:style w:type="paragraph" w:customStyle="1" w:styleId="57">
    <w:name w:val="1"/>
    <w:basedOn w:val="1"/>
    <w:qFormat/>
    <w:uiPriority w:val="0"/>
    <w:pPr>
      <w:widowControl/>
      <w:spacing w:beforeAutospacing="1" w:afterAutospacing="1"/>
      <w:jc w:val="left"/>
    </w:pPr>
    <w:rPr>
      <w:rFonts w:ascii="宋体" w:hAnsi="宋体" w:cs="宋体"/>
      <w:kern w:val="0"/>
      <w:sz w:val="24"/>
    </w:rPr>
  </w:style>
  <w:style w:type="paragraph" w:styleId="58">
    <w:name w:val="No Spacing"/>
    <w:qFormat/>
    <w:uiPriority w:val="1"/>
    <w:rPr>
      <w:rFonts w:ascii="Calibri" w:hAnsi="Calibri" w:eastAsia="宋体" w:cs="Times New Roman"/>
      <w:sz w:val="22"/>
      <w:szCs w:val="22"/>
      <w:lang w:val="en-US" w:eastAsia="zh-CN" w:bidi="ar-SA"/>
    </w:rPr>
  </w:style>
  <w:style w:type="paragraph" w:customStyle="1" w:styleId="59">
    <w:name w:val="_Style 2"/>
    <w:basedOn w:val="1"/>
    <w:qFormat/>
    <w:uiPriority w:val="34"/>
    <w:pPr>
      <w:ind w:firstLine="420" w:firstLineChars="200"/>
    </w:pPr>
    <w:rPr>
      <w:rFonts w:ascii="Calibri" w:hAnsi="Calibri"/>
    </w:rPr>
  </w:style>
  <w:style w:type="paragraph" w:customStyle="1" w:styleId="60">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1">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2">
    <w:name w:val="Char1"/>
    <w:basedOn w:val="1"/>
    <w:qFormat/>
    <w:uiPriority w:val="0"/>
  </w:style>
  <w:style w:type="paragraph" w:customStyle="1" w:styleId="63">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Table Paragraph"/>
    <w:basedOn w:val="1"/>
    <w:qFormat/>
    <w:uiPriority w:val="1"/>
    <w:pPr>
      <w:jc w:val="left"/>
    </w:pPr>
    <w:rPr>
      <w:rFonts w:ascii="宋体" w:hAnsi="宋体" w:cs="宋体"/>
      <w:kern w:val="0"/>
      <w:sz w:val="22"/>
      <w:szCs w:val="22"/>
      <w:lang w:eastAsia="en-US"/>
    </w:rPr>
  </w:style>
  <w:style w:type="paragraph" w:customStyle="1" w:styleId="65">
    <w:name w:val="无间隔1"/>
    <w:basedOn w:val="1"/>
    <w:qFormat/>
    <w:uiPriority w:val="1"/>
    <w:pPr>
      <w:spacing w:line="400" w:lineRule="exact"/>
    </w:pPr>
    <w:rPr>
      <w:sz w:val="24"/>
    </w:rPr>
  </w:style>
  <w:style w:type="paragraph" w:customStyle="1" w:styleId="66">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qFormat/>
    <w:uiPriority w:val="34"/>
    <w:pPr>
      <w:ind w:firstLine="420" w:firstLineChars="200"/>
    </w:pPr>
  </w:style>
  <w:style w:type="paragraph" w:customStyle="1" w:styleId="69">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qFormat/>
    <w:uiPriority w:val="0"/>
    <w:pPr>
      <w:widowControl/>
      <w:spacing w:beforeAutospacing="1" w:afterAutospacing="1"/>
      <w:jc w:val="left"/>
    </w:pPr>
    <w:rPr>
      <w:rFonts w:ascii="宋体" w:hAnsi="宋体" w:cs="宋体"/>
      <w:kern w:val="0"/>
      <w:sz w:val="24"/>
    </w:rPr>
  </w:style>
  <w:style w:type="paragraph" w:customStyle="1" w:styleId="71">
    <w:name w:val="default"/>
    <w:basedOn w:val="1"/>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qFormat/>
    <w:uiPriority w:val="0"/>
    <w:pPr>
      <w:ind w:firstLine="420" w:firstLineChars="200"/>
    </w:pPr>
    <w:rPr>
      <w:rFonts w:ascii="Calibri" w:hAnsi="Calibri"/>
      <w:szCs w:val="22"/>
    </w:rPr>
  </w:style>
  <w:style w:type="character" w:customStyle="1" w:styleId="73">
    <w:name w:val="正文文本 Char"/>
    <w:basedOn w:val="34"/>
    <w:link w:val="11"/>
    <w:qFormat/>
    <w:uiPriority w:val="0"/>
  </w:style>
  <w:style w:type="character" w:customStyle="1" w:styleId="74">
    <w:name w:val="apple-converted-space"/>
    <w:basedOn w:val="34"/>
    <w:qFormat/>
    <w:uiPriority w:val="0"/>
  </w:style>
  <w:style w:type="character" w:customStyle="1" w:styleId="75">
    <w:name w:val="文档结构图 Char"/>
    <w:link w:val="8"/>
    <w:qFormat/>
    <w:uiPriority w:val="0"/>
    <w:rPr>
      <w:rFonts w:ascii="宋体"/>
      <w:kern w:val="2"/>
      <w:sz w:val="18"/>
      <w:szCs w:val="18"/>
    </w:rPr>
  </w:style>
  <w:style w:type="character" w:customStyle="1" w:styleId="76">
    <w:name w:val="不明显强调1"/>
    <w:qFormat/>
    <w:uiPriority w:val="19"/>
    <w:rPr>
      <w:i/>
      <w:iCs/>
      <w:color w:val="7F7F7F"/>
      <w:szCs w:val="24"/>
    </w:rPr>
  </w:style>
  <w:style w:type="character" w:customStyle="1" w:styleId="77">
    <w:name w:val="font71"/>
    <w:qFormat/>
    <w:uiPriority w:val="0"/>
    <w:rPr>
      <w:rFonts w:hint="eastAsia" w:ascii="宋体" w:hAnsi="宋体" w:eastAsia="宋体" w:cs="宋体"/>
      <w:color w:val="000000"/>
      <w:sz w:val="28"/>
      <w:szCs w:val="28"/>
      <w:u w:val="none"/>
    </w:rPr>
  </w:style>
  <w:style w:type="character" w:customStyle="1" w:styleId="78">
    <w:name w:val="font21"/>
    <w:qFormat/>
    <w:uiPriority w:val="0"/>
    <w:rPr>
      <w:rFonts w:hint="default" w:ascii="Calibri" w:hAnsi="Calibri" w:cs="Calibri"/>
      <w:color w:val="000000"/>
      <w:sz w:val="28"/>
      <w:szCs w:val="28"/>
      <w:u w:val="none"/>
    </w:rPr>
  </w:style>
  <w:style w:type="character" w:customStyle="1" w:styleId="79">
    <w:name w:val="17"/>
    <w:qFormat/>
    <w:uiPriority w:val="0"/>
    <w:rPr>
      <w:rFonts w:hint="eastAsia" w:ascii="宋体" w:hAnsi="宋体" w:eastAsia="宋体"/>
      <w:color w:val="000000"/>
    </w:rPr>
  </w:style>
  <w:style w:type="character" w:customStyle="1" w:styleId="80">
    <w:name w:val="font91"/>
    <w:qFormat/>
    <w:uiPriority w:val="0"/>
    <w:rPr>
      <w:rFonts w:hint="eastAsia" w:ascii="宋体" w:hAnsi="宋体" w:eastAsia="宋体" w:cs="宋体"/>
      <w:color w:val="FF0000"/>
      <w:sz w:val="28"/>
      <w:szCs w:val="28"/>
      <w:u w:val="none"/>
    </w:rPr>
  </w:style>
  <w:style w:type="paragraph" w:customStyle="1" w:styleId="81">
    <w:name w:val="p"/>
    <w:basedOn w:val="1"/>
    <w:qFormat/>
    <w:uiPriority w:val="0"/>
    <w:pPr>
      <w:widowControl/>
      <w:spacing w:line="432" w:lineRule="auto"/>
      <w:jc w:val="left"/>
    </w:pPr>
    <w:rPr>
      <w:rFonts w:ascii="宋体" w:hAnsi="宋体" w:cs="宋体"/>
      <w:kern w:val="0"/>
      <w:sz w:val="24"/>
    </w:rPr>
  </w:style>
  <w:style w:type="paragraph" w:customStyle="1" w:styleId="82">
    <w:name w:val="WPSOffice手动目录 1"/>
    <w:qFormat/>
    <w:uiPriority w:val="0"/>
    <w:rPr>
      <w:rFonts w:ascii="Times New Roman" w:hAnsi="Times New Roman" w:eastAsia="宋体" w:cs="Times New Roman"/>
      <w:lang w:val="en-US" w:eastAsia="zh-CN" w:bidi="ar-SA"/>
    </w:rPr>
  </w:style>
  <w:style w:type="paragraph" w:customStyle="1" w:styleId="83">
    <w:name w:val="*正文_1"/>
    <w:basedOn w:val="1"/>
    <w:next w:val="1"/>
    <w:qFormat/>
    <w:uiPriority w:val="0"/>
    <w:pPr>
      <w:widowControl/>
      <w:ind w:firstLine="482"/>
    </w:pPr>
    <w:rPr>
      <w:rFonts w:ascii="微软雅黑" w:hAnsi="微软雅黑" w:eastAsia="微软雅黑"/>
      <w:kern w:val="0"/>
      <w:szCs w:val="20"/>
    </w:rPr>
  </w:style>
  <w:style w:type="paragraph" w:customStyle="1" w:styleId="84">
    <w:name w:val="表格文字"/>
    <w:basedOn w:val="1"/>
    <w:next w:val="11"/>
    <w:qFormat/>
    <w:uiPriority w:val="0"/>
    <w:pPr>
      <w:adjustRightInd w:val="0"/>
      <w:spacing w:line="420" w:lineRule="atLeast"/>
      <w:jc w:val="left"/>
      <w:textAlignment w:val="baseline"/>
    </w:pPr>
    <w:rPr>
      <w:kern w:val="0"/>
      <w:szCs w:val="20"/>
    </w:rPr>
  </w:style>
  <w:style w:type="character" w:customStyle="1" w:styleId="85">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qFormat/>
    <w:uiPriority w:val="34"/>
    <w:pPr>
      <w:widowControl/>
      <w:ind w:firstLine="420"/>
      <w:jc w:val="left"/>
    </w:pPr>
    <w:rPr>
      <w:kern w:val="0"/>
    </w:rPr>
  </w:style>
  <w:style w:type="paragraph" w:styleId="87">
    <w:name w:val="List Paragraph"/>
    <w:basedOn w:val="1"/>
    <w:qFormat/>
    <w:uiPriority w:val="34"/>
    <w:pPr>
      <w:ind w:firstLine="420" w:firstLineChars="200"/>
    </w:pPr>
  </w:style>
  <w:style w:type="character" w:customStyle="1" w:styleId="88">
    <w:name w:val="hover18"/>
    <w:basedOn w:val="34"/>
    <w:qFormat/>
    <w:uiPriority w:val="0"/>
  </w:style>
  <w:style w:type="table" w:customStyle="1" w:styleId="89">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43</Pages>
  <Words>20275</Words>
  <Characters>21285</Characters>
  <Lines>50</Lines>
  <Paragraphs>68</Paragraphs>
  <TotalTime>2</TotalTime>
  <ScaleCrop>false</ScaleCrop>
  <LinksUpToDate>false</LinksUpToDate>
  <CharactersWithSpaces>22327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2023-04-13T03:28:00Z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BABF91824EC1475297DB676B0F545D5A</vt:lpwstr>
  </property>
</Properties>
</file>