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21"/>
        <w:bidi w:val="0"/>
        <w:jc w:val="center"/>
        <w:rPr>
          <w:rStyle w:val="45"/>
          <w:rFonts w:hint="eastAsia" w:ascii="宋体" w:hAnsi="宋体" w:eastAsia="宋体" w:cs="宋体"/>
          <w:b/>
          <w:bCs/>
          <w:color w:val="auto"/>
          <w:sz w:val="48"/>
          <w:szCs w:val="48"/>
        </w:rPr>
      </w:pPr>
      <w:r>
        <w:rPr>
          <w:rStyle w:val="45"/>
          <w:rFonts w:hint="eastAsia" w:ascii="宋体" w:hAnsi="宋体" w:eastAsia="宋体" w:cs="宋体"/>
          <w:b/>
          <w:bCs/>
          <w:color w:val="auto"/>
          <w:sz w:val="48"/>
          <w:szCs w:val="48"/>
        </w:rPr>
        <w:t>医院智慧健康教育平台</w:t>
      </w: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Cs w:val="44"/>
        </w:rPr>
      </w:pPr>
      <w:r>
        <w:rPr>
          <w:rStyle w:val="45"/>
          <w:rFonts w:hint="eastAsia" w:ascii="宋体" w:hAnsi="宋体" w:eastAsia="宋体"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3"/>
        <w:rPr>
          <w:rFonts w:hint="eastAsia" w:ascii="宋体" w:hAnsi="宋体" w:eastAsia="宋体" w:cs="宋体"/>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eastAsia="宋体" w:cs="宋体"/>
          <w:b/>
          <w:bCs/>
          <w:spacing w:val="40"/>
          <w:sz w:val="34"/>
          <w:szCs w:val="34"/>
          <w:lang w:val="en-US" w:eastAsia="zh-CN"/>
        </w:rPr>
        <w:t>11</w:t>
      </w:r>
      <w:r>
        <w:rPr>
          <w:rFonts w:hint="eastAsia" w:ascii="宋体" w:hAnsi="宋体" w:eastAsia="宋体" w:cs="宋体"/>
          <w:b/>
          <w:bCs/>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第一章  </w:t>
      </w:r>
      <w:r>
        <w:rPr>
          <w:rFonts w:hint="eastAsia" w:ascii="宋体" w:hAnsi="宋体" w:eastAsia="宋体" w:cs="宋体"/>
          <w:color w:val="auto"/>
          <w:szCs w:val="21"/>
          <w:highlight w:val="none"/>
          <w:lang w:val="en-US" w:eastAsia="zh-CN"/>
        </w:rPr>
        <w:t>竞 争 性 磋 商</w:t>
      </w:r>
      <w:r>
        <w:rPr>
          <w:rFonts w:hint="eastAsia" w:ascii="宋体" w:hAnsi="宋体" w:eastAsia="宋体" w:cs="宋体"/>
          <w:color w:val="auto"/>
          <w:szCs w:val="21"/>
          <w:highlight w:val="none"/>
        </w:rPr>
        <w:t xml:space="preserve">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医院智慧健康教育平台</w:t>
      </w:r>
    </w:p>
    <w:p>
      <w:pPr>
        <w:keepNext w:val="0"/>
        <w:keepLines w:val="0"/>
        <w:pageBreakBefore w:val="0"/>
        <w:widowControl w:val="0"/>
        <w:kinsoku/>
        <w:wordWrap/>
        <w:overflowPunct/>
        <w:topLinePunct w:val="0"/>
        <w:autoSpaceDE/>
        <w:autoSpaceDN/>
        <w:bidi w:val="0"/>
        <w:adjustRightInd/>
        <w:snapToGrid/>
        <w:spacing w:beforeAutospacing="0" w:after="161" w:afterLines="50" w:line="360" w:lineRule="auto"/>
        <w:jc w:val="center"/>
        <w:textAlignment w:val="auto"/>
        <w:outlineLvl w:val="0"/>
        <w:rPr>
          <w:rFonts w:hint="eastAsia" w:ascii="宋体" w:hAnsi="宋体" w:eastAsia="宋体" w:cs="宋体"/>
          <w:bCs/>
          <w:color w:val="auto"/>
          <w:kern w:val="0"/>
          <w:sz w:val="28"/>
          <w:szCs w:val="28"/>
        </w:rPr>
      </w:pPr>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kinsoku/>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lang w:val="en-US" w:eastAsia="zh-CN"/>
        </w:rPr>
        <w:t xml:space="preserve">  医院智慧健康教育平台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eastAsia="zh-CN"/>
        </w:rPr>
        <w:t>医院智慧健康教育平台；</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szCs w:val="21"/>
          <w:highlight w:val="none"/>
          <w:shd w:val="clear" w:color="auto" w:fill="FFFFFF"/>
          <w:lang w:val="en-US" w:eastAsia="zh-CN"/>
        </w:rPr>
        <w:t>4</w:t>
      </w:r>
      <w:r>
        <w:rPr>
          <w:rFonts w:hint="eastAsia" w:ascii="宋体" w:hAnsi="宋体" w:cs="宋体"/>
          <w:color w:val="auto"/>
          <w:szCs w:val="21"/>
          <w:highlight w:val="none"/>
          <w:shd w:val="clear" w:color="auto" w:fill="FFFFFF"/>
          <w:lang w:val="en-US" w:eastAsia="zh-CN"/>
        </w:rPr>
        <w:t>0</w:t>
      </w:r>
      <w:r>
        <w:rPr>
          <w:rFonts w:hint="eastAsia" w:ascii="宋体" w:hAnsi="宋体" w:eastAsia="宋体" w:cs="宋体"/>
          <w:color w:val="auto"/>
          <w:szCs w:val="21"/>
          <w:highlight w:val="none"/>
          <w:shd w:val="clear" w:color="auto" w:fill="FFFFFF"/>
          <w:lang w:val="en-US" w:eastAsia="zh-CN"/>
        </w:rPr>
        <w:t>万元；自筹资金</w:t>
      </w:r>
    </w:p>
    <w:p>
      <w:pPr>
        <w:keepNext w:val="0"/>
        <w:keepLines w:val="0"/>
        <w:pageBreakBefore w:val="0"/>
        <w:kinsoku/>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服务地点：采购人指定地点；</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highlight w:val="none"/>
        </w:rPr>
      </w:pPr>
      <w:bookmarkStart w:id="4" w:name="_Toc21071"/>
      <w:bookmarkStart w:id="5" w:name="_Toc26079"/>
      <w:bookmarkStart w:id="6" w:name="_Toc24040"/>
      <w:bookmarkStart w:id="7" w:name="_Toc1952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lang w:val="en-US" w:eastAsia="zh-CN"/>
        </w:rPr>
        <w:t>服务期限</w:t>
      </w:r>
      <w:r>
        <w:rPr>
          <w:rFonts w:hint="eastAsia" w:ascii="宋体" w:hAnsi="宋体" w:eastAsia="宋体" w:cs="宋体"/>
          <w:bCs/>
          <w:color w:val="auto"/>
          <w:szCs w:val="21"/>
          <w:highlight w:val="none"/>
          <w:shd w:val="clear" w:color="auto" w:fill="FFFFFF"/>
        </w:rPr>
        <w:t>：合同签订后30天内完成</w:t>
      </w:r>
      <w:r>
        <w:rPr>
          <w:rFonts w:hint="eastAsia" w:ascii="宋体" w:hAnsi="宋体" w:eastAsia="宋体" w:cs="宋体"/>
          <w:bCs/>
          <w:color w:val="auto"/>
          <w:szCs w:val="21"/>
          <w:highlight w:val="none"/>
          <w:shd w:val="clear" w:color="auto" w:fill="FFFFFF"/>
          <w:lang w:val="en-US" w:eastAsia="zh-CN"/>
        </w:rPr>
        <w:t>医院智慧健康教育平台构建</w:t>
      </w:r>
      <w:r>
        <w:rPr>
          <w:rFonts w:hint="eastAsia" w:ascii="宋体" w:hAnsi="宋体" w:eastAsia="宋体" w:cs="宋体"/>
          <w:color w:val="auto"/>
          <w:szCs w:val="21"/>
          <w:highlight w:val="none"/>
          <w:shd w:val="clear" w:color="auto" w:fill="FFFFFF"/>
          <w:lang w:val="en-US" w:eastAsia="zh-CN"/>
        </w:rPr>
        <w:t>；</w:t>
      </w:r>
    </w:p>
    <w:p>
      <w:pPr>
        <w:keepNext w:val="0"/>
        <w:keepLines w:val="0"/>
        <w:pageBreakBefore w:val="0"/>
        <w:widowControl/>
        <w:tabs>
          <w:tab w:val="left" w:pos="840"/>
        </w:tabs>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bookmarkStart w:id="9" w:name="_Toc18607"/>
      <w:bookmarkStart w:id="10" w:name="_Toc23626"/>
      <w:bookmarkStart w:id="11" w:name="_Toc16639"/>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磋商。一经发现，将导致磋商同时被拒绝；</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pageBreakBefore w:val="0"/>
        <w:widowControl w:val="0"/>
        <w:kinsoku/>
        <w:overflowPunct/>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kern w:val="2"/>
          <w:sz w:val="21"/>
          <w:szCs w:val="24"/>
          <w:lang w:val="en-US" w:eastAsia="zh-CN" w:bidi="ar-SA"/>
        </w:rPr>
        <w:t>5、</w:t>
      </w:r>
      <w:r>
        <w:rPr>
          <w:rFonts w:hint="eastAsia" w:ascii="宋体" w:hAnsi="宋体" w:eastAsia="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6、本项目不接受联合体磋商。</w:t>
      </w:r>
    </w:p>
    <w:p>
      <w:pPr>
        <w:keepNext w:val="0"/>
        <w:keepLines w:val="0"/>
        <w:pageBreakBefore w:val="0"/>
        <w:widowControl/>
        <w:kinsoku/>
        <w:overflowPunct/>
        <w:topLinePunct w:val="0"/>
        <w:bidi w:val="0"/>
        <w:adjustRightInd w:val="0"/>
        <w:snapToGrid w:val="0"/>
        <w:spacing w:before="0" w:line="360" w:lineRule="auto"/>
        <w:jc w:val="left"/>
        <w:textAlignment w:val="auto"/>
        <w:outlineLvl w:val="1"/>
        <w:rPr>
          <w:rFonts w:hint="eastAsia" w:ascii="宋体" w:hAnsi="宋体" w:eastAsia="宋体" w:cs="宋体"/>
          <w:b/>
          <w:bCs/>
          <w:color w:val="auto"/>
          <w:kern w:val="2"/>
          <w:sz w:val="21"/>
          <w:szCs w:val="24"/>
          <w:lang w:val="en-US" w:eastAsia="zh-CN" w:bidi="ar-SA"/>
        </w:rPr>
      </w:pPr>
      <w:bookmarkStart w:id="13" w:name="_Toc30643"/>
      <w:bookmarkStart w:id="14" w:name="_Toc9562"/>
      <w:bookmarkStart w:id="15" w:name="_Toc7823"/>
      <w:bookmarkStart w:id="16" w:name="_Toc30971"/>
      <w:bookmarkStart w:id="17" w:name="_Toc23395"/>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60" w:lineRule="exact"/>
        <w:ind w:firstLine="420" w:firstLineChars="200"/>
        <w:jc w:val="left"/>
        <w:textAlignment w:val="auto"/>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eastAsia="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25</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eastAsia="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29</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报名费用：200元。</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2.凡报名成功的供应商无故不来参与磋商的，将列入我院黑名单，一年内不得参与我院任何采购活动。成交供应商缴纳相应服务费。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3269714460@qq.com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项目报名资料并电话通知报名联系人；审核通过后按要求交纳报名费及磋商保证金。</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420" w:left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bookmarkStart w:id="18" w:name="_Toc27480"/>
      <w:bookmarkStart w:id="19" w:name="_Toc25869"/>
      <w:bookmarkStart w:id="20" w:name="_Toc15111"/>
      <w:bookmarkStart w:id="21" w:name="_Toc10738"/>
      <w:bookmarkStart w:id="22" w:name="_Toc15135"/>
      <w:r>
        <w:rPr>
          <w:rFonts w:hint="eastAsia" w:ascii="宋体" w:hAnsi="宋体" w:eastAsia="宋体" w:cs="宋体"/>
          <w:b/>
          <w:bCs/>
          <w:color w:val="auto"/>
          <w:kern w:val="2"/>
          <w:sz w:val="21"/>
          <w:szCs w:val="21"/>
          <w:shd w:val="clear" w:color="auto" w:fill="FFFFFF"/>
          <w:lang w:val="en-US" w:eastAsia="zh-CN" w:bidi="ar-SA"/>
        </w:rPr>
        <w:t>四、磋商截止时间及地点</w:t>
      </w:r>
      <w:bookmarkEnd w:id="18"/>
      <w:bookmarkEnd w:id="19"/>
      <w:bookmarkEnd w:id="20"/>
      <w:bookmarkEnd w:id="21"/>
      <w:bookmarkEnd w:id="22"/>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lang w:val="en-US" w:eastAsia="zh-CN" w:bidi="ar-SA"/>
        </w:rPr>
      </w:pPr>
      <w:bookmarkStart w:id="23" w:name="_Toc29784"/>
      <w:bookmarkStart w:id="24" w:name="_Toc20287"/>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公告在《驻马店市中心医院》院内网</w:t>
      </w:r>
      <w:r>
        <w:rPr>
          <w:rFonts w:hint="eastAsia" w:ascii="宋体" w:hAnsi="宋体" w:eastAsia="宋体" w:cs="宋体"/>
          <w:color w:val="auto"/>
          <w:sz w:val="21"/>
          <w:szCs w:val="21"/>
          <w:shd w:val="clear" w:color="auto" w:fill="auto"/>
        </w:rPr>
        <w:t>上发布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pageBreakBefore w:val="0"/>
        <w:widowControl/>
        <w:kinsoku/>
        <w:overflowPunct/>
        <w:topLinePunct w:val="0"/>
        <w:bidi w:val="0"/>
        <w:adjustRightInd w:val="0"/>
        <w:snapToGrid w:val="0"/>
        <w:spacing w:before="0" w:line="460" w:lineRule="exact"/>
        <w:jc w:val="left"/>
        <w:textAlignment w:val="auto"/>
        <w:outlineLvl w:val="1"/>
        <w:rPr>
          <w:rFonts w:hint="eastAsia" w:ascii="宋体" w:hAnsi="宋体" w:eastAsia="宋体" w:cs="宋体"/>
          <w:b/>
          <w:bCs/>
          <w:color w:val="auto"/>
          <w:kern w:val="2"/>
          <w:sz w:val="21"/>
          <w:szCs w:val="21"/>
          <w:highlight w:val="none"/>
          <w:lang w:val="en-US" w:eastAsia="zh-CN" w:bidi="ar-SA"/>
        </w:rPr>
      </w:pPr>
      <w:bookmarkStart w:id="29" w:name="_Toc24274"/>
      <w:bookmarkStart w:id="30" w:name="_Toc31928"/>
      <w:bookmarkStart w:id="31" w:name="_Toc3604"/>
      <w:bookmarkStart w:id="32" w:name="_Toc16291"/>
      <w:bookmarkStart w:id="33" w:name="_Toc27370"/>
      <w:r>
        <w:rPr>
          <w:rFonts w:hint="eastAsia" w:ascii="宋体" w:hAnsi="宋体" w:eastAsia="宋体" w:cs="宋体"/>
          <w:b/>
          <w:bCs/>
          <w:color w:val="auto"/>
          <w:kern w:val="2"/>
          <w:sz w:val="21"/>
          <w:szCs w:val="21"/>
          <w:shd w:val="clear" w:color="auto" w:fill="FFFFFF"/>
          <w:lang w:val="en-US" w:eastAsia="zh-CN" w:bidi="ar-SA"/>
        </w:rPr>
        <w:t>七、</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报名联系人1：张先生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联系电话：15518321111</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报名联系人2：庞先生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联系电话：18272909999</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adjustRightInd w:val="0"/>
        <w:snapToGrid w:val="0"/>
        <w:spacing w:before="0" w:beforeAutospacing="0" w:afterAutospacing="0" w:line="46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3"/>
        <w:keepNext w:val="0"/>
        <w:keepLines w:val="0"/>
        <w:pageBreakBefore w:val="0"/>
        <w:kinsoku/>
        <w:overflowPunct/>
        <w:topLinePunct w:val="0"/>
        <w:bidi w:val="0"/>
        <w:adjustRightInd w:val="0"/>
        <w:snapToGrid w:val="0"/>
        <w:spacing w:line="360" w:lineRule="auto"/>
        <w:textAlignment w:val="auto"/>
        <w:rPr>
          <w:rFonts w:hint="eastAsia" w:ascii="宋体" w:hAnsi="宋体" w:eastAsia="宋体" w:cs="宋体"/>
          <w:lang w:val="en-US" w:eastAsia="zh-CN"/>
        </w:rPr>
      </w:pPr>
    </w:p>
    <w:p>
      <w:pPr>
        <w:keepNext w:val="0"/>
        <w:keepLines w:val="0"/>
        <w:pageBreakBefore w:val="0"/>
        <w:widowControl/>
        <w:kinsoku/>
        <w:overflowPunct/>
        <w:topLinePunct w:val="0"/>
        <w:bidi w:val="0"/>
        <w:adjustRightInd w:val="0"/>
        <w:snapToGrid w:val="0"/>
        <w:spacing w:before="0" w:beforeAutospacing="0" w:afterAutospacing="0" w:line="360" w:lineRule="auto"/>
        <w:ind w:firstLine="420" w:firstLineChars="200"/>
        <w:jc w:val="right"/>
        <w:textAlignment w:val="auto"/>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rPr>
          <w:rFonts w:hint="eastAsia" w:ascii="宋体" w:hAnsi="宋体" w:eastAsia="宋体" w:cs="宋体"/>
        </w:rPr>
      </w:pPr>
      <w:r>
        <w:rPr>
          <w:rFonts w:hint="eastAsia" w:ascii="宋体" w:hAnsi="宋体" w:eastAsia="宋体" w:cs="宋体"/>
          <w:kern w:val="0"/>
          <w:sz w:val="21"/>
          <w:szCs w:val="21"/>
          <w:shd w:val="clear" w:color="auto" w:fill="FFFFFF"/>
          <w:lang w:val="en-US" w:eastAsia="zh-CN" w:bidi="ar-SA"/>
        </w:rPr>
        <w:t xml:space="preserve">                                                                  2022年11月</w:t>
      </w:r>
      <w:r>
        <w:rPr>
          <w:rFonts w:hint="eastAsia" w:ascii="宋体" w:hAnsi="宋体" w:cs="宋体"/>
          <w:kern w:val="0"/>
          <w:sz w:val="21"/>
          <w:szCs w:val="21"/>
          <w:shd w:val="clear" w:color="auto" w:fill="FFFFFF"/>
          <w:lang w:val="en-US" w:eastAsia="zh-CN" w:bidi="ar-SA"/>
        </w:rPr>
        <w:t>24</w:t>
      </w:r>
      <w:bookmarkStart w:id="92" w:name="_GoBack"/>
      <w:bookmarkEnd w:id="92"/>
      <w:r>
        <w:rPr>
          <w:rFonts w:hint="eastAsia" w:ascii="宋体" w:hAnsi="宋体" w:eastAsia="宋体" w:cs="宋体"/>
          <w:kern w:val="0"/>
          <w:sz w:val="21"/>
          <w:szCs w:val="21"/>
          <w:highlight w:val="none"/>
          <w:shd w:val="clear" w:color="auto" w:fill="FFFFFF"/>
          <w:lang w:val="en-US" w:eastAsia="zh-CN" w:bidi="ar-SA"/>
        </w:rPr>
        <w:t>日</w:t>
      </w: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hint="eastAsia" w:ascii="宋体" w:hAnsi="宋体" w:eastAsia="宋体" w:cs="宋体"/>
          <w:b/>
          <w:color w:val="auto"/>
          <w:sz w:val="32"/>
          <w:szCs w:val="32"/>
          <w:highlight w:val="none"/>
        </w:rPr>
      </w:pPr>
      <w:bookmarkStart w:id="34" w:name="_Toc25063"/>
      <w:bookmarkStart w:id="35" w:name="_Toc29890"/>
      <w:bookmarkStart w:id="36" w:name="_Toc23793"/>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keepNext w:val="0"/>
        <w:keepLines w:val="0"/>
        <w:pageBreakBefore w:val="0"/>
        <w:widowControl/>
        <w:kinsoku/>
        <w:wordWrap/>
        <w:overflowPunct/>
        <w:topLinePunct w:val="0"/>
        <w:autoSpaceDE/>
        <w:autoSpaceDN/>
        <w:bidi w:val="0"/>
        <w:adjustRightInd w:val="0"/>
        <w:snapToGrid/>
        <w:spacing w:beforeAutospacing="0" w:afterAutospacing="0" w:line="500" w:lineRule="exact"/>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b/>
          <w:bCs/>
          <w:kern w:val="2"/>
          <w:sz w:val="21"/>
          <w:szCs w:val="24"/>
          <w:lang w:val="en-US" w:eastAsia="zh-CN" w:bidi="ar-SA"/>
        </w:rPr>
        <w:t>一、项目名称：</w:t>
      </w:r>
      <w:r>
        <w:rPr>
          <w:rFonts w:hint="eastAsia" w:ascii="宋体" w:hAnsi="宋体" w:eastAsia="宋体" w:cs="宋体"/>
          <w:color w:val="auto"/>
          <w:szCs w:val="21"/>
          <w:highlight w:val="none"/>
          <w:shd w:val="clear" w:color="auto" w:fill="FFFFFF"/>
          <w:lang w:eastAsia="zh-CN"/>
        </w:rPr>
        <w:t>医院智慧健康教育平台</w:t>
      </w:r>
    </w:p>
    <w:p>
      <w:pPr>
        <w:keepNext w:val="0"/>
        <w:keepLines w:val="0"/>
        <w:pageBreakBefore w:val="0"/>
        <w:kinsoku/>
        <w:wordWrap/>
        <w:overflowPunct/>
        <w:topLinePunct w:val="0"/>
        <w:autoSpaceDE/>
        <w:autoSpaceDN/>
        <w:bidi w:val="0"/>
        <w:snapToGrid/>
        <w:spacing w:beforeAutospacing="0" w:afterAutospacing="0" w:line="500" w:lineRule="exact"/>
        <w:jc w:val="both"/>
        <w:textAlignment w:val="auto"/>
        <w:rPr>
          <w:rFonts w:hint="eastAsia" w:ascii="宋体" w:hAnsi="宋体" w:eastAsia="宋体" w:cs="宋体"/>
          <w:b/>
          <w:bCs/>
        </w:rPr>
      </w:pPr>
      <w:r>
        <w:rPr>
          <w:rFonts w:hint="eastAsia" w:ascii="宋体" w:hAnsi="宋体" w:eastAsia="宋体" w:cs="宋体"/>
          <w:b/>
          <w:bCs/>
          <w:kern w:val="2"/>
          <w:sz w:val="21"/>
          <w:szCs w:val="24"/>
          <w:lang w:val="en-US" w:eastAsia="zh-CN" w:bidi="ar-SA"/>
        </w:rPr>
        <w:t>二、采购需求及产品技术参数要求：</w:t>
      </w:r>
    </w:p>
    <w:bookmarkEnd w:id="35"/>
    <w:bookmarkEnd w:id="36"/>
    <w:p>
      <w:pPr>
        <w:pStyle w:val="8"/>
        <w:keepNext w:val="0"/>
        <w:keepLines w:val="0"/>
        <w:pageBreakBefore w:val="0"/>
        <w:kinsoku/>
        <w:wordWrap/>
        <w:overflowPunct/>
        <w:topLinePunct w:val="0"/>
        <w:autoSpaceDE/>
        <w:autoSpaceDN/>
        <w:bidi w:val="0"/>
        <w:snapToGrid/>
        <w:spacing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 xml:space="preserve"> 1.技术要求</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（1）基于移动端构建：健康教育智慧服务平台可与微信体系协同，依托医院微信服务号，可在病房、社区、新冠疫情防控、疫苗接种等多种场景部署使用，为不同类型人群提供健康教育服务。</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（2）可以开展用户学习行为分析：可以通过算法对用户的学习行为进行分析，判定用户的学习情况是否有效，并对用户学习情况进行统计分析。</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（3）多端口灵活操作：可以在手机端、电脑端进行灵活登录操作。</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2.功能要求</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1）构建全院健康教育知识库：为医院的每个科室整理、构建科室专属的“健康教育知识库”，为每个科室构建线上教育中心，提供健康教育内容的整理、美化排版、审校、维护的日常服务，院内各科室之间可以实现健康教育内容的协作共享。</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2）多层级管理和场景全覆盖：依托移动互联网技术，按照医院各个管理层级配置移动端健康教育系统。为医院及分院区各科室建立各自的线上移动健康教育中心。可以在门诊、病房等多种场景使用，做到医院使用场景的全覆盖。</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3）健康教育内容的信息推送：宣教、随访、出院健康处方推送可以通过微信系统进行。可以根据患者分类，给患者群发健康教育内容，也可设置系统定时发送和未读重发功能。能够提供住院患者和家属的健康教育服务，支持如图文、音频、视频等多种形式的健康教育模式。给患者发送图文或语音等个性化内容。可以针对某一类患者，如高血压患者，制定标准的推送计划，预设好以后系统定时自动推送相关内容。</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4）随访及满意度调查：能够为患者提供健康教育随访服务，可以自定义设置随访问卷内容，系统可以对随访问卷进行统计分析。患者满意度调查：根据医院满意度调查需要，支持自定义创建调查问卷。调查问卷支持患者自主填写和医院推送填写，可以查看全院及科室满意度调查统计结果和患者满意度的填写详情。可以设置调查问卷的自动推送。</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（5）数据统计分析：对各科室、各病床的健康教育情况进行数据统计。可以对科室的健康教育工作情况进行排名。能够对患者健康教育数据进行分析，生成可视化的数据报告。</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（6）用户学习行为分析：可以通过算法对患者的学习行为进行分析，判定用户的学习情况是否有效。</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7）团队管理和患者咨询：可以通过管理后台添加科室成员为团队成员，并为成员分配床位，成员可以在移动端查阅自己管理的患者相关情况。提供患者向科室咨询的交互功能，科室医护人员可根据患者问题进行指导，支持文字或语音回复。</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（8）多端口灵活操作。可以在手机端、电脑端进行灵活登录操作。</w:t>
      </w:r>
    </w:p>
    <w:p>
      <w:pPr>
        <w:pStyle w:val="8"/>
        <w:keepNext w:val="0"/>
        <w:keepLines w:val="0"/>
        <w:pageBreakBefore w:val="0"/>
        <w:kinsoku/>
        <w:wordWrap/>
        <w:overflowPunct/>
        <w:topLinePunct w:val="0"/>
        <w:autoSpaceDE/>
        <w:autoSpaceDN/>
        <w:bidi w:val="0"/>
        <w:snapToGrid/>
        <w:spacing w:before="0" w:beforeAutospacing="0" w:after="0" w:afterAutospacing="0" w:line="500" w:lineRule="exact"/>
        <w:ind w:left="0" w:leftChars="0"/>
        <w:jc w:val="lef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3.服务要求</w:t>
      </w:r>
    </w:p>
    <w:p>
      <w:pPr>
        <w:keepNext w:val="0"/>
        <w:keepLines w:val="0"/>
        <w:pageBreakBefore w:val="0"/>
        <w:kinsoku/>
        <w:wordWrap/>
        <w:overflowPunct/>
        <w:topLinePunct w:val="0"/>
        <w:autoSpaceDE/>
        <w:autoSpaceDN/>
        <w:bidi w:val="0"/>
        <w:snapToGrid/>
        <w:spacing w:beforeAutospacing="0" w:afterAutospacing="0" w:line="500" w:lineRule="exact"/>
        <w:ind w:firstLine="420"/>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提供全国健康教育资源的共建共享支持：本医院的健康教育知识库可以与全国其他知名医院的健康教育知识库实现云端联动、内容共建共享；每年提供健康科普内容制作、健康教育技能培训等专家课程支持。</w:t>
      </w:r>
    </w:p>
    <w:p>
      <w:pPr>
        <w:keepNext w:val="0"/>
        <w:keepLines w:val="0"/>
        <w:pageBreakBefore w:val="0"/>
        <w:kinsoku/>
        <w:wordWrap/>
        <w:overflowPunct/>
        <w:topLinePunct w:val="0"/>
        <w:autoSpaceDE/>
        <w:autoSpaceDN/>
        <w:bidi w:val="0"/>
        <w:snapToGrid/>
        <w:spacing w:beforeAutospacing="0" w:afterAutospacing="0" w:line="500" w:lineRule="exac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4.其他要求</w:t>
      </w:r>
    </w:p>
    <w:p>
      <w:pPr>
        <w:keepNext w:val="0"/>
        <w:keepLines w:val="0"/>
        <w:pageBreakBefore w:val="0"/>
        <w:kinsoku/>
        <w:wordWrap/>
        <w:overflowPunct/>
        <w:topLinePunct w:val="0"/>
        <w:autoSpaceDE/>
        <w:autoSpaceDN/>
        <w:bidi w:val="0"/>
        <w:snapToGrid/>
        <w:spacing w:beforeAutospacing="0" w:afterAutospacing="0" w:line="500" w:lineRule="exac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 xml:space="preserve">（1）提供日常编辑服务支持：为医院匹配1名线上医学高级编辑，提供日常健康教育内容的编辑审核与整理上传，定期开展后台数据整理与维护服务。远程在线协助甲方开展健康教育内容库建设、更新和维护，及时响应甲方在开展健康教育方面的需求。    </w:t>
      </w:r>
    </w:p>
    <w:p>
      <w:pPr>
        <w:keepNext w:val="0"/>
        <w:keepLines w:val="0"/>
        <w:pageBreakBefore w:val="0"/>
        <w:kinsoku/>
        <w:wordWrap/>
        <w:overflowPunct/>
        <w:topLinePunct w:val="0"/>
        <w:autoSpaceDE/>
        <w:autoSpaceDN/>
        <w:bidi w:val="0"/>
        <w:snapToGrid/>
        <w:spacing w:beforeAutospacing="0" w:afterAutospacing="0" w:line="500" w:lineRule="exac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（2）日常技术支持服务，为该系统的各使用方提供在线辅导、培训与客服支持，确保系统正常使用；</w:t>
      </w:r>
    </w:p>
    <w:p>
      <w:pPr>
        <w:keepNext w:val="0"/>
        <w:keepLines w:val="0"/>
        <w:pageBreakBefore w:val="0"/>
        <w:kinsoku/>
        <w:wordWrap/>
        <w:overflowPunct/>
        <w:topLinePunct w:val="0"/>
        <w:autoSpaceDE/>
        <w:autoSpaceDN/>
        <w:bidi w:val="0"/>
        <w:snapToGrid/>
        <w:spacing w:beforeAutospacing="0" w:afterAutospacing="0" w:line="500" w:lineRule="exact"/>
        <w:textAlignment w:val="auto"/>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kern w:val="2"/>
          <w:sz w:val="21"/>
          <w:szCs w:val="21"/>
          <w:highlight w:val="none"/>
          <w:shd w:val="clear" w:color="auto" w:fill="FFFFFF"/>
          <w:lang w:val="en-US" w:eastAsia="zh-CN" w:bidi="ar-SA"/>
        </w:rPr>
        <w:t>（3）提供高效的服务，当系统出现故障后应可以在1小时内提供远程技术支持，故障严重或医院要求的情况下4小时内到达现场解决问题，并在12小时内完成故障处理工作。</w:t>
      </w:r>
    </w:p>
    <w:p>
      <w:pPr>
        <w:keepNext w:val="0"/>
        <w:keepLines w:val="0"/>
        <w:pageBreakBefore w:val="0"/>
        <w:kinsoku/>
        <w:wordWrap/>
        <w:overflowPunct/>
        <w:topLinePunct w:val="0"/>
        <w:autoSpaceDE/>
        <w:autoSpaceDN/>
        <w:bidi w:val="0"/>
        <w:snapToGrid/>
        <w:spacing w:beforeAutospacing="0" w:afterAutospacing="0" w:line="500" w:lineRule="exact"/>
        <w:textAlignment w:val="auto"/>
        <w:rPr>
          <w:rFonts w:hint="eastAsia" w:ascii="宋体" w:hAnsi="宋体" w:eastAsia="宋体" w:cs="宋体"/>
          <w:b/>
          <w:bCs/>
          <w:color w:val="auto"/>
          <w:sz w:val="30"/>
          <w:szCs w:val="30"/>
          <w:highlight w:val="none"/>
        </w:rPr>
      </w:pPr>
      <w:bookmarkStart w:id="40" w:name="bookmark39"/>
      <w:bookmarkEnd w:id="40"/>
      <w:r>
        <w:rPr>
          <w:rFonts w:hint="eastAsia" w:ascii="宋体" w:hAnsi="宋体" w:eastAsia="宋体" w:cs="宋体"/>
          <w:color w:val="auto"/>
          <w:kern w:val="2"/>
          <w:sz w:val="21"/>
          <w:szCs w:val="21"/>
          <w:highlight w:val="none"/>
          <w:shd w:val="clear" w:color="auto" w:fill="FFFFFF"/>
          <w:lang w:val="en-US" w:eastAsia="zh-CN" w:bidi="ar-SA"/>
        </w:rPr>
        <w:t xml:space="preserve">（4）合同签订后30天内完成医院智慧健康教育平台构建。 </w:t>
      </w:r>
      <w:r>
        <w:rPr>
          <w:rFonts w:hint="eastAsia" w:ascii="宋体" w:hAnsi="宋体" w:eastAsia="宋体" w:cs="宋体"/>
          <w:color w:val="auto"/>
          <w:kern w:val="2"/>
          <w:sz w:val="21"/>
          <w:szCs w:val="21"/>
          <w:highlight w:val="none"/>
          <w:shd w:val="clear" w:color="auto" w:fill="FFFFFF"/>
          <w:lang w:val="en-US" w:eastAsia="zh-CN" w:bidi="ar-SA"/>
        </w:rPr>
        <w:br w:type="page"/>
      </w:r>
    </w:p>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商务要求</w:t>
      </w:r>
    </w:p>
    <w:tbl>
      <w:tblPr>
        <w:tblStyle w:val="34"/>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合同签订后30天内完成医院智慧健康教育平台构建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8"/>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成交人须提供后期服务保障和技术支持。</w:t>
            </w:r>
          </w:p>
        </w:tc>
      </w:tr>
    </w:tbl>
    <w:p>
      <w:pPr>
        <w:keepNext w:val="0"/>
        <w:keepLines w:val="0"/>
        <w:pageBreakBefore w:val="0"/>
        <w:widowControl w:val="0"/>
        <w:kinsoku/>
        <w:wordWrap/>
        <w:overflowPunct/>
        <w:topLinePunct w:val="0"/>
        <w:autoSpaceDE/>
        <w:autoSpaceDN/>
        <w:bidi w:val="0"/>
        <w:adjustRightInd/>
        <w:snapToGrid/>
        <w:spacing w:before="161" w:beforeLines="50" w:line="360" w:lineRule="auto"/>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采购人对项目的特殊要求及说明</w:t>
      </w:r>
    </w:p>
    <w:tbl>
      <w:tblPr>
        <w:tblStyle w:val="34"/>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napToGrid w:val="0"/>
              <w:spacing w:line="360" w:lineRule="auto"/>
              <w:rPr>
                <w:rFonts w:hint="eastAsia" w:ascii="宋体" w:hAnsi="宋体" w:eastAsia="宋体" w:cs="宋体"/>
              </w:rPr>
            </w:pPr>
            <w:r>
              <w:rPr>
                <w:rFonts w:hint="eastAsia" w:ascii="宋体" w:hAnsi="宋体" w:eastAsia="宋体" w:cs="宋体"/>
              </w:rPr>
              <w:t>不接受联合体</w:t>
            </w:r>
            <w:r>
              <w:rPr>
                <w:rFonts w:hint="eastAsia" w:ascii="宋体" w:hAnsi="宋体" w:eastAsia="宋体" w:cs="宋体"/>
                <w:lang w:eastAsia="zh-CN"/>
              </w:rPr>
              <w:t>磋商</w:t>
            </w:r>
            <w:r>
              <w:rPr>
                <w:rFonts w:hint="eastAsia" w:ascii="宋体" w:hAnsi="宋体" w:eastAsia="宋体" w:cs="宋体"/>
              </w:rPr>
              <w:t>，不允许转包和分包。</w:t>
            </w:r>
          </w:p>
          <w:p>
            <w:pPr>
              <w:widowControl/>
              <w:snapToGrid w:val="0"/>
              <w:spacing w:line="360" w:lineRule="auto"/>
              <w:rPr>
                <w:rFonts w:hint="eastAsia" w:ascii="宋体" w:hAnsi="宋体" w:eastAsia="宋体" w:cs="宋体"/>
                <w:lang w:val="en-US" w:eastAsia="zh-CN"/>
              </w:rPr>
            </w:pPr>
            <w:r>
              <w:rPr>
                <w:rFonts w:hint="eastAsia" w:ascii="宋体" w:hAnsi="宋体" w:eastAsia="宋体" w:cs="宋体"/>
                <w:lang w:val="en-US" w:eastAsia="zh-CN"/>
              </w:rPr>
              <w:t>2、授权磋商小组确定一名成交人并推荐两名成交候选人。</w:t>
            </w:r>
          </w:p>
          <w:p>
            <w:pPr>
              <w:widowControl/>
              <w:snapToGrid w:val="0"/>
              <w:spacing w:line="360" w:lineRule="auto"/>
              <w:rPr>
                <w:rFonts w:hint="eastAsia" w:ascii="宋体" w:hAnsi="宋体" w:eastAsia="宋体" w:cs="宋体"/>
                <w:lang w:val="en-US" w:eastAsia="zh-CN"/>
              </w:rPr>
            </w:pPr>
            <w:r>
              <w:rPr>
                <w:rFonts w:hint="eastAsia" w:ascii="宋体" w:hAnsi="宋体" w:eastAsia="宋体" w:cs="宋体"/>
                <w:lang w:val="en-US" w:eastAsia="zh-CN"/>
              </w:rPr>
              <w:t>3、供应商应根据采购文件的要求提供技术响应表、商务响应表等内容以对采购文件作出响应。</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sz w:val="32"/>
          <w:szCs w:val="32"/>
          <w:highlight w:val="none"/>
        </w:rPr>
        <w:br w:type="page"/>
      </w:r>
    </w:p>
    <w:p>
      <w:pPr>
        <w:pStyle w:val="3"/>
        <w:spacing w:before="0" w:after="0" w:line="240" w:lineRule="atLeast"/>
        <w:jc w:val="center"/>
        <w:rPr>
          <w:rFonts w:hint="eastAsia" w:ascii="宋体" w:hAnsi="宋体" w:eastAsia="宋体" w:cs="宋体"/>
          <w:color w:val="auto"/>
          <w:sz w:val="32"/>
          <w:szCs w:val="32"/>
          <w:highlight w:val="none"/>
        </w:rPr>
      </w:pPr>
      <w:bookmarkStart w:id="41" w:name="_Toc14504"/>
      <w:r>
        <w:rPr>
          <w:rFonts w:hint="eastAsia" w:ascii="宋体" w:hAnsi="宋体" w:eastAsia="宋体" w:cs="宋体"/>
          <w:color w:val="auto"/>
          <w:sz w:val="32"/>
          <w:szCs w:val="32"/>
          <w:highlight w:val="none"/>
        </w:rPr>
        <w:t xml:space="preserve">第三章  </w:t>
      </w:r>
      <w:r>
        <w:rPr>
          <w:rFonts w:hint="eastAsia" w:ascii="宋体" w:hAnsi="宋体" w:eastAsia="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bookmarkEnd w:id="41"/>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4"/>
        <w:tblW w:w="9676" w:type="dxa"/>
        <w:jc w:val="center"/>
        <w:tblLayout w:type="fixed"/>
        <w:tblCellMar>
          <w:top w:w="0" w:type="dxa"/>
          <w:left w:w="0" w:type="dxa"/>
          <w:bottom w:w="0" w:type="dxa"/>
          <w:right w:w="0" w:type="dxa"/>
        </w:tblCellMar>
      </w:tblPr>
      <w:tblGrid>
        <w:gridCol w:w="946"/>
        <w:gridCol w:w="8730"/>
      </w:tblGrid>
      <w:tr>
        <w:tblPrEx>
          <w:tblCellMar>
            <w:top w:w="0" w:type="dxa"/>
            <w:left w:w="0" w:type="dxa"/>
            <w:bottom w:w="0" w:type="dxa"/>
            <w:right w:w="0" w:type="dxa"/>
          </w:tblCellMar>
        </w:tblPrEx>
        <w:trPr>
          <w:trHeight w:val="450" w:hRule="atLeast"/>
          <w:jc w:val="center"/>
        </w:trPr>
        <w:tc>
          <w:tcPr>
            <w:tcW w:w="94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73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outlineLvl w:val="0"/>
              <w:rPr>
                <w:rFonts w:hint="eastAsia" w:ascii="宋体" w:hAnsi="宋体" w:eastAsia="宋体" w:cs="宋体"/>
              </w:rPr>
            </w:pPr>
            <w:r>
              <w:rPr>
                <w:rFonts w:hint="eastAsia" w:ascii="宋体" w:hAnsi="宋体" w:eastAsia="宋体" w:cs="宋体"/>
                <w:color w:val="auto"/>
                <w:highlight w:val="none"/>
              </w:rPr>
              <w:t>1.1 项目名称：</w:t>
            </w:r>
            <w:r>
              <w:rPr>
                <w:rFonts w:hint="eastAsia" w:ascii="宋体" w:hAnsi="宋体" w:eastAsia="宋体" w:cs="宋体"/>
                <w:color w:val="auto"/>
                <w:szCs w:val="21"/>
                <w:highlight w:val="none"/>
                <w:shd w:val="clear" w:color="auto" w:fill="FFFFFF"/>
                <w:lang w:eastAsia="zh-CN"/>
              </w:rPr>
              <w:t>医院智慧健康教育平台</w:t>
            </w:r>
          </w:p>
          <w:p>
            <w:pPr>
              <w:keepNext w:val="0"/>
              <w:keepLines w:val="0"/>
              <w:pageBreakBefore w:val="0"/>
              <w:widowControl/>
              <w:kinsoku/>
              <w:wordWrap/>
              <w:overflowPunct/>
              <w:topLinePunct w:val="0"/>
              <w:autoSpaceDE/>
              <w:autoSpaceDN/>
              <w:bidi w:val="0"/>
              <w:adjustRightInd/>
              <w:snapToGrid/>
              <w:spacing w:line="360" w:lineRule="auto"/>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1.2 采购人名称：驻马店市中心医院</w:t>
            </w:r>
          </w:p>
          <w:p>
            <w:pPr>
              <w:keepNext w:val="0"/>
              <w:keepLines w:val="0"/>
              <w:pageBreakBefore w:val="0"/>
              <w:widowControl/>
              <w:kinsoku/>
              <w:wordWrap/>
              <w:overflowPunct/>
              <w:topLinePunct w:val="0"/>
              <w:autoSpaceDE/>
              <w:autoSpaceDN/>
              <w:bidi w:val="0"/>
              <w:adjustRightInd/>
              <w:snapToGrid/>
              <w:spacing w:line="360" w:lineRule="auto"/>
              <w:jc w:val="left"/>
              <w:outlineLvl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采购范围：详</w:t>
            </w:r>
            <w:r>
              <w:rPr>
                <w:rFonts w:hint="eastAsia" w:ascii="宋体" w:hAnsi="宋体" w:eastAsia="宋体" w:cs="宋体"/>
                <w:color w:val="auto"/>
                <w:highlight w:val="none"/>
                <w:lang w:val="en-US" w:eastAsia="zh-CN"/>
              </w:rPr>
              <w:t>见第二章采购</w:t>
            </w:r>
            <w:r>
              <w:rPr>
                <w:rFonts w:hint="eastAsia" w:ascii="宋体" w:hAnsi="宋体" w:eastAsia="宋体" w:cs="宋体"/>
                <w:color w:val="auto"/>
                <w:highlight w:val="none"/>
              </w:rPr>
              <w:t>需求</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tabs>
                <w:tab w:val="left" w:pos="84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采购预算（最高</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限价）：</w:t>
            </w:r>
            <w:r>
              <w:rPr>
                <w:rFonts w:hint="eastAsia" w:ascii="宋体" w:hAnsi="宋体" w:eastAsia="宋体" w:cs="宋体"/>
                <w:color w:val="auto"/>
                <w:kern w:val="0"/>
                <w:szCs w:val="21"/>
                <w:highlight w:val="none"/>
                <w:lang w:val="en-US" w:eastAsia="zh-CN"/>
              </w:rPr>
              <w:t>4</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lang w:val="en-US" w:eastAsia="zh-CN"/>
              </w:rPr>
              <w:t>万元</w:t>
            </w:r>
            <w:r>
              <w:rPr>
                <w:rFonts w:hint="eastAsia" w:ascii="宋体" w:hAnsi="宋体" w:eastAsia="宋体" w:cs="宋体"/>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本项目</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以人民币报价。</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供应商的报价超过采购预算，采购人不能支付的，按废标处理。</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 本项目</w:t>
            </w:r>
            <w:r>
              <w:rPr>
                <w:rFonts w:hint="eastAsia" w:ascii="宋体" w:hAnsi="宋体" w:eastAsia="宋体" w:cs="宋体"/>
                <w:color w:val="auto"/>
                <w:kern w:val="0"/>
                <w:szCs w:val="21"/>
                <w:highlight w:val="none"/>
                <w:lang w:val="en-US" w:eastAsia="zh-CN"/>
              </w:rPr>
              <w:t>由成交供应商缴纳</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代理服务费。</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rPr>
            </w:pPr>
            <w:r>
              <w:rPr>
                <w:rFonts w:hint="eastAsia" w:ascii="宋体" w:hAnsi="宋体" w:eastAsia="宋体" w:cs="宋体"/>
                <w:lang w:eastAsia="zh-CN"/>
              </w:rPr>
              <w:t>响应性文件</w:t>
            </w:r>
            <w:r>
              <w:rPr>
                <w:rFonts w:hint="eastAsia" w:ascii="宋体" w:hAnsi="宋体" w:eastAsia="宋体" w:cs="宋体"/>
              </w:rPr>
              <w:t>组成：纸质</w:t>
            </w:r>
            <w:r>
              <w:rPr>
                <w:rFonts w:hint="eastAsia" w:ascii="宋体" w:hAnsi="宋体" w:eastAsia="宋体" w:cs="宋体"/>
                <w:lang w:eastAsia="zh-CN"/>
              </w:rPr>
              <w:t>响应性文件</w:t>
            </w:r>
            <w:r>
              <w:rPr>
                <w:rFonts w:hint="eastAsia" w:ascii="宋体" w:hAnsi="宋体" w:eastAsia="宋体" w:cs="宋体"/>
              </w:rPr>
              <w:t>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及开标时间</w:t>
            </w:r>
            <w:r>
              <w:rPr>
                <w:rFonts w:hint="eastAsia" w:ascii="宋体" w:hAnsi="宋体" w:eastAsia="宋体" w:cs="宋体"/>
                <w:color w:val="auto"/>
                <w:kern w:val="0"/>
                <w:szCs w:val="21"/>
                <w:highlight w:val="none"/>
              </w:rPr>
              <w:t>：</w:t>
            </w:r>
            <w:r>
              <w:rPr>
                <w:rFonts w:hint="eastAsia" w:ascii="宋体" w:hAnsi="宋体" w:eastAsia="宋体" w:cs="宋体"/>
                <w:color w:val="000000"/>
                <w:szCs w:val="21"/>
                <w:highlight w:val="none"/>
                <w:lang w:val="en-US" w:eastAsia="zh-CN"/>
              </w:rPr>
              <w:t>另行通知</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递交地点</w:t>
            </w:r>
            <w:r>
              <w:rPr>
                <w:rFonts w:hint="eastAsia" w:ascii="宋体" w:hAnsi="宋体" w:eastAsia="宋体" w:cs="宋体"/>
                <w:color w:val="auto"/>
                <w:kern w:val="0"/>
                <w:szCs w:val="21"/>
                <w:highlight w:val="none"/>
                <w:lang w:val="en-US" w:eastAsia="zh-CN"/>
              </w:rPr>
              <w:t>及开标地点</w:t>
            </w:r>
            <w:r>
              <w:rPr>
                <w:rFonts w:hint="eastAsia" w:ascii="宋体" w:hAnsi="宋体" w:eastAsia="宋体" w:cs="宋体"/>
                <w:color w:val="auto"/>
                <w:kern w:val="0"/>
                <w:szCs w:val="21"/>
                <w:highlight w:val="none"/>
              </w:rPr>
              <w:t>：</w:t>
            </w:r>
            <w:r>
              <w:rPr>
                <w:rFonts w:hint="eastAsia" w:ascii="宋体" w:hAnsi="宋体" w:eastAsia="宋体" w:cs="宋体"/>
                <w:color w:val="000000"/>
                <w:szCs w:val="21"/>
                <w:highlight w:val="none"/>
                <w:lang w:val="en-US" w:eastAsia="zh-CN"/>
              </w:rPr>
              <w:t>另行通知</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磋商小组</w:t>
            </w:r>
            <w:r>
              <w:rPr>
                <w:rFonts w:hint="eastAsia" w:ascii="宋体" w:hAnsi="宋体" w:eastAsia="宋体" w:cs="宋体"/>
                <w:color w:val="auto"/>
                <w:szCs w:val="21"/>
                <w:highlight w:val="none"/>
              </w:rPr>
              <w:t>成</w:t>
            </w:r>
            <w:r>
              <w:rPr>
                <w:rFonts w:hint="eastAsia" w:ascii="宋体" w:hAnsi="宋体" w:eastAsia="宋体" w:cs="宋体"/>
                <w:color w:val="auto"/>
                <w:kern w:val="0"/>
                <w:szCs w:val="21"/>
                <w:highlight w:val="none"/>
              </w:rPr>
              <w:t>员：</w:t>
            </w:r>
            <w:r>
              <w:rPr>
                <w:rFonts w:hint="eastAsia" w:ascii="宋体" w:hAnsi="宋体" w:eastAsia="宋体" w:cs="宋体"/>
                <w:color w:val="auto"/>
                <w:szCs w:val="21"/>
                <w:highlight w:val="none"/>
                <w:lang w:val="en-US" w:eastAsia="zh-CN"/>
              </w:rPr>
              <w:t>3</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及以上单数</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专家确定方式：</w:t>
            </w:r>
            <w:r>
              <w:rPr>
                <w:rFonts w:hint="eastAsia" w:ascii="宋体" w:hAnsi="宋体" w:eastAsia="宋体" w:cs="宋体"/>
                <w:color w:val="auto"/>
                <w:kern w:val="0"/>
                <w:szCs w:val="21"/>
                <w:highlight w:val="none"/>
              </w:rPr>
              <w:t>由采购人</w:t>
            </w:r>
            <w:r>
              <w:rPr>
                <w:rFonts w:hint="eastAsia" w:ascii="宋体" w:hAnsi="宋体" w:eastAsia="宋体" w:cs="宋体"/>
                <w:color w:val="auto"/>
                <w:kern w:val="0"/>
                <w:szCs w:val="21"/>
                <w:highlight w:val="none"/>
                <w:lang w:val="en-US" w:eastAsia="zh-CN"/>
              </w:rPr>
              <w:t>抽取相关的技术人员组成</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8 </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评标办法：</w:t>
            </w:r>
            <w:r>
              <w:rPr>
                <w:rFonts w:hint="eastAsia" w:ascii="宋体" w:hAnsi="宋体" w:eastAsia="宋体" w:cs="宋体"/>
                <w:color w:val="auto"/>
                <w:kern w:val="0"/>
                <w:szCs w:val="21"/>
                <w:highlight w:val="none"/>
              </w:rPr>
              <w:t>本项目采用</w:t>
            </w:r>
            <w:r>
              <w:rPr>
                <w:rFonts w:hint="eastAsia" w:ascii="宋体" w:hAnsi="宋体" w:eastAsia="宋体" w:cs="宋体"/>
                <w:color w:val="auto"/>
                <w:szCs w:val="21"/>
                <w:highlight w:val="none"/>
              </w:rPr>
              <w:t>综合评分法</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公告及</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通知书：由采购人授权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候选人。评审结束后</w:t>
            </w:r>
            <w:r>
              <w:rPr>
                <w:rFonts w:hint="eastAsia" w:ascii="宋体" w:hAnsi="宋体" w:eastAsia="宋体" w:cs="宋体"/>
                <w:color w:val="auto"/>
                <w:kern w:val="0"/>
                <w:szCs w:val="21"/>
                <w:highlight w:val="none"/>
                <w:lang w:val="en-US" w:eastAsia="zh-CN"/>
              </w:rPr>
              <w:t>在</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驻马店市中心医院网</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上发布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w:t>
            </w:r>
            <w:r>
              <w:rPr>
                <w:rFonts w:hint="eastAsia" w:ascii="宋体" w:hAnsi="宋体" w:eastAsia="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FF0000"/>
                <w:kern w:val="0"/>
                <w:szCs w:val="21"/>
                <w:highlight w:val="none"/>
              </w:rPr>
            </w:pPr>
            <w:r>
              <w:rPr>
                <w:rFonts w:hint="eastAsia" w:ascii="宋体" w:hAnsi="宋体" w:eastAsia="宋体" w:cs="宋体"/>
                <w:color w:val="auto"/>
                <w:kern w:val="0"/>
                <w:szCs w:val="21"/>
                <w:highlight w:val="none"/>
              </w:rPr>
              <w:t>11</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FF0000"/>
                <w:kern w:val="0"/>
                <w:szCs w:val="21"/>
                <w:highlight w:val="none"/>
              </w:rPr>
            </w:pPr>
            <w:r>
              <w:rPr>
                <w:rFonts w:hint="eastAsia" w:ascii="宋体" w:hAnsi="宋体" w:eastAsia="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付款方式：详见第二章</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lang w:val="en-US" w:eastAsia="zh-CN"/>
              </w:rPr>
              <w:t>递交</w:t>
            </w:r>
            <w:r>
              <w:rPr>
                <w:rFonts w:hint="eastAsia" w:ascii="宋体" w:hAnsi="宋体" w:eastAsia="宋体" w:cs="宋体"/>
                <w:color w:val="auto"/>
                <w:kern w:val="0"/>
                <w:szCs w:val="21"/>
                <w:highlight w:val="none"/>
              </w:rPr>
              <w:t>截止期结束后</w:t>
            </w:r>
            <w:r>
              <w:rPr>
                <w:rFonts w:hint="eastAsia" w:ascii="宋体" w:hAnsi="宋体" w:eastAsia="宋体" w:cs="宋体"/>
                <w:color w:val="auto"/>
                <w:kern w:val="0"/>
                <w:szCs w:val="21"/>
                <w:highlight w:val="none"/>
                <w:lang w:val="en-US" w:eastAsia="zh-CN"/>
              </w:rPr>
              <w:t>90</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是合同的组成部分,有效期至合同完全履行止。 </w:t>
            </w:r>
          </w:p>
        </w:tc>
      </w:tr>
      <w:tr>
        <w:tblPrEx>
          <w:tblCellMar>
            <w:top w:w="0" w:type="dxa"/>
            <w:left w:w="0" w:type="dxa"/>
            <w:bottom w:w="0" w:type="dxa"/>
            <w:right w:w="0" w:type="dxa"/>
          </w:tblCellMar>
        </w:tblPrEx>
        <w:trPr>
          <w:trHeight w:val="678"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质疑和投诉：供应商认为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4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873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w:t>
            </w:r>
            <w:r>
              <w:rPr>
                <w:rFonts w:hint="eastAsia" w:ascii="宋体" w:hAnsi="宋体" w:eastAsia="宋体" w:cs="宋体"/>
                <w:color w:val="auto"/>
                <w:highlight w:val="none"/>
                <w:lang w:eastAsia="zh-CN"/>
              </w:rPr>
              <w:t>采购磋商</w:t>
            </w:r>
            <w:r>
              <w:rPr>
                <w:rFonts w:hint="eastAsia" w:ascii="宋体" w:hAnsi="宋体" w:eastAsia="宋体" w:cs="宋体"/>
                <w:color w:val="auto"/>
                <w:highlight w:val="none"/>
              </w:rPr>
              <w:t>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spacing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文件仅适用于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”系指</w:t>
      </w:r>
      <w:r>
        <w:rPr>
          <w:rFonts w:hint="eastAsia" w:ascii="宋体" w:hAnsi="宋体" w:eastAsia="宋体" w:cs="宋体"/>
          <w:color w:val="auto"/>
          <w:kern w:val="0"/>
          <w:szCs w:val="21"/>
          <w:highlight w:val="none"/>
          <w:lang w:val="en-US" w:eastAsia="zh-CN"/>
        </w:rPr>
        <w:t>领取</w:t>
      </w:r>
      <w:r>
        <w:rPr>
          <w:rFonts w:hint="eastAsia" w:ascii="宋体" w:hAnsi="宋体" w:eastAsia="宋体" w:cs="宋体"/>
          <w:color w:val="auto"/>
          <w:kern w:val="0"/>
          <w:szCs w:val="21"/>
          <w:highlight w:val="none"/>
        </w:rPr>
        <w:t>了本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文件，且已经提交本次</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代表”系指代表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参加本次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 “货物”系指</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 “相关服务”系指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须承担的与本次采购货物相关的安装、调试、技术协助、校准、培训以及其他类似的义务。</w:t>
      </w:r>
    </w:p>
    <w:p>
      <w:pPr>
        <w:keepNext w:val="0"/>
        <w:keepLines w:val="0"/>
        <w:pageBreakBefore w:val="0"/>
        <w:widowControl/>
        <w:tabs>
          <w:tab w:val="left" w:pos="840"/>
        </w:tabs>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3.本次采购预算（最高限价）为</w:t>
      </w:r>
      <w:r>
        <w:rPr>
          <w:rFonts w:hint="eastAsia" w:ascii="宋体" w:hAnsi="宋体" w:eastAsia="宋体" w:cs="宋体"/>
          <w:b/>
          <w:bCs/>
          <w:color w:val="auto"/>
          <w:kern w:val="0"/>
          <w:szCs w:val="21"/>
          <w:highlight w:val="none"/>
          <w:lang w:val="en-US" w:eastAsia="zh-CN"/>
        </w:rPr>
        <w:t xml:space="preserve"> ：4</w:t>
      </w:r>
      <w:r>
        <w:rPr>
          <w:rFonts w:hint="eastAsia" w:ascii="宋体" w:hAnsi="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lang w:val="en-US" w:eastAsia="zh-CN"/>
        </w:rPr>
        <w:t>0000.00元</w:t>
      </w:r>
      <w:r>
        <w:rPr>
          <w:rFonts w:hint="eastAsia" w:ascii="宋体" w:hAnsi="宋体" w:eastAsia="宋体" w:cs="宋体"/>
          <w:highlight w:val="none"/>
          <w:lang w:val="en-US" w:eastAsia="zh-CN"/>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4.</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应提交的证明文件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4.1供应商应为注册在中华人民共和国境内的，且具有独立承担民事责任能力，提供法人或者其他组织的营业执照等证明文件。单位负责人为同一人或者存在直接控股、管理关系的不同供应商，不得参加同一合同项下的磋商。一经发现，将导致磋商同时被拒绝；</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4.5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5.</w:t>
      </w:r>
      <w:r>
        <w:rPr>
          <w:rFonts w:hint="eastAsia" w:ascii="宋体" w:hAnsi="宋体" w:eastAsia="宋体" w:cs="宋体"/>
          <w:b/>
          <w:bCs/>
          <w:color w:val="auto"/>
          <w:kern w:val="0"/>
          <w:szCs w:val="21"/>
          <w:highlight w:val="none"/>
          <w:lang w:eastAsia="zh-CN"/>
        </w:rPr>
        <w:t>磋商</w:t>
      </w:r>
      <w:r>
        <w:rPr>
          <w:rFonts w:hint="eastAsia" w:ascii="宋体" w:hAnsi="宋体" w:eastAsia="宋体" w:cs="宋体"/>
          <w:b/>
          <w:bCs/>
          <w:color w:val="auto"/>
          <w:kern w:val="0"/>
          <w:szCs w:val="21"/>
          <w:highlight w:val="none"/>
        </w:rPr>
        <w:t>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不论</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结果如何，</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均应自行承担所有与</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6.联合体</w:t>
      </w:r>
      <w:r>
        <w:rPr>
          <w:rFonts w:hint="eastAsia" w:ascii="宋体" w:hAnsi="宋体" w:eastAsia="宋体" w:cs="宋体"/>
          <w:b/>
          <w:bCs/>
          <w:color w:val="auto"/>
          <w:kern w:val="0"/>
          <w:szCs w:val="21"/>
          <w:highlight w:val="none"/>
          <w:lang w:eastAsia="zh-CN"/>
        </w:rPr>
        <w:t>磋商</w:t>
      </w:r>
      <w:r>
        <w:rPr>
          <w:rFonts w:hint="eastAsia" w:ascii="宋体" w:hAnsi="宋体" w:eastAsia="宋体" w:cs="宋体"/>
          <w:b/>
          <w:bCs/>
          <w:color w:val="auto"/>
          <w:kern w:val="0"/>
          <w:szCs w:val="21"/>
          <w:highlight w:val="none"/>
        </w:rPr>
        <w:t>：本项目不接受联合体</w:t>
      </w:r>
      <w:r>
        <w:rPr>
          <w:rFonts w:hint="eastAsia" w:ascii="宋体" w:hAnsi="宋体" w:eastAsia="宋体" w:cs="宋体"/>
          <w:b/>
          <w:bCs/>
          <w:color w:val="auto"/>
          <w:kern w:val="0"/>
          <w:szCs w:val="21"/>
          <w:highlight w:val="none"/>
          <w:lang w:eastAsia="zh-CN"/>
        </w:rPr>
        <w:t>磋商</w:t>
      </w:r>
      <w:r>
        <w:rPr>
          <w:rFonts w:hint="eastAsia" w:ascii="宋体" w:hAnsi="宋体" w:eastAsia="宋体" w:cs="宋体"/>
          <w:b/>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7.关联企业</w:t>
      </w:r>
      <w:r>
        <w:rPr>
          <w:rFonts w:hint="eastAsia" w:ascii="宋体" w:hAnsi="宋体" w:eastAsia="宋体" w:cs="宋体"/>
          <w:b/>
          <w:bCs/>
          <w:color w:val="auto"/>
          <w:kern w:val="0"/>
          <w:szCs w:val="21"/>
          <w:highlight w:val="none"/>
          <w:lang w:eastAsia="zh-CN"/>
        </w:rPr>
        <w:t>磋商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 关联企业中, 同一个法定代表人的两个及两个以上法人，母公司、全资子公司及其控股公司，都不得同时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。单位负责人为同一人或者存在直接控股、管理关系的不同供应商，不得参加同一合同项下的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。一经发现，将导致</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7.3 为采购项目提供整体设计、规范编制或者项目管理、监理、检测等服务的供应商，不得再参加该采购项目的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9.1 </w:t>
      </w:r>
      <w:r>
        <w:rPr>
          <w:rFonts w:hint="eastAsia" w:ascii="宋体" w:hAnsi="宋体" w:eastAsia="宋体" w:cs="宋体"/>
          <w:color w:val="auto"/>
          <w:kern w:val="0"/>
          <w:szCs w:val="21"/>
          <w:highlight w:val="none"/>
          <w:lang w:eastAsia="zh-CN"/>
        </w:rPr>
        <w:t>供应商磋商</w:t>
      </w:r>
      <w:r>
        <w:rPr>
          <w:rFonts w:hint="eastAsia" w:ascii="宋体" w:hAnsi="宋体" w:eastAsia="宋体" w:cs="宋体"/>
          <w:color w:val="auto"/>
          <w:kern w:val="0"/>
          <w:szCs w:val="21"/>
          <w:highlight w:val="none"/>
        </w:rPr>
        <w:t>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代表只能接受一个</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的委托参加</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活动中提供虚假材料或从事其他违法活动的,其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w:t>
      </w:r>
      <w:r>
        <w:rPr>
          <w:rFonts w:hint="eastAsia" w:ascii="宋体" w:hAnsi="宋体" w:eastAsia="宋体" w:cs="宋体"/>
          <w:bCs/>
          <w:color w:val="auto"/>
          <w:kern w:val="0"/>
          <w:szCs w:val="21"/>
          <w:highlight w:val="none"/>
        </w:rPr>
        <w:t>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w:t>
      </w:r>
      <w:r>
        <w:rPr>
          <w:rFonts w:hint="eastAsia" w:ascii="宋体" w:hAnsi="宋体" w:eastAsia="宋体" w:cs="宋体"/>
          <w:color w:val="auto"/>
          <w:kern w:val="0"/>
          <w:szCs w:val="21"/>
          <w:highlight w:val="none"/>
          <w:lang w:val="en-US" w:eastAsia="zh-CN"/>
        </w:rPr>
        <w:t>医院纪检</w:t>
      </w:r>
      <w:r>
        <w:rPr>
          <w:rFonts w:hint="eastAsia" w:ascii="宋体" w:hAnsi="宋体" w:eastAsia="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10.2 </w:t>
      </w:r>
      <w:r>
        <w:rPr>
          <w:rFonts w:hint="eastAsia" w:ascii="宋体" w:hAnsi="宋体" w:eastAsia="宋体" w:cs="宋体"/>
          <w:bCs/>
          <w:color w:val="auto"/>
          <w:kern w:val="0"/>
          <w:szCs w:val="21"/>
          <w:highlight w:val="none"/>
        </w:rPr>
        <w:t>质疑、投诉应当采用书面形式，质疑书、投诉书均应明确阐述</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11.</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文件要求提供全部资料，或者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文件在各方面都作出实质性响应是</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的风险，并可能导致其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12.</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文件的构成。本</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12.6 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格式</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13.</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对已发出的</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文件进行必要澄清、修改或补充的，应当在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前，在</w:t>
      </w:r>
      <w:r>
        <w:rPr>
          <w:rFonts w:hint="eastAsia" w:ascii="宋体" w:hAnsi="宋体" w:eastAsia="宋体" w:cs="宋体"/>
          <w:color w:val="auto"/>
          <w:kern w:val="0"/>
          <w:szCs w:val="21"/>
          <w:highlight w:val="none"/>
          <w:lang w:val="en-US" w:eastAsia="zh-CN"/>
        </w:rPr>
        <w:t>原采购公告发布</w:t>
      </w:r>
      <w:r>
        <w:rPr>
          <w:rFonts w:hint="eastAsia" w:ascii="宋体" w:hAnsi="宋体" w:eastAsia="宋体" w:cs="宋体"/>
          <w:color w:val="auto"/>
          <w:kern w:val="0"/>
          <w:szCs w:val="21"/>
          <w:highlight w:val="none"/>
        </w:rPr>
        <w:t>相关媒体上发布更正公告或变更公告。</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文件公示期间对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文件澄清、修改或补充的内容为</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文件的澄清、修改或补充都应以法定形式发布。采购人未对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13.4 </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可以视</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具体情况延长</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截止时间和开标时间，但至少应当在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的截止时间3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前，将变更时间</w:t>
      </w:r>
      <w:r>
        <w:rPr>
          <w:rFonts w:hint="eastAsia" w:ascii="宋体" w:hAnsi="宋体" w:eastAsia="宋体" w:cs="宋体"/>
          <w:color w:val="auto"/>
          <w:kern w:val="0"/>
          <w:szCs w:val="21"/>
          <w:highlight w:val="none"/>
          <w:lang w:val="en-US" w:eastAsia="zh-CN"/>
        </w:rPr>
        <w:t>通知所有潜在供应商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lang w:eastAsia="zh-CN"/>
        </w:rPr>
        <w:t>响应性文件</w:t>
      </w:r>
      <w:r>
        <w:rPr>
          <w:rFonts w:hint="eastAsia" w:ascii="宋体" w:hAnsi="宋体" w:eastAsia="宋体" w:cs="宋体"/>
          <w:b/>
          <w:bCs/>
          <w:color w:val="auto"/>
          <w:kern w:val="0"/>
          <w:sz w:val="32"/>
          <w:szCs w:val="32"/>
          <w:highlight w:val="none"/>
        </w:rPr>
        <w:t>的编制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应仔细阅读</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文件的所有内容，按照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文件提供的格式编写</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，不得缺少或留空任何</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文件要求填写的表格或提交的资料。</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文件提供格式的按格式填列，未提供格式的可自行拟定。</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应对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文件的要求作出实质性响应（包括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资格要求、技术要求、商务要求和</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格式中对</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的要求），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应完整签署</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格式附件中《</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书》和《抵制商业贿赂承诺》，不得增减或修改内容。否则视为对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15.</w:t>
      </w:r>
      <w:r>
        <w:rPr>
          <w:rFonts w:hint="eastAsia" w:ascii="宋体" w:hAnsi="宋体" w:eastAsia="宋体" w:cs="宋体"/>
          <w:b/>
          <w:bCs/>
          <w:color w:val="auto"/>
          <w:kern w:val="0"/>
          <w:szCs w:val="21"/>
          <w:highlight w:val="none"/>
          <w:lang w:eastAsia="zh-CN"/>
        </w:rPr>
        <w:t>响应性文件</w:t>
      </w:r>
      <w:r>
        <w:rPr>
          <w:rFonts w:hint="eastAsia" w:ascii="宋体" w:hAnsi="宋体" w:eastAsia="宋体" w:cs="宋体"/>
          <w:b/>
          <w:bCs/>
          <w:color w:val="auto"/>
          <w:kern w:val="0"/>
          <w:szCs w:val="21"/>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以及</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与采购人就有关</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15.2 关于</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文件已有明确规定的，使用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文件规定的计量单位；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文件没有规定的，应采用中华人民共和国法定计量单位。否则视为对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公章。必要时</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16.</w:t>
      </w:r>
      <w:r>
        <w:rPr>
          <w:rFonts w:hint="eastAsia" w:ascii="宋体" w:hAnsi="宋体" w:eastAsia="宋体" w:cs="宋体"/>
          <w:b/>
          <w:bCs/>
          <w:color w:val="auto"/>
          <w:kern w:val="0"/>
          <w:szCs w:val="21"/>
          <w:highlight w:val="none"/>
          <w:lang w:eastAsia="zh-CN"/>
        </w:rPr>
        <w:t>响应性文件</w:t>
      </w:r>
      <w:r>
        <w:rPr>
          <w:rFonts w:hint="eastAsia" w:ascii="宋体" w:hAnsi="宋体" w:eastAsia="宋体" w:cs="宋体"/>
          <w:b/>
          <w:bCs/>
          <w:color w:val="auto"/>
          <w:kern w:val="0"/>
          <w:szCs w:val="21"/>
          <w:highlight w:val="none"/>
        </w:rPr>
        <w:t>的组成</w:t>
      </w:r>
      <w:r>
        <w:rPr>
          <w:rFonts w:hint="eastAsia" w:ascii="宋体" w:hAnsi="宋体" w:eastAsia="宋体" w:cs="宋体"/>
          <w:color w:val="auto"/>
          <w:kern w:val="0"/>
          <w:szCs w:val="21"/>
          <w:highlight w:val="none"/>
        </w:rPr>
        <w:t>。</w:t>
      </w:r>
      <w:r>
        <w:rPr>
          <w:rFonts w:hint="eastAsia" w:ascii="宋体" w:hAnsi="宋体" w:eastAsia="宋体" w:cs="宋体"/>
          <w:b/>
          <w:bCs/>
          <w:color w:val="auto"/>
          <w:kern w:val="0"/>
          <w:szCs w:val="21"/>
          <w:highlight w:val="none"/>
          <w:lang w:eastAsia="zh-CN"/>
        </w:rPr>
        <w:t>响应性文件</w:t>
      </w:r>
      <w:r>
        <w:rPr>
          <w:rFonts w:hint="eastAsia" w:ascii="宋体" w:hAnsi="宋体" w:eastAsia="宋体" w:cs="宋体"/>
          <w:b/>
          <w:bCs/>
          <w:color w:val="auto"/>
          <w:kern w:val="0"/>
          <w:szCs w:val="21"/>
          <w:highlight w:val="none"/>
        </w:rPr>
        <w:t>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16.1、</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16.7、抵制商业贿赂承诺</w:t>
      </w:r>
    </w:p>
    <w:p>
      <w:pPr>
        <w:pStyle w:val="7"/>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16.8、</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17.</w:t>
      </w:r>
      <w:r>
        <w:rPr>
          <w:rFonts w:hint="eastAsia" w:ascii="宋体" w:hAnsi="宋体" w:eastAsia="宋体" w:cs="宋体"/>
          <w:b/>
          <w:color w:val="auto"/>
          <w:kern w:val="0"/>
          <w:szCs w:val="21"/>
          <w:highlight w:val="none"/>
          <w:lang w:eastAsia="zh-CN"/>
        </w:rPr>
        <w:t>磋商</w:t>
      </w:r>
      <w:r>
        <w:rPr>
          <w:rFonts w:hint="eastAsia" w:ascii="宋体" w:hAnsi="宋体" w:eastAsia="宋体" w:cs="宋体"/>
          <w:b/>
          <w:color w:val="auto"/>
          <w:kern w:val="0"/>
          <w:szCs w:val="21"/>
          <w:highlight w:val="none"/>
        </w:rPr>
        <w:t>有效期</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公告所规定的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截止期之后开始生效，在</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须知前附表</w:t>
      </w:r>
      <w:r>
        <w:rPr>
          <w:rFonts w:hint="eastAsia" w:ascii="宋体" w:hAnsi="宋体" w:eastAsia="宋体" w:cs="宋体"/>
          <w:color w:val="auto"/>
          <w:kern w:val="0"/>
          <w:szCs w:val="21"/>
          <w:highlight w:val="none"/>
        </w:rPr>
        <w:t>第16项所规定的期限内保持有效。有效期不足将导致其</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被拒绝。</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17.2特殊情况下</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可于</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有效期满之前书面要求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同意延长有效期，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规定的期限内以书面形式予以答复。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可以拒绝上述要求。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答复不明确或者逾期未答复的，均视为拒绝上述要求。对于接受该要求的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，既不要求也不允许其修改</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18.</w:t>
      </w:r>
      <w:r>
        <w:rPr>
          <w:rFonts w:hint="eastAsia" w:ascii="宋体" w:hAnsi="宋体" w:eastAsia="宋体" w:cs="宋体"/>
          <w:b/>
          <w:bCs/>
          <w:color w:val="auto"/>
          <w:kern w:val="0"/>
          <w:szCs w:val="21"/>
          <w:highlight w:val="none"/>
          <w:lang w:eastAsia="zh-CN"/>
        </w:rPr>
        <w:t>磋商</w:t>
      </w:r>
      <w:r>
        <w:rPr>
          <w:rFonts w:hint="eastAsia" w:ascii="宋体" w:hAnsi="宋体" w:eastAsia="宋体" w:cs="宋体"/>
          <w:b/>
          <w:bCs/>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所有</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报价均以人民币元为计算单位。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18.3 </w:t>
      </w:r>
      <w:r>
        <w:rPr>
          <w:rFonts w:hint="eastAsia" w:ascii="宋体" w:hAnsi="宋体" w:eastAsia="宋体" w:cs="宋体"/>
          <w:color w:val="auto"/>
          <w:spacing w:val="10"/>
          <w:kern w:val="0"/>
          <w:szCs w:val="21"/>
          <w:highlight w:val="none"/>
          <w:lang w:eastAsia="zh-CN"/>
        </w:rPr>
        <w:t>供应商</w:t>
      </w:r>
      <w:r>
        <w:rPr>
          <w:rFonts w:hint="eastAsia" w:ascii="宋体" w:hAnsi="宋体" w:eastAsia="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18.4 开标一览表</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明的价格在政府采购合同执行过程中是固定不变的，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不得以任何理由予以变更。以可调整的价格提交的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将被作为无效</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处理。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18.5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不接受可选择的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18.6 对于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在开标一览表和</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rPr>
        <w:t>19.</w:t>
      </w:r>
      <w:r>
        <w:rPr>
          <w:rFonts w:hint="eastAsia" w:ascii="宋体" w:hAnsi="宋体" w:eastAsia="宋体" w:cs="宋体"/>
          <w:b/>
          <w:color w:val="auto"/>
          <w:kern w:val="0"/>
          <w:szCs w:val="21"/>
          <w:highlight w:val="none"/>
          <w:lang w:eastAsia="zh-CN"/>
        </w:rPr>
        <w:t>磋商</w:t>
      </w:r>
      <w:r>
        <w:rPr>
          <w:rFonts w:hint="eastAsia" w:ascii="宋体" w:hAnsi="宋体" w:eastAsia="宋体" w:cs="宋体"/>
          <w:b/>
          <w:color w:val="auto"/>
          <w:kern w:val="0"/>
          <w:szCs w:val="21"/>
          <w:highlight w:val="none"/>
        </w:rPr>
        <w:t>保证金</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lang w:val="en-US" w:eastAsia="zh-CN"/>
        </w:rPr>
        <w:t>详见采购公告</w:t>
      </w:r>
      <w:r>
        <w:rPr>
          <w:rFonts w:hint="eastAsia" w:ascii="宋体" w:hAnsi="宋体" w:eastAsia="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20.</w:t>
      </w:r>
      <w:r>
        <w:rPr>
          <w:rFonts w:hint="eastAsia" w:ascii="宋体" w:hAnsi="宋体" w:eastAsia="宋体" w:cs="宋体"/>
          <w:b/>
          <w:color w:val="auto"/>
          <w:kern w:val="0"/>
          <w:szCs w:val="21"/>
          <w:highlight w:val="none"/>
          <w:lang w:eastAsia="zh-CN"/>
        </w:rPr>
        <w:t>响应性文件</w:t>
      </w:r>
      <w:r>
        <w:rPr>
          <w:rFonts w:hint="eastAsia" w:ascii="宋体" w:hAnsi="宋体" w:eastAsia="宋体" w:cs="宋体"/>
          <w:b/>
          <w:color w:val="auto"/>
          <w:kern w:val="0"/>
          <w:szCs w:val="21"/>
          <w:highlight w:val="none"/>
        </w:rPr>
        <w:t>的签署</w:t>
      </w:r>
      <w:r>
        <w:rPr>
          <w:rFonts w:hint="eastAsia" w:ascii="宋体" w:hAnsi="宋体" w:eastAsia="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应按第六章“</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格式”进行编写，如有必要，可以增加附页，作为</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的组成部分。其中，</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报价一览表在满足</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应当对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有效期、质量要求、技术标准和要求、</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应用不褪色的材料书写或打印，并由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应尽量避免涂改、行间插字或删除，如果出现上述情况，改动之处应加盖单位公章或由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份数见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的具体装订要求见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w:t>
      </w:r>
      <w:r>
        <w:rPr>
          <w:rFonts w:hint="eastAsia" w:ascii="宋体" w:hAnsi="宋体" w:eastAsia="宋体" w:cs="宋体"/>
          <w:b/>
          <w:color w:val="auto"/>
          <w:kern w:val="0"/>
          <w:sz w:val="32"/>
          <w:szCs w:val="32"/>
          <w:highlight w:val="none"/>
          <w:lang w:eastAsia="zh-CN"/>
        </w:rPr>
        <w:t>响应性文件</w:t>
      </w:r>
      <w:r>
        <w:rPr>
          <w:rFonts w:hint="eastAsia" w:ascii="宋体" w:hAnsi="宋体" w:eastAsia="宋体" w:cs="宋体"/>
          <w:b/>
          <w:color w:val="auto"/>
          <w:kern w:val="0"/>
          <w:sz w:val="32"/>
          <w:szCs w:val="32"/>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21. </w:t>
      </w:r>
      <w:r>
        <w:rPr>
          <w:rFonts w:hint="eastAsia" w:ascii="宋体" w:hAnsi="宋体" w:eastAsia="宋体" w:cs="宋体"/>
          <w:b/>
          <w:color w:val="auto"/>
          <w:kern w:val="0"/>
          <w:szCs w:val="21"/>
          <w:highlight w:val="none"/>
          <w:lang w:eastAsia="zh-CN"/>
        </w:rPr>
        <w:t>响应性文件</w:t>
      </w:r>
      <w:r>
        <w:rPr>
          <w:rFonts w:hint="eastAsia" w:ascii="宋体" w:hAnsi="宋体" w:eastAsia="宋体" w:cs="宋体"/>
          <w:b/>
          <w:color w:val="auto"/>
          <w:kern w:val="0"/>
          <w:szCs w:val="21"/>
          <w:highlight w:val="none"/>
        </w:rPr>
        <w:t>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的正本与副本应</w:t>
      </w:r>
      <w:r>
        <w:rPr>
          <w:rFonts w:hint="eastAsia" w:ascii="宋体" w:hAnsi="宋体" w:eastAsia="宋体" w:cs="宋体"/>
          <w:color w:val="auto"/>
          <w:kern w:val="0"/>
          <w:szCs w:val="21"/>
          <w:highlight w:val="none"/>
          <w:lang w:val="en-US" w:eastAsia="zh-CN"/>
        </w:rPr>
        <w:t>密封</w:t>
      </w:r>
      <w:r>
        <w:rPr>
          <w:rFonts w:hint="eastAsia" w:ascii="宋体" w:hAnsi="宋体" w:eastAsia="宋体" w:cs="宋体"/>
          <w:color w:val="auto"/>
          <w:kern w:val="0"/>
          <w:szCs w:val="21"/>
          <w:highlight w:val="none"/>
        </w:rPr>
        <w:t>包装，加贴封条，并在封套的封口处加盖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 xml:space="preserve">21.2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的封套上应写明的其他内容见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eastAsia="宋体" w:cs="宋体"/>
          <w:lang w:val="en-US" w:eastAsia="zh-CN"/>
        </w:rPr>
        <w:t>1</w:t>
      </w:r>
      <w:r>
        <w:rPr>
          <w:rFonts w:hint="eastAsia" w:ascii="宋体" w:hAnsi="宋体" w:eastAsia="宋体" w:cs="宋体"/>
          <w:lang w:eastAsia="zh-CN"/>
        </w:rPr>
        <w:t>.3 未按本章第2</w:t>
      </w:r>
      <w:r>
        <w:rPr>
          <w:rFonts w:hint="eastAsia" w:ascii="宋体" w:hAnsi="宋体" w:eastAsia="宋体" w:cs="宋体"/>
          <w:lang w:val="en-US" w:eastAsia="zh-CN"/>
        </w:rPr>
        <w:t>1</w:t>
      </w:r>
      <w:r>
        <w:rPr>
          <w:rFonts w:hint="eastAsia" w:ascii="宋体" w:hAnsi="宋体" w:eastAsia="宋体" w:cs="宋体"/>
          <w:lang w:eastAsia="zh-CN"/>
        </w:rPr>
        <w:t>.1项或第2</w:t>
      </w:r>
      <w:r>
        <w:rPr>
          <w:rFonts w:hint="eastAsia" w:ascii="宋体" w:hAnsi="宋体" w:eastAsia="宋体" w:cs="宋体"/>
          <w:lang w:val="en-US" w:eastAsia="zh-CN"/>
        </w:rPr>
        <w:t>1</w:t>
      </w:r>
      <w:r>
        <w:rPr>
          <w:rFonts w:hint="eastAsia" w:ascii="宋体" w:hAnsi="宋体" w:eastAsia="宋体" w:cs="宋体"/>
          <w:lang w:eastAsia="zh-CN"/>
        </w:rPr>
        <w:t>.2项要求密封和加写标记的响应性文件，采购人不予受理。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22. </w:t>
      </w:r>
      <w:r>
        <w:rPr>
          <w:rFonts w:hint="eastAsia" w:ascii="宋体" w:hAnsi="宋体" w:eastAsia="宋体" w:cs="宋体"/>
          <w:b/>
          <w:color w:val="auto"/>
          <w:kern w:val="0"/>
          <w:szCs w:val="21"/>
          <w:highlight w:val="none"/>
          <w:lang w:eastAsia="zh-CN"/>
        </w:rPr>
        <w:t>响应性文件</w:t>
      </w:r>
      <w:r>
        <w:rPr>
          <w:rFonts w:hint="eastAsia" w:ascii="宋体" w:hAnsi="宋体" w:eastAsia="宋体" w:cs="宋体"/>
          <w:b/>
          <w:color w:val="auto"/>
          <w:kern w:val="0"/>
          <w:szCs w:val="21"/>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应在规定的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截止时间前</w:t>
      </w:r>
      <w:r>
        <w:rPr>
          <w:rFonts w:hint="eastAsia" w:ascii="宋体" w:hAnsi="宋体" w:eastAsia="宋体" w:cs="宋体"/>
          <w:color w:val="auto"/>
          <w:kern w:val="0"/>
          <w:szCs w:val="21"/>
          <w:highlight w:val="none"/>
          <w:lang w:eastAsia="zh-CN"/>
        </w:rPr>
        <w:t>递交响应性文件</w:t>
      </w:r>
      <w:r>
        <w:rPr>
          <w:rFonts w:hint="eastAsia" w:ascii="宋体" w:hAnsi="宋体" w:eastAsia="宋体" w:cs="宋体"/>
          <w:color w:val="auto"/>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递交</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的地点：见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 除</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须知前附表另有规定外，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所递交的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.4 逾期送达的或者未送达指定地点的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23. </w:t>
      </w:r>
      <w:r>
        <w:rPr>
          <w:rFonts w:hint="eastAsia" w:ascii="宋体" w:hAnsi="宋体" w:eastAsia="宋体" w:cs="宋体"/>
          <w:b/>
          <w:color w:val="auto"/>
          <w:kern w:val="0"/>
          <w:szCs w:val="21"/>
          <w:highlight w:val="none"/>
          <w:lang w:eastAsia="zh-CN"/>
        </w:rPr>
        <w:t>响应性文件</w:t>
      </w:r>
      <w:r>
        <w:rPr>
          <w:rFonts w:hint="eastAsia" w:ascii="宋体" w:hAnsi="宋体" w:eastAsia="宋体" w:cs="宋体"/>
          <w:b/>
          <w:color w:val="auto"/>
          <w:kern w:val="0"/>
          <w:szCs w:val="21"/>
          <w:highlight w:val="none"/>
        </w:rPr>
        <w:t>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23.1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截止时间前，可以对所提交的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进行补充、修改或者撤回，并书面通知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。补充、修改的内容和撤回通知应当按本须知要求签署、盖章、密封，并作为</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23.2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截止期后不得修改、撤回</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截止期后修改</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 组建</w:t>
      </w:r>
      <w:r>
        <w:rPr>
          <w:rFonts w:hint="eastAsia" w:ascii="宋体" w:hAnsi="宋体" w:eastAsia="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由采购人代表和评审专家组成。成员由</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人以上单数组成。</w:t>
      </w:r>
      <w:r>
        <w:rPr>
          <w:rFonts w:hint="eastAsia" w:ascii="宋体" w:hAnsi="宋体" w:eastAsia="宋体" w:cs="宋体"/>
          <w:color w:val="auto"/>
          <w:szCs w:val="21"/>
          <w:highlight w:val="none"/>
        </w:rPr>
        <w:t>在开标后由</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成员要依法独立评审，并对评审意见承担个人责任。</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成员对需要共同认定的事项存在争议的，按照少数服从多数的原则</w:t>
      </w:r>
      <w:r>
        <w:rPr>
          <w:rFonts w:hint="eastAsia" w:ascii="宋体" w:hAnsi="宋体" w:eastAsia="宋体" w:cs="宋体"/>
          <w:color w:val="auto"/>
          <w:kern w:val="0"/>
          <w:szCs w:val="21"/>
          <w:highlight w:val="none"/>
        </w:rPr>
        <w:t>做</w:t>
      </w:r>
      <w:r>
        <w:rPr>
          <w:rFonts w:hint="eastAsia" w:ascii="宋体" w:hAnsi="宋体" w:eastAsia="宋体" w:cs="宋体"/>
          <w:color w:val="auto"/>
          <w:szCs w:val="21"/>
          <w:highlight w:val="none"/>
        </w:rPr>
        <w:t>出结论。持不同意见的</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成员应当在评标报告上签署不同意见</w:t>
      </w:r>
      <w:r>
        <w:rPr>
          <w:rFonts w:hint="eastAsia" w:ascii="宋体" w:hAnsi="宋体" w:eastAsia="宋体" w:cs="宋体"/>
          <w:color w:val="auto"/>
          <w:kern w:val="0"/>
          <w:szCs w:val="21"/>
          <w:highlight w:val="none"/>
        </w:rPr>
        <w:t>并说明</w:t>
      </w:r>
      <w:r>
        <w:rPr>
          <w:rFonts w:hint="eastAsia" w:ascii="宋体" w:hAnsi="宋体" w:eastAsia="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 xml:space="preserve">. </w:t>
      </w:r>
      <w:r>
        <w:rPr>
          <w:rFonts w:hint="eastAsia" w:ascii="宋体" w:hAnsi="宋体" w:eastAsia="宋体" w:cs="宋体"/>
          <w:b/>
          <w:bCs/>
          <w:color w:val="auto"/>
          <w:szCs w:val="21"/>
          <w:highlight w:val="none"/>
          <w:lang w:eastAsia="zh-CN"/>
        </w:rPr>
        <w:t>响应性文件</w:t>
      </w:r>
      <w:r>
        <w:rPr>
          <w:rFonts w:hint="eastAsia" w:ascii="宋体" w:hAnsi="宋体" w:eastAsia="宋体" w:cs="宋体"/>
          <w:b/>
          <w:bCs/>
          <w:color w:val="auto"/>
          <w:szCs w:val="21"/>
          <w:highlight w:val="none"/>
        </w:rPr>
        <w:t>的初审</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将对</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进行检查，以确定</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报价出现前后不一致的，除</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文件另有规定外，修正错误的原则如下：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shd w:val="clear" w:color="auto" w:fill="FFFFFF"/>
          <w:lang w:eastAsia="zh-CN"/>
        </w:rPr>
        <w:t>响应性文件</w:t>
      </w:r>
      <w:r>
        <w:rPr>
          <w:rFonts w:hint="eastAsia" w:ascii="宋体" w:hAnsi="宋体" w:eastAsia="宋体" w:cs="宋体"/>
          <w:color w:val="auto"/>
          <w:sz w:val="21"/>
          <w:szCs w:val="21"/>
          <w:highlight w:val="none"/>
          <w:shd w:val="clear" w:color="auto" w:fill="FFFFFF"/>
        </w:rPr>
        <w:t>开标一览表（报价表）内容与</w:t>
      </w:r>
      <w:r>
        <w:rPr>
          <w:rFonts w:hint="eastAsia" w:ascii="宋体" w:hAnsi="宋体" w:eastAsia="宋体" w:cs="宋体"/>
          <w:color w:val="auto"/>
          <w:sz w:val="21"/>
          <w:szCs w:val="21"/>
          <w:highlight w:val="none"/>
          <w:shd w:val="clear" w:color="auto" w:fill="FFFFFF"/>
          <w:lang w:eastAsia="zh-CN"/>
        </w:rPr>
        <w:t>响应性文件</w:t>
      </w:r>
      <w:r>
        <w:rPr>
          <w:rFonts w:hint="eastAsia" w:ascii="宋体" w:hAnsi="宋体" w:eastAsia="宋体" w:cs="宋体"/>
          <w:color w:val="auto"/>
          <w:sz w:val="21"/>
          <w:szCs w:val="21"/>
          <w:highlight w:val="none"/>
          <w:shd w:val="clear" w:color="auto" w:fill="FFFFFF"/>
        </w:rPr>
        <w:t>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.3.5 对不同文字文本</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确认后产生约束力，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不确认的，其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无效。</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w:t>
      </w:r>
      <w:r>
        <w:rPr>
          <w:rFonts w:hint="eastAsia" w:ascii="宋体" w:hAnsi="宋体" w:eastAsia="宋体" w:cs="宋体"/>
          <w:color w:val="auto"/>
          <w:szCs w:val="21"/>
          <w:highlight w:val="none"/>
        </w:rPr>
        <w:t>资格性检查。依据法规政策和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文件的规定，在对</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详细评估之前，采购人将依据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提交的</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公告第二项和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文件第三章4.</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应提交的证明文件所述的资格标准对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进行资格审查,以确定其是否具备</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资格。如果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不具备</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资格、不满足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文件所规定的资格标准或提供资格证明文件不全,其</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将被作为无效</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。在审查过程中，采购人有权要求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文件的规定提供相关资格证明材料的原件以供审查。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应在规定的时限内提供。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.4.2 资格审查后合格的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 符合性检查。依据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将从</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的有效性、完整性和对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文件的响应程度进行审查，以确定是否符合对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文件的实质性要求作出响应。对没有实质性响应的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将不进行评估，其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被作为无效</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。凡有下列情况之一者，</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也将被视为未实质性响应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（3）资格证明文件不全的，或不符合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有效期、交货时间、质保期等不满足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的实质性内容未使用中文表述，或意思表述不明确，或前后矛盾，或使用计量单位不符合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的关键内容字迹模糊、无法辨认,或</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内容未按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（9）不符合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决定</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的响应性只根据</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.4.4 对资格性检查和符合性检查不合格的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，将</w:t>
      </w:r>
      <w:r>
        <w:rPr>
          <w:rFonts w:hint="eastAsia" w:ascii="宋体" w:hAnsi="宋体" w:eastAsia="宋体" w:cs="宋体"/>
          <w:color w:val="auto"/>
          <w:kern w:val="0"/>
          <w:szCs w:val="21"/>
          <w:highlight w:val="none"/>
          <w:lang w:val="en-US" w:eastAsia="zh-CN"/>
        </w:rPr>
        <w:t>通过评标系统</w:t>
      </w:r>
      <w:r>
        <w:rPr>
          <w:rFonts w:hint="eastAsia" w:ascii="宋体" w:hAnsi="宋体" w:eastAsia="宋体" w:cs="宋体"/>
          <w:color w:val="auto"/>
          <w:kern w:val="0"/>
          <w:szCs w:val="21"/>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发现</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有下列情形之一的，视为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串通</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，其</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.5.1不同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.5.2不同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.5.3不同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委托同一单位或者个人办理</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.5.4不同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.5.5不同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.5.6不同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.5.7 有证据证明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串通</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.5.8 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 xml:space="preserve">.5.9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认定的其他串通</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情形。</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响应性文件</w:t>
      </w:r>
      <w:r>
        <w:rPr>
          <w:rFonts w:hint="eastAsia" w:ascii="宋体" w:hAnsi="宋体" w:eastAsia="宋体" w:cs="宋体"/>
          <w:b/>
          <w:bCs/>
          <w:color w:val="auto"/>
          <w:kern w:val="0"/>
          <w:szCs w:val="21"/>
          <w:highlight w:val="none"/>
        </w:rPr>
        <w:t>的澄清</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中含义不明确、同类问题表述不一致或者有明显文字和计算错误的内容，</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可以书面形式要求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作出必要的澄清。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的澄清应当在</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规定的时间内以书面形式作出，由其</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代表签字。但澄清事项不得超出</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的范围，不得实质性改变</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的内容，不得通过澄清等方式对</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实行差别对待。</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不得接受</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7</w:t>
      </w:r>
      <w:r>
        <w:rPr>
          <w:rFonts w:hint="eastAsia" w:ascii="宋体" w:hAnsi="宋体" w:eastAsia="宋体" w:cs="宋体"/>
          <w:b/>
          <w:bCs/>
          <w:color w:val="auto"/>
          <w:kern w:val="0"/>
          <w:szCs w:val="21"/>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w:t>
      </w:r>
      <w:r>
        <w:rPr>
          <w:rFonts w:hint="eastAsia" w:ascii="宋体" w:hAnsi="宋体" w:eastAsia="宋体" w:cs="宋体"/>
          <w:color w:val="auto"/>
          <w:sz w:val="21"/>
          <w:szCs w:val="21"/>
          <w:highlight w:val="none"/>
          <w:lang w:eastAsia="zh-CN"/>
        </w:rPr>
        <w:t>响应性文件</w:t>
      </w:r>
      <w:r>
        <w:rPr>
          <w:rFonts w:hint="eastAsia" w:ascii="宋体" w:hAnsi="宋体" w:eastAsia="宋体" w:cs="宋体"/>
          <w:color w:val="auto"/>
          <w:sz w:val="21"/>
          <w:szCs w:val="21"/>
          <w:highlight w:val="none"/>
        </w:rPr>
        <w:t>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总价中。</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不能证明其报价合理性的，</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应当将其作为无效</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处理。</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8</w:t>
      </w:r>
      <w:r>
        <w:rPr>
          <w:rFonts w:hint="eastAsia" w:ascii="宋体" w:hAnsi="宋体" w:eastAsia="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.1 凡与本次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有关人员对属于审查、澄清、评价和比较</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的有关资料以及定标意向等，均不得向</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.2 在评标期间，</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试图影响或干预评审的任何行为，将导致其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被作为无效</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29</w:t>
      </w:r>
      <w:r>
        <w:rPr>
          <w:rFonts w:hint="eastAsia" w:ascii="宋体" w:hAnsi="宋体" w:eastAsia="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.1 最低</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价不作为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的保证。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 确定实质上响应</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文件且满足下列条件的为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候选人（或</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bookmarkStart w:id="42" w:name="_Toc32200"/>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.2.1</w:t>
      </w:r>
      <w:bookmarkEnd w:id="42"/>
      <w:r>
        <w:rPr>
          <w:rFonts w:hint="eastAsia" w:ascii="宋体" w:hAnsi="宋体" w:eastAsia="宋体" w:cs="宋体"/>
          <w:bCs/>
          <w:color w:val="auto"/>
          <w:kern w:val="0"/>
          <w:szCs w:val="21"/>
          <w:highlight w:val="none"/>
        </w:rPr>
        <w:t>本次评标采用</w:t>
      </w:r>
      <w:r>
        <w:rPr>
          <w:rFonts w:hint="eastAsia" w:ascii="宋体" w:hAnsi="宋体" w:eastAsia="宋体" w:cs="宋体"/>
          <w:color w:val="auto"/>
          <w:szCs w:val="21"/>
          <w:highlight w:val="none"/>
        </w:rPr>
        <w:t>综合评分法，是指响应文件满足采购文件全部实质性要求，且按照评审因素的量化指标评审得分最高的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候选人的评标方法。</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采用综合评分法的，评标结果按评审后得分由高到低顺序排列。</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为排名第一的</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候选人，以此类推。得分相同的，按</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报价由低到高顺序排列。得分且</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 确定</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人和</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候选人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本项目由采购人授权</w:t>
      </w:r>
      <w:r>
        <w:rPr>
          <w:rFonts w:hint="eastAsia" w:ascii="宋体" w:hAnsi="宋体" w:eastAsia="宋体" w:cs="宋体"/>
          <w:bCs/>
          <w:color w:val="auto"/>
          <w:kern w:val="0"/>
          <w:szCs w:val="21"/>
          <w:highlight w:val="none"/>
          <w:lang w:eastAsia="zh-CN"/>
        </w:rPr>
        <w:t>磋商小组</w:t>
      </w:r>
      <w:r>
        <w:rPr>
          <w:rFonts w:hint="eastAsia" w:ascii="宋体" w:hAnsi="宋体" w:eastAsia="宋体" w:cs="宋体"/>
          <w:bCs/>
          <w:color w:val="auto"/>
          <w:kern w:val="0"/>
          <w:szCs w:val="21"/>
          <w:highlight w:val="none"/>
        </w:rPr>
        <w:t>确定一名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人并推荐两名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通知书及</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.1评审结束后，</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人将</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候选人的情况在本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公告发布的同一媒介予以公示，公示</w:t>
      </w:r>
      <w:r>
        <w:rPr>
          <w:rFonts w:hint="eastAsia" w:ascii="宋体" w:hAnsi="宋体" w:eastAsia="宋体" w:cs="宋体"/>
          <w:color w:val="auto"/>
          <w:kern w:val="0"/>
          <w:szCs w:val="21"/>
          <w:highlight w:val="none"/>
          <w:lang w:eastAsia="zh-CN"/>
        </w:rPr>
        <w:t>期限</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个工作日</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人在规定的时间内不领取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通知书的，视为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人在有效报价中报价最低,非不可抗力放弃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通知书对采购人和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人具有同等法律效力。</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通知书发出后，采购人改变</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结果，或者</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bCs/>
          <w:color w:val="auto"/>
          <w:kern w:val="0"/>
          <w:szCs w:val="21"/>
          <w:highlight w:val="none"/>
        </w:rPr>
        <w:t>.4</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通知书将作为签订合同的依据。合同签订后，</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.1出现下列情况之一时，采购人有权宣布废标，并将理由通知所有</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.1.2</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的报价均超过了</w:t>
      </w:r>
      <w:r>
        <w:rPr>
          <w:rFonts w:hint="eastAsia" w:ascii="宋体" w:hAnsi="宋体" w:eastAsia="宋体" w:cs="宋体"/>
          <w:bCs/>
          <w:color w:val="auto"/>
          <w:kern w:val="0"/>
          <w:szCs w:val="21"/>
          <w:highlight w:val="none"/>
          <w:lang w:val="en-US" w:eastAsia="zh-CN"/>
        </w:rPr>
        <w:t>采购预算金额</w:t>
      </w:r>
      <w:r>
        <w:rPr>
          <w:rFonts w:hint="eastAsia" w:ascii="宋体" w:hAnsi="宋体" w:eastAsia="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截止后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不足3家或通过资格性检查或符合性检查的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文件存在不合理条款或者</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程序不符合规定的，采购人正后依法重新</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　</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b/>
          <w:color w:val="auto"/>
          <w:kern w:val="0"/>
          <w:sz w:val="52"/>
          <w:szCs w:val="52"/>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文件没有不合理条款、</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u w:val="single"/>
        </w:rPr>
      </w:pPr>
      <w:bookmarkStart w:id="43" w:name="_Toc8594"/>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采购人、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文件第三章《</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须知前附表》规定的时间内，根据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文件确定的事项和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签订合同。双方所签订的合同不得对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文件的修改文件、</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、补充或修改的文件及澄清或承诺文件等，均为双方签订合同的组成部分，并与合同一并作为本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.3 </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、因不可抗力不能履行合同、不按照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文件要求提交履约保证金，或者被查实存在影响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结果的违法行为等情形，不符合</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条件的，采购人可以按照</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提出的</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候选人名单排序依次确定其他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人，也可以重新</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w:t>
      </w:r>
    </w:p>
    <w:bookmarkEnd w:id="43"/>
    <w:p>
      <w:pPr>
        <w:rPr>
          <w:rFonts w:hint="eastAsia" w:ascii="宋体" w:hAnsi="宋体" w:eastAsia="宋体" w:cs="宋体"/>
          <w:color w:val="auto"/>
          <w:highlight w:val="none"/>
        </w:rPr>
      </w:pPr>
      <w:bookmarkStart w:id="44" w:name="_Toc4700"/>
      <w:bookmarkStart w:id="45"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6" w:name="_Toc9022"/>
      <w:r>
        <w:rPr>
          <w:rFonts w:hint="eastAsia" w:ascii="宋体" w:hAnsi="宋体" w:eastAsia="宋体" w:cs="宋体"/>
          <w:b/>
          <w:bCs/>
          <w:color w:val="auto"/>
          <w:kern w:val="0"/>
          <w:sz w:val="32"/>
          <w:szCs w:val="32"/>
          <w:highlight w:val="none"/>
        </w:rPr>
        <w:t>第四章  评标办法及评分标准</w:t>
      </w:r>
      <w:bookmarkEnd w:id="44"/>
      <w:bookmarkEnd w:id="46"/>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w:t>
      </w:r>
      <w:r>
        <w:rPr>
          <w:rFonts w:hint="eastAsia" w:ascii="宋体" w:hAnsi="宋体" w:eastAsia="宋体" w:cs="宋体"/>
          <w:b w:val="0"/>
          <w:bCs w:val="0"/>
          <w:color w:val="auto"/>
          <w:sz w:val="21"/>
          <w:szCs w:val="21"/>
          <w:highlight w:val="none"/>
          <w:lang w:eastAsia="zh-CN"/>
        </w:rPr>
        <w:t>响应性文件</w:t>
      </w:r>
      <w:r>
        <w:rPr>
          <w:rFonts w:hint="eastAsia" w:ascii="宋体" w:hAnsi="宋体" w:eastAsia="宋体" w:cs="宋体"/>
          <w:b w:val="0"/>
          <w:bCs w:val="0"/>
          <w:color w:val="auto"/>
          <w:sz w:val="21"/>
          <w:szCs w:val="21"/>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报价由低到高顺序排列。得分且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响应性文件</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eastAsia="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228"/>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1239" w:type="dxa"/>
            <w:noWrap w:val="0"/>
            <w:vAlign w:val="center"/>
          </w:tcPr>
          <w:p>
            <w:pPr>
              <w:keepNext w:val="0"/>
              <w:keepLines w:val="0"/>
              <w:pageBreakBefore w:val="0"/>
              <w:kinsoku/>
              <w:wordWrap/>
              <w:overflowPunct/>
              <w:topLinePunct w:val="0"/>
              <w:bidi w:val="0"/>
              <w:snapToGrid/>
              <w:spacing w:line="40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
              <w:keepNext w:val="0"/>
              <w:keepLines w:val="0"/>
              <w:pageBreakBefore w:val="0"/>
              <w:kinsoku/>
              <w:wordWrap/>
              <w:overflowPunct/>
              <w:topLinePunct w:val="0"/>
              <w:bidi w:val="0"/>
              <w:snapToGrid/>
              <w:spacing w:line="40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发现</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w:t>
            </w:r>
            <w:r>
              <w:rPr>
                <w:rFonts w:hint="eastAsia" w:ascii="宋体" w:hAnsi="宋体" w:eastAsia="宋体" w:cs="宋体"/>
                <w:b w:val="0"/>
                <w:bCs w:val="0"/>
                <w:color w:val="auto"/>
                <w:sz w:val="21"/>
                <w:szCs w:val="21"/>
                <w:highlight w:val="none"/>
                <w:u w:val="none"/>
                <w:lang w:eastAsia="zh-CN"/>
              </w:rPr>
              <w:t>磋商</w:t>
            </w:r>
            <w:r>
              <w:rPr>
                <w:rFonts w:hint="eastAsia" w:ascii="宋体" w:hAnsi="宋体" w:eastAsia="宋体" w:cs="宋体"/>
                <w:b w:val="0"/>
                <w:bCs w:val="0"/>
                <w:color w:val="auto"/>
                <w:sz w:val="21"/>
                <w:szCs w:val="21"/>
                <w:highlight w:val="none"/>
                <w:u w:val="none"/>
              </w:rPr>
              <w:t>报价明显低于其他</w:t>
            </w:r>
            <w:r>
              <w:rPr>
                <w:rFonts w:hint="eastAsia" w:ascii="宋体" w:hAnsi="宋体" w:eastAsia="宋体" w:cs="宋体"/>
                <w:b w:val="0"/>
                <w:bCs w:val="0"/>
                <w:color w:val="auto"/>
                <w:sz w:val="21"/>
                <w:szCs w:val="21"/>
                <w:highlight w:val="none"/>
                <w:u w:val="none"/>
                <w:lang w:eastAsia="zh-CN"/>
              </w:rPr>
              <w:t>磋商</w:t>
            </w:r>
            <w:r>
              <w:rPr>
                <w:rFonts w:hint="eastAsia" w:ascii="宋体" w:hAnsi="宋体" w:eastAsia="宋体" w:cs="宋体"/>
                <w:b w:val="0"/>
                <w:bCs w:val="0"/>
                <w:color w:val="auto"/>
                <w:sz w:val="21"/>
                <w:szCs w:val="21"/>
                <w:highlight w:val="none"/>
                <w:u w:val="none"/>
              </w:rPr>
              <w:t>报价，使其</w:t>
            </w:r>
            <w:r>
              <w:rPr>
                <w:rFonts w:hint="eastAsia" w:ascii="宋体" w:hAnsi="宋体" w:eastAsia="宋体" w:cs="宋体"/>
                <w:b w:val="0"/>
                <w:bCs w:val="0"/>
                <w:color w:val="auto"/>
                <w:sz w:val="21"/>
                <w:szCs w:val="21"/>
                <w:highlight w:val="none"/>
                <w:u w:val="none"/>
                <w:lang w:eastAsia="zh-CN"/>
              </w:rPr>
              <w:t>磋商</w:t>
            </w:r>
            <w:r>
              <w:rPr>
                <w:rFonts w:hint="eastAsia" w:ascii="宋体" w:hAnsi="宋体" w:eastAsia="宋体" w:cs="宋体"/>
                <w:b w:val="0"/>
                <w:bCs w:val="0"/>
                <w:color w:val="auto"/>
                <w:sz w:val="21"/>
                <w:szCs w:val="21"/>
                <w:highlight w:val="none"/>
                <w:u w:val="none"/>
              </w:rPr>
              <w:t>报价可能低于其个别成本的，</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可对其质询，并要求该</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应按无效</w:t>
            </w:r>
            <w:r>
              <w:rPr>
                <w:rFonts w:hint="eastAsia" w:ascii="宋体" w:hAnsi="宋体" w:eastAsia="宋体" w:cs="宋体"/>
                <w:b w:val="0"/>
                <w:bCs w:val="0"/>
                <w:color w:val="auto"/>
                <w:sz w:val="21"/>
                <w:szCs w:val="21"/>
                <w:highlight w:val="none"/>
                <w:u w:val="none"/>
                <w:lang w:eastAsia="zh-CN"/>
              </w:rPr>
              <w:t>磋商</w:t>
            </w:r>
            <w:r>
              <w:rPr>
                <w:rFonts w:hint="eastAsia" w:ascii="宋体" w:hAnsi="宋体" w:eastAsia="宋体" w:cs="宋体"/>
                <w:b w:val="0"/>
                <w:bCs w:val="0"/>
                <w:color w:val="auto"/>
                <w:sz w:val="21"/>
                <w:szCs w:val="21"/>
                <w:highlight w:val="none"/>
                <w:u w:val="none"/>
              </w:rPr>
              <w:t>处理。</w:t>
            </w:r>
          </w:p>
          <w:p>
            <w:pPr>
              <w:pStyle w:val="5"/>
              <w:keepNext w:val="0"/>
              <w:keepLines w:val="0"/>
              <w:pageBreakBefore w:val="0"/>
              <w:kinsoku/>
              <w:wordWrap/>
              <w:overflowPunct/>
              <w:topLinePunct w:val="0"/>
              <w:bidi w:val="0"/>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w:t>
            </w:r>
          </w:p>
          <w:p>
            <w:pPr>
              <w:pStyle w:val="5"/>
              <w:keepNext w:val="0"/>
              <w:keepLines w:val="0"/>
              <w:pageBreakBefore w:val="0"/>
              <w:kinsoku/>
              <w:wordWrap/>
              <w:overflowPunct/>
              <w:topLinePunct w:val="0"/>
              <w:bidi w:val="0"/>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价格最低的有效</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报价为评标基准价。</w:t>
            </w:r>
          </w:p>
          <w:p>
            <w:pPr>
              <w:keepNext w:val="0"/>
              <w:keepLines w:val="0"/>
              <w:pageBreakBefore w:val="0"/>
              <w:widowControl/>
              <w:kinsoku/>
              <w:wordWrap/>
              <w:overflowPunct/>
              <w:topLinePunct w:val="0"/>
              <w:bidi w:val="0"/>
              <w:snapToGrid/>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报价得分=（评标基准价/有效</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39"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228"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专业技术水平、人员配备、人员专业素质等</w:t>
            </w:r>
          </w:p>
        </w:tc>
        <w:tc>
          <w:tcPr>
            <w:tcW w:w="60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根据</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在</w:t>
            </w:r>
            <w:r>
              <w:rPr>
                <w:rFonts w:hint="eastAsia" w:ascii="宋体" w:hAnsi="宋体" w:eastAsia="宋体" w:cs="宋体"/>
                <w:b w:val="0"/>
                <w:bCs w:val="0"/>
                <w:color w:val="auto"/>
                <w:sz w:val="21"/>
                <w:szCs w:val="21"/>
                <w:highlight w:val="none"/>
                <w:lang w:eastAsia="zh-CN"/>
              </w:rPr>
              <w:t>响应性文件</w:t>
            </w:r>
            <w:r>
              <w:rPr>
                <w:rFonts w:hint="eastAsia" w:ascii="宋体" w:hAnsi="宋体" w:eastAsia="宋体" w:cs="宋体"/>
                <w:b w:val="0"/>
                <w:bCs w:val="0"/>
                <w:color w:val="auto"/>
                <w:sz w:val="21"/>
                <w:szCs w:val="21"/>
                <w:highlight w:val="none"/>
              </w:rPr>
              <w:t>中所附</w:t>
            </w:r>
            <w:r>
              <w:rPr>
                <w:rFonts w:hint="eastAsia" w:ascii="宋体" w:hAnsi="宋体" w:eastAsia="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228" w:type="dxa"/>
            <w:tcBorders>
              <w:top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60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1239"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228" w:type="dxa"/>
            <w:noWrap w:val="0"/>
            <w:vAlign w:val="center"/>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培训方案、服务站点、服务响应及时性、售后服务方案等</w:t>
            </w:r>
          </w:p>
        </w:tc>
        <w:tc>
          <w:tcPr>
            <w:tcW w:w="60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1"/>
                <w:szCs w:val="21"/>
                <w:highlight w:val="none"/>
                <w:lang w:val="en-US" w:eastAsia="zh-CN"/>
              </w:rPr>
              <w:t>根据供应商在响应性文件中所投产品的售后服务站设立情况（配备有专业售后服务技术人员，提供售后服务人员名单和售后服务地址、电话）、培训方案、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eastAsia="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bidi w:val="0"/>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所有成员合计评分/</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组成人员数。</w:t>
            </w:r>
          </w:p>
        </w:tc>
      </w:tr>
    </w:tbl>
    <w:p>
      <w:pPr>
        <w:spacing w:line="500" w:lineRule="exact"/>
        <w:ind w:firstLine="420" w:firstLineChars="200"/>
        <w:rPr>
          <w:rFonts w:hint="eastAsia" w:ascii="宋体" w:hAnsi="宋体" w:eastAsia="宋体" w:cs="宋体"/>
          <w:color w:val="auto"/>
          <w:kern w:val="0"/>
          <w:szCs w:val="21"/>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5"/>
    <w:p>
      <w:pPr>
        <w:rPr>
          <w:rFonts w:hint="eastAsia" w:ascii="宋体" w:hAnsi="宋体" w:eastAsia="宋体" w:cs="宋体"/>
          <w:color w:val="auto"/>
          <w:highlight w:val="none"/>
        </w:rPr>
      </w:pPr>
      <w:bookmarkStart w:id="47" w:name="_Toc1482"/>
      <w:bookmarkStart w:id="48" w:name="_Toc1947"/>
      <w:bookmarkStart w:id="49" w:name="_Toc256519703"/>
      <w:bookmarkStart w:id="50" w:name="_Toc326786897"/>
    </w:p>
    <w:p>
      <w:pPr>
        <w:pStyle w:val="3"/>
        <w:snapToGrid w:val="0"/>
        <w:spacing w:before="0" w:after="0" w:line="480" w:lineRule="auto"/>
        <w:jc w:val="center"/>
        <w:rPr>
          <w:rFonts w:hint="eastAsia" w:ascii="宋体" w:hAnsi="宋体" w:eastAsia="宋体" w:cs="宋体"/>
          <w:color w:val="auto"/>
          <w:sz w:val="28"/>
          <w:szCs w:val="28"/>
          <w:highlight w:val="yellow"/>
        </w:rPr>
      </w:pPr>
      <w:bookmarkStart w:id="51" w:name="_Toc28988"/>
      <w:r>
        <w:rPr>
          <w:rFonts w:hint="eastAsia" w:ascii="宋体" w:hAnsi="宋体" w:eastAsia="宋体" w:cs="宋体"/>
          <w:color w:val="auto"/>
          <w:sz w:val="28"/>
          <w:szCs w:val="28"/>
          <w:highlight w:val="none"/>
        </w:rPr>
        <w:t>第五章  采购合同</w:t>
      </w:r>
      <w:bookmarkEnd w:id="51"/>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以实际合同为准</w:t>
      </w:r>
      <w:r>
        <w:rPr>
          <w:rFonts w:hint="eastAsia" w:ascii="宋体" w:hAnsi="宋体" w:eastAsia="宋体" w:cs="宋体"/>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3"/>
        <w:rPr>
          <w:rFonts w:hint="eastAsia" w:ascii="宋体" w:hAnsi="宋体" w:eastAsia="宋体" w:cs="宋体"/>
        </w:rPr>
      </w:pPr>
    </w:p>
    <w:p>
      <w:pPr>
        <w:pStyle w:val="3"/>
        <w:jc w:val="center"/>
        <w:rPr>
          <w:rFonts w:hint="eastAsia" w:ascii="宋体" w:hAnsi="宋体" w:eastAsia="宋体" w:cs="宋体"/>
          <w:color w:val="auto"/>
          <w:kern w:val="0"/>
          <w:highlight w:val="none"/>
        </w:rPr>
      </w:pPr>
      <w:bookmarkStart w:id="52"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响应性文件</w:t>
      </w:r>
      <w:r>
        <w:rPr>
          <w:rFonts w:hint="eastAsia" w:ascii="宋体" w:hAnsi="宋体" w:eastAsia="宋体" w:cs="宋体"/>
          <w:color w:val="auto"/>
          <w:sz w:val="32"/>
          <w:szCs w:val="32"/>
          <w:highlight w:val="none"/>
        </w:rPr>
        <w:t>格式</w:t>
      </w:r>
      <w:bookmarkEnd w:id="47"/>
      <w:bookmarkEnd w:id="48"/>
      <w:bookmarkEnd w:id="52"/>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3" w:name="_Toc13604"/>
      <w:r>
        <w:rPr>
          <w:rFonts w:hint="eastAsia" w:ascii="宋体" w:hAnsi="宋体" w:eastAsia="宋体" w:cs="宋体"/>
          <w:b/>
          <w:bCs/>
          <w:color w:val="auto"/>
          <w:sz w:val="32"/>
          <w:szCs w:val="32"/>
          <w:highlight w:val="none"/>
        </w:rPr>
        <w:t>目    录</w:t>
      </w:r>
      <w:bookmarkEnd w:id="53"/>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4"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响应性文件</w:t>
      </w:r>
      <w:r>
        <w:rPr>
          <w:rFonts w:hint="eastAsia" w:ascii="宋体" w:hAnsi="宋体" w:eastAsia="宋体" w:cs="宋体"/>
          <w:color w:val="auto"/>
          <w:sz w:val="24"/>
          <w:highlight w:val="none"/>
        </w:rPr>
        <w:t>封面（格式）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25345"/>
      <w:r>
        <w:rPr>
          <w:rFonts w:hint="eastAsia" w:ascii="宋体" w:hAnsi="宋体" w:eastAsia="宋体" w:cs="宋体"/>
          <w:color w:val="auto"/>
          <w:sz w:val="24"/>
          <w:highlight w:val="none"/>
        </w:rPr>
        <w:t xml:space="preserve">附件2 </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书（格式）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10217"/>
      <w:r>
        <w:rPr>
          <w:rFonts w:hint="eastAsia" w:ascii="宋体" w:hAnsi="宋体" w:eastAsia="宋体" w:cs="宋体"/>
          <w:color w:val="auto"/>
          <w:sz w:val="24"/>
          <w:highlight w:val="none"/>
        </w:rPr>
        <w:t>附件3 开标一览表（格式）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9579"/>
      <w:r>
        <w:rPr>
          <w:rFonts w:hint="eastAsia" w:ascii="宋体" w:hAnsi="宋体" w:eastAsia="宋体" w:cs="宋体"/>
          <w:color w:val="auto"/>
          <w:sz w:val="24"/>
          <w:highlight w:val="none"/>
        </w:rPr>
        <w:t xml:space="preserve">附件4 </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报价明细表（格式）</w:t>
      </w:r>
      <w:bookmarkEnd w:id="57"/>
    </w:p>
    <w:p>
      <w:pPr>
        <w:snapToGrid w:val="0"/>
        <w:spacing w:line="360" w:lineRule="auto"/>
        <w:ind w:firstLine="480" w:firstLineChars="200"/>
        <w:rPr>
          <w:rFonts w:hint="eastAsia" w:ascii="宋体" w:hAnsi="宋体" w:eastAsia="宋体" w:cs="宋体"/>
          <w:color w:val="auto"/>
          <w:sz w:val="24"/>
          <w:highlight w:val="none"/>
        </w:rPr>
      </w:pPr>
      <w:bookmarkStart w:id="58" w:name="_Toc28392"/>
      <w:r>
        <w:rPr>
          <w:rFonts w:hint="eastAsia" w:ascii="宋体" w:hAnsi="宋体" w:eastAsia="宋体" w:cs="宋体"/>
          <w:color w:val="auto"/>
          <w:sz w:val="24"/>
          <w:highlight w:val="none"/>
        </w:rPr>
        <w:t>附件5技术响应表（格式）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59" w:name="_Toc6234"/>
      <w:r>
        <w:rPr>
          <w:rFonts w:hint="eastAsia" w:ascii="宋体" w:hAnsi="宋体" w:eastAsia="宋体" w:cs="宋体"/>
          <w:color w:val="auto"/>
          <w:sz w:val="24"/>
          <w:highlight w:val="none"/>
        </w:rPr>
        <w:t>附件6 商务响应表（格式）</w:t>
      </w:r>
      <w:bookmarkEnd w:id="59"/>
    </w:p>
    <w:p>
      <w:pPr>
        <w:snapToGrid w:val="0"/>
        <w:spacing w:line="360" w:lineRule="auto"/>
        <w:ind w:firstLine="480" w:firstLineChars="200"/>
        <w:rPr>
          <w:rFonts w:hint="eastAsia" w:ascii="宋体" w:hAnsi="宋体" w:eastAsia="宋体" w:cs="宋体"/>
          <w:color w:val="auto"/>
          <w:sz w:val="24"/>
          <w:highlight w:val="none"/>
        </w:rPr>
      </w:pPr>
      <w:bookmarkStart w:id="60"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31857"/>
      <w:r>
        <w:rPr>
          <w:rFonts w:hint="eastAsia" w:ascii="宋体" w:hAnsi="宋体" w:eastAsia="宋体" w:cs="宋体"/>
          <w:color w:val="auto"/>
          <w:sz w:val="24"/>
          <w:highlight w:val="none"/>
        </w:rPr>
        <w:t>附件9 证明文件</w:t>
      </w:r>
      <w:bookmarkEnd w:id="62"/>
    </w:p>
    <w:p>
      <w:pPr>
        <w:snapToGrid w:val="0"/>
        <w:spacing w:line="360" w:lineRule="auto"/>
        <w:ind w:firstLine="480" w:firstLineChars="200"/>
        <w:rPr>
          <w:rFonts w:hint="eastAsia" w:ascii="宋体" w:hAnsi="宋体" w:eastAsia="宋体" w:cs="宋体"/>
          <w:color w:val="auto"/>
          <w:sz w:val="24"/>
          <w:highlight w:val="none"/>
        </w:rPr>
      </w:pPr>
      <w:bookmarkStart w:id="63" w:name="_Toc23116"/>
      <w:r>
        <w:rPr>
          <w:rFonts w:hint="eastAsia" w:ascii="宋体" w:hAnsi="宋体" w:eastAsia="宋体" w:cs="宋体"/>
          <w:color w:val="auto"/>
          <w:sz w:val="24"/>
          <w:highlight w:val="none"/>
        </w:rPr>
        <w:t>附件10 供应商承诺书（格式）</w:t>
      </w:r>
      <w:bookmarkEnd w:id="63"/>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附件11 </w:t>
      </w:r>
      <w:r>
        <w:rPr>
          <w:rFonts w:hint="eastAsia" w:ascii="宋体" w:hAnsi="宋体" w:eastAsia="宋体" w:cs="宋体"/>
          <w:color w:val="auto"/>
          <w:sz w:val="24"/>
          <w:highlight w:val="none"/>
        </w:rPr>
        <w:t>采购项目承诺书</w:t>
      </w: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kern w:val="0"/>
          <w:sz w:val="24"/>
          <w:highlight w:val="none"/>
        </w:rPr>
      </w:pPr>
    </w:p>
    <w:p>
      <w:pPr>
        <w:pStyle w:val="5"/>
        <w:rPr>
          <w:rFonts w:hint="eastAsia" w:ascii="宋体" w:hAnsi="宋体" w:eastAsia="宋体" w:cs="宋体"/>
          <w:b/>
          <w:bCs/>
          <w:color w:val="auto"/>
          <w:highlight w:val="none"/>
        </w:rPr>
      </w:pPr>
    </w:p>
    <w:p>
      <w:pPr>
        <w:pStyle w:val="5"/>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8"/>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4" w:name="_Toc31798"/>
      <w:bookmarkStart w:id="65" w:name="_Toc24743"/>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封面（格式）</w:t>
      </w:r>
      <w:bookmarkEnd w:id="64"/>
      <w:bookmarkEnd w:id="65"/>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响应性文件</w:t>
      </w: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4"/>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6" w:name="_Toc8818"/>
      <w:bookmarkStart w:id="67" w:name="_Toc14560"/>
      <w:r>
        <w:rPr>
          <w:rFonts w:hint="eastAsia" w:ascii="宋体" w:hAnsi="宋体" w:eastAsia="宋体" w:cs="宋体"/>
          <w:color w:val="auto"/>
          <w:highlight w:val="none"/>
        </w:rPr>
        <w:t>附件2               投  标  书（格式）</w:t>
      </w:r>
      <w:bookmarkEnd w:id="66"/>
      <w:bookmarkEnd w:id="67"/>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产品和服务，我方就本次</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被作为无效</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认定我方的行为属于串通</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 xml:space="preserve">代表签字：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2"/>
        <w:spacing w:before="20" w:after="20"/>
        <w:rPr>
          <w:rFonts w:hint="eastAsia" w:ascii="宋体" w:hAnsi="宋体" w:eastAsia="宋体" w:cs="宋体"/>
          <w:color w:val="auto"/>
          <w:highlight w:val="none"/>
        </w:rPr>
      </w:pPr>
      <w:bookmarkStart w:id="68" w:name="_Toc7838"/>
      <w:r>
        <w:rPr>
          <w:rFonts w:hint="eastAsia" w:ascii="宋体" w:hAnsi="宋体" w:eastAsia="宋体" w:cs="宋体"/>
          <w:color w:val="auto"/>
          <w:highlight w:val="none"/>
        </w:rPr>
        <w:t xml:space="preserve">附件3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开标一览表</w:t>
      </w:r>
      <w:bookmarkEnd w:id="68"/>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603"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603"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jc w:val="center"/>
              <w:rPr>
                <w:rFonts w:hint="eastAsia" w:ascii="宋体" w:hAnsi="宋体" w:eastAsia="宋体" w:cs="宋体"/>
                <w:color w:val="auto"/>
                <w:spacing w:val="-20"/>
                <w:szCs w:val="21"/>
                <w:highlight w:val="none"/>
                <w:lang w:eastAsia="zh-CN"/>
              </w:rPr>
            </w:pP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报价</w:t>
            </w:r>
          </w:p>
        </w:tc>
        <w:tc>
          <w:tcPr>
            <w:tcW w:w="7603"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服务期限</w:t>
            </w:r>
          </w:p>
        </w:tc>
        <w:tc>
          <w:tcPr>
            <w:tcW w:w="7603"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服务</w:t>
            </w:r>
            <w:r>
              <w:rPr>
                <w:rFonts w:hint="eastAsia" w:ascii="宋体" w:hAnsi="宋体" w:eastAsia="宋体" w:cs="宋体"/>
                <w:color w:val="auto"/>
                <w:kern w:val="0"/>
                <w:szCs w:val="21"/>
                <w:highlight w:val="none"/>
              </w:rPr>
              <w:t>地点</w:t>
            </w:r>
          </w:p>
        </w:tc>
        <w:tc>
          <w:tcPr>
            <w:tcW w:w="7603"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有效期</w:t>
            </w:r>
          </w:p>
        </w:tc>
        <w:tc>
          <w:tcPr>
            <w:tcW w:w="7603"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603"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3"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603" w:type="dxa"/>
            <w:noWrap/>
            <w:vAlign w:val="center"/>
          </w:tcPr>
          <w:p>
            <w:pPr>
              <w:pStyle w:val="22"/>
              <w:ind w:left="0" w:leftChars="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9" w:name="_Toc11620"/>
      <w:bookmarkStart w:id="70"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9"/>
      <w:bookmarkEnd w:id="70"/>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71" w:name="_Toc12222"/>
      <w:bookmarkStart w:id="72" w:name="_Toc625"/>
      <w:r>
        <w:rPr>
          <w:rFonts w:hint="eastAsia" w:ascii="宋体" w:hAnsi="宋体" w:eastAsia="宋体" w:cs="宋体"/>
          <w:color w:val="auto"/>
          <w:szCs w:val="21"/>
          <w:highlight w:val="none"/>
        </w:rPr>
        <w:t>法定代表人或其委托代理人（签字）：</w:t>
      </w:r>
      <w:bookmarkEnd w:id="71"/>
      <w:bookmarkEnd w:id="72"/>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73" w:name="_Toc1330"/>
      <w:bookmarkStart w:id="74" w:name="_Toc9950"/>
      <w:r>
        <w:rPr>
          <w:rFonts w:hint="eastAsia" w:ascii="宋体" w:hAnsi="宋体" w:eastAsia="宋体" w:cs="宋体"/>
          <w:color w:val="auto"/>
          <w:szCs w:val="21"/>
          <w:highlight w:val="none"/>
        </w:rPr>
        <w:t>年  月  日</w:t>
      </w:r>
      <w:bookmarkEnd w:id="73"/>
      <w:bookmarkEnd w:id="74"/>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bookmarkEnd w:id="49"/>
    <w:bookmarkEnd w:id="50"/>
    <w:p>
      <w:pPr>
        <w:pStyle w:val="2"/>
        <w:spacing w:before="20" w:after="20"/>
        <w:rPr>
          <w:rFonts w:hint="eastAsia" w:ascii="宋体" w:hAnsi="宋体" w:eastAsia="宋体" w:cs="宋体"/>
          <w:color w:val="auto"/>
          <w:highlight w:val="none"/>
        </w:rPr>
      </w:pPr>
      <w:bookmarkStart w:id="75" w:name="_Toc24984"/>
      <w:bookmarkStart w:id="76" w:name="_Toc22004"/>
      <w:r>
        <w:rPr>
          <w:rFonts w:hint="eastAsia" w:ascii="宋体" w:hAnsi="宋体" w:eastAsia="宋体" w:cs="宋体"/>
          <w:color w:val="auto"/>
          <w:highlight w:val="none"/>
        </w:rPr>
        <w:t xml:space="preserve">附件4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报价明细表</w:t>
      </w:r>
      <w:bookmarkEnd w:id="75"/>
      <w:bookmarkEnd w:id="76"/>
    </w:p>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金额单位：人民币（元）</w:t>
      </w:r>
    </w:p>
    <w:tbl>
      <w:tblPr>
        <w:tblStyle w:val="34"/>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r>
              <w:rPr>
                <w:rFonts w:hint="eastAsia" w:ascii="宋体" w:hAnsi="宋体" w:eastAsia="宋体" w:cs="宋体"/>
                <w:color w:val="000000"/>
                <w:kern w:val="0"/>
                <w:sz w:val="24"/>
                <w:highlight w:val="none"/>
              </w:rPr>
              <w:t>序号</w:t>
            </w:r>
          </w:p>
        </w:tc>
        <w:tc>
          <w:tcPr>
            <w:tcW w:w="2384"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szCs w:val="24"/>
                <w:highlight w:val="none"/>
                <w:lang w:val="en-US" w:eastAsia="zh-CN" w:bidi="ar-SA"/>
              </w:rPr>
            </w:pPr>
            <w:r>
              <w:rPr>
                <w:rFonts w:hint="eastAsia" w:ascii="宋体" w:hAnsi="宋体" w:eastAsia="宋体" w:cs="宋体"/>
                <w:color w:val="000000"/>
                <w:spacing w:val="20"/>
                <w:kern w:val="0"/>
                <w:sz w:val="24"/>
                <w:szCs w:val="24"/>
                <w:highlight w:val="none"/>
                <w:lang w:val="en-US" w:eastAsia="zh-CN" w:bidi="ar-SA"/>
              </w:rPr>
              <w:t>服务名称</w:t>
            </w:r>
          </w:p>
        </w:tc>
        <w:tc>
          <w:tcPr>
            <w:tcW w:w="1516"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szCs w:val="24"/>
                <w:highlight w:val="none"/>
                <w:lang w:val="en-US" w:eastAsia="zh-CN" w:bidi="ar-SA"/>
              </w:rPr>
            </w:pPr>
            <w:r>
              <w:rPr>
                <w:rFonts w:hint="eastAsia" w:ascii="宋体" w:hAnsi="宋体" w:eastAsia="宋体" w:cs="宋体"/>
                <w:color w:val="000000"/>
                <w:spacing w:val="20"/>
                <w:kern w:val="0"/>
                <w:sz w:val="24"/>
                <w:szCs w:val="24"/>
                <w:highlight w:val="none"/>
                <w:lang w:val="en-US" w:eastAsia="zh-CN" w:bidi="ar-SA"/>
              </w:rPr>
              <w:t>单位</w:t>
            </w:r>
          </w:p>
        </w:tc>
        <w:tc>
          <w:tcPr>
            <w:tcW w:w="1541"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szCs w:val="24"/>
                <w:highlight w:val="none"/>
                <w:lang w:val="en-US" w:eastAsia="zh-CN" w:bidi="ar-SA"/>
              </w:rPr>
            </w:pPr>
            <w:r>
              <w:rPr>
                <w:rFonts w:hint="eastAsia" w:ascii="宋体" w:hAnsi="宋体" w:eastAsia="宋体" w:cs="宋体"/>
                <w:color w:val="000000"/>
                <w:kern w:val="0"/>
                <w:sz w:val="24"/>
                <w:highlight w:val="none"/>
              </w:rPr>
              <w:t>数量</w:t>
            </w:r>
          </w:p>
        </w:tc>
        <w:tc>
          <w:tcPr>
            <w:tcW w:w="1718"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szCs w:val="24"/>
                <w:highlight w:val="none"/>
                <w:lang w:val="en-US" w:eastAsia="zh-CN" w:bidi="ar-SA"/>
              </w:rPr>
            </w:pPr>
            <w:r>
              <w:rPr>
                <w:rFonts w:hint="eastAsia" w:ascii="宋体" w:hAnsi="宋体" w:eastAsia="宋体" w:cs="宋体"/>
                <w:color w:val="000000"/>
                <w:kern w:val="0"/>
                <w:sz w:val="24"/>
                <w:highlight w:val="none"/>
              </w:rPr>
              <w:t>单价</w:t>
            </w:r>
          </w:p>
        </w:tc>
        <w:tc>
          <w:tcPr>
            <w:tcW w:w="1203" w:type="dxa"/>
            <w:tcBorders>
              <w:top w:val="single" w:color="auto" w:sz="4" w:space="0"/>
              <w:left w:val="single" w:color="auto" w:sz="4" w:space="0"/>
              <w:bottom w:val="nil"/>
              <w:right w:val="single" w:color="auto" w:sz="4" w:space="0"/>
            </w:tcBorders>
            <w:noWrap w:val="0"/>
            <w:vAlign w:val="center"/>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szCs w:val="24"/>
                <w:highlight w:val="none"/>
                <w:lang w:val="en-US" w:eastAsia="zh-CN" w:bidi="ar-SA"/>
              </w:rPr>
            </w:pPr>
            <w:r>
              <w:rPr>
                <w:rFonts w:hint="eastAsia" w:ascii="宋体" w:hAnsi="宋体" w:eastAsia="宋体" w:cs="宋体"/>
                <w:color w:val="000000"/>
                <w:spacing w:val="20"/>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r>
              <w:rPr>
                <w:rFonts w:hint="eastAsia" w:ascii="宋体" w:hAnsi="宋体" w:eastAsia="宋体" w:cs="宋体"/>
                <w:color w:val="000000"/>
                <w:spacing w:val="20"/>
                <w:kern w:val="0"/>
                <w:sz w:val="24"/>
                <w:highlight w:val="none"/>
              </w:rPr>
              <w:t xml:space="preserve">…… </w:t>
            </w:r>
          </w:p>
        </w:tc>
        <w:tc>
          <w:tcPr>
            <w:tcW w:w="151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center"/>
              <w:rPr>
                <w:rFonts w:hint="eastAsia" w:ascii="宋体" w:hAnsi="宋体" w:eastAsia="宋体" w:cs="宋体"/>
                <w:color w:val="000000"/>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6358" w:type="dxa"/>
            <w:gridSpan w:val="4"/>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left"/>
              <w:rPr>
                <w:rFonts w:hint="eastAsia" w:ascii="宋体" w:hAnsi="宋体" w:eastAsia="宋体" w:cs="宋体"/>
                <w:color w:val="000000"/>
                <w:spacing w:val="20"/>
                <w:kern w:val="0"/>
                <w:sz w:val="24"/>
                <w:highlight w:val="none"/>
              </w:rPr>
            </w:pPr>
            <w:r>
              <w:rPr>
                <w:rFonts w:hint="eastAsia" w:ascii="宋体" w:hAnsi="宋体" w:eastAsia="宋体" w:cs="宋体"/>
                <w:color w:val="000000"/>
                <w:spacing w:val="20"/>
                <w:kern w:val="0"/>
                <w:sz w:val="24"/>
                <w:highlight w:val="none"/>
                <w:lang w:eastAsia="zh-CN"/>
              </w:rPr>
              <w:t>磋商</w:t>
            </w:r>
            <w:r>
              <w:rPr>
                <w:rFonts w:hint="eastAsia" w:ascii="宋体" w:hAnsi="宋体" w:eastAsia="宋体" w:cs="宋体"/>
                <w:color w:val="000000"/>
                <w:spacing w:val="20"/>
                <w:kern w:val="0"/>
                <w:sz w:val="24"/>
                <w:highlight w:val="none"/>
              </w:rPr>
              <w:t>总价(</w:t>
            </w:r>
            <w:r>
              <w:rPr>
                <w:rFonts w:hint="eastAsia" w:ascii="宋体" w:hAnsi="宋体" w:eastAsia="宋体" w:cs="宋体"/>
                <w:color w:val="000000"/>
                <w:kern w:val="0"/>
                <w:sz w:val="24"/>
                <w:szCs w:val="21"/>
                <w:highlight w:val="none"/>
              </w:rPr>
              <w:t>大写)：</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left"/>
              <w:rPr>
                <w:rFonts w:hint="eastAsia" w:ascii="宋体" w:hAnsi="宋体" w:eastAsia="宋体" w:cs="宋体"/>
                <w:color w:val="000000"/>
                <w:spacing w:val="20"/>
                <w:kern w:val="0"/>
                <w:sz w:val="24"/>
                <w:highlight w:val="none"/>
              </w:rPr>
            </w:pPr>
            <w:r>
              <w:rPr>
                <w:rFonts w:hint="eastAsia" w:ascii="宋体" w:hAnsi="宋体" w:eastAsia="宋体" w:cs="宋体"/>
                <w:color w:val="000000"/>
                <w:kern w:val="0"/>
                <w:sz w:val="24"/>
                <w:szCs w:val="21"/>
                <w:highlight w:val="none"/>
              </w:rPr>
              <w:t>￥</w:t>
            </w:r>
          </w:p>
        </w:tc>
        <w:tc>
          <w:tcPr>
            <w:tcW w:w="1203"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418"/>
              </w:tabs>
              <w:snapToGrid w:val="0"/>
              <w:spacing w:before="50" w:after="50" w:line="360" w:lineRule="exact"/>
              <w:jc w:val="left"/>
              <w:rPr>
                <w:rFonts w:hint="eastAsia" w:ascii="宋体" w:hAnsi="宋体" w:eastAsia="宋体" w:cs="宋体"/>
                <w:color w:val="000000"/>
                <w:spacing w:val="20"/>
                <w:kern w:val="0"/>
                <w:sz w:val="24"/>
                <w:highlight w:val="none"/>
                <w:lang w:val="en-US" w:eastAsia="zh-CN"/>
              </w:rPr>
            </w:pPr>
          </w:p>
        </w:tc>
      </w:tr>
    </w:tbl>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highlight w:val="none"/>
        </w:rPr>
        <w:br w:type="page"/>
      </w:r>
      <w:bookmarkStart w:id="77" w:name="_Toc226"/>
      <w:bookmarkStart w:id="78" w:name="_Toc15804"/>
      <w:r>
        <w:rPr>
          <w:rFonts w:hint="eastAsia" w:ascii="宋体" w:hAnsi="宋体" w:eastAsia="宋体" w:cs="宋体"/>
          <w:color w:val="auto"/>
          <w:highlight w:val="none"/>
        </w:rPr>
        <w:t xml:space="preserve">附件5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技术响应</w:t>
      </w:r>
      <w:bookmarkEnd w:id="77"/>
      <w:bookmarkEnd w:id="78"/>
      <w:r>
        <w:rPr>
          <w:rFonts w:hint="eastAsia" w:ascii="宋体" w:hAnsi="宋体" w:eastAsia="宋体" w:cs="宋体"/>
          <w:color w:val="auto"/>
          <w:highlight w:val="none"/>
          <w:lang w:val="en-US" w:eastAsia="zh-CN"/>
        </w:rPr>
        <w:t>部分</w:t>
      </w:r>
    </w:p>
    <w:tbl>
      <w:tblPr>
        <w:tblStyle w:val="35"/>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jc w:val="center"/>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lang w:val="en-US" w:eastAsia="zh-CN"/>
              </w:rPr>
              <w:t>服务内容</w:t>
            </w:r>
          </w:p>
        </w:tc>
        <w:tc>
          <w:tcPr>
            <w:tcW w:w="211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eastAsia="zh-CN"/>
              </w:rPr>
              <w:t>响应性文件</w:t>
            </w:r>
            <w:r>
              <w:rPr>
                <w:rFonts w:hint="eastAsia" w:ascii="宋体" w:hAnsi="宋体" w:eastAsia="宋体" w:cs="宋体"/>
                <w:color w:val="auto"/>
                <w:kern w:val="0"/>
                <w:sz w:val="24"/>
                <w:highlight w:val="none"/>
              </w:rPr>
              <w:t>响应</w:t>
            </w:r>
          </w:p>
        </w:tc>
        <w:tc>
          <w:tcPr>
            <w:tcW w:w="195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color w:val="auto"/>
                <w:sz w:val="24"/>
                <w:highlight w:val="none"/>
              </w:rPr>
            </w:pPr>
          </w:p>
        </w:tc>
        <w:tc>
          <w:tcPr>
            <w:tcW w:w="195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bCs/>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bl>
    <w:p>
      <w:pPr>
        <w:widowControl/>
        <w:wordWrap w:val="0"/>
        <w:spacing w:before="50" w:after="50" w:line="48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w:t>
      </w:r>
      <w:r>
        <w:rPr>
          <w:rFonts w:hint="eastAsia" w:ascii="宋体" w:hAnsi="宋体" w:eastAsia="宋体" w:cs="宋体"/>
          <w:bCs/>
          <w:color w:val="auto"/>
          <w:kern w:val="0"/>
          <w:sz w:val="24"/>
          <w:highlight w:val="none"/>
          <w:lang w:eastAsia="zh-CN"/>
        </w:rPr>
        <w:t>供应商</w:t>
      </w:r>
      <w:r>
        <w:rPr>
          <w:rFonts w:hint="eastAsia" w:ascii="宋体" w:hAnsi="宋体" w:eastAsia="宋体" w:cs="宋体"/>
          <w:bCs/>
          <w:color w:val="auto"/>
          <w:kern w:val="0"/>
          <w:sz w:val="24"/>
          <w:highlight w:val="none"/>
        </w:rPr>
        <w:t>必须如实完整填写表格， “偏离情况”是指“正偏离”、“负偏离”或“无偏离”。</w:t>
      </w: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widowControl/>
        <w:wordWrap w:val="0"/>
        <w:snapToGrid w:val="0"/>
        <w:spacing w:line="460" w:lineRule="exact"/>
        <w:jc w:val="left"/>
        <w:outlineLvl w:val="0"/>
        <w:rPr>
          <w:rFonts w:hint="eastAsia" w:ascii="宋体" w:hAnsi="宋体" w:eastAsia="宋体" w:cs="宋体"/>
          <w:b/>
          <w:color w:val="auto"/>
          <w:sz w:val="32"/>
          <w:szCs w:val="28"/>
          <w:highlight w:val="none"/>
          <w:lang w:eastAsia="zh-CN"/>
        </w:rPr>
      </w:pPr>
      <w:bookmarkStart w:id="79" w:name="_Toc29960"/>
      <w:bookmarkStart w:id="80" w:name="_Toc20420"/>
      <w:r>
        <w:rPr>
          <w:rFonts w:hint="eastAsia" w:ascii="宋体" w:hAnsi="宋体" w:eastAsia="宋体" w:cs="宋体"/>
          <w:b/>
          <w:color w:val="auto"/>
          <w:sz w:val="32"/>
          <w:szCs w:val="28"/>
          <w:highlight w:val="none"/>
        </w:rPr>
        <w:t xml:space="preserve">附件6              </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 xml:space="preserve"> 商务响应</w:t>
      </w:r>
      <w:bookmarkEnd w:id="79"/>
      <w:bookmarkEnd w:id="80"/>
      <w:r>
        <w:rPr>
          <w:rFonts w:hint="eastAsia" w:ascii="宋体" w:hAnsi="宋体" w:eastAsia="宋体" w:cs="宋体"/>
          <w:b/>
          <w:color w:val="auto"/>
          <w:sz w:val="32"/>
          <w:szCs w:val="28"/>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427"/>
        <w:gridCol w:w="2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文件要求</w:t>
            </w: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响应情况</w:t>
            </w: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服务期限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p>
        </w:tc>
      </w:tr>
    </w:tbl>
    <w:p>
      <w:pPr>
        <w:widowControl/>
        <w:wordWrap w:val="0"/>
        <w:snapToGrid w:val="0"/>
        <w:spacing w:before="50" w:line="480" w:lineRule="auto"/>
        <w:jc w:val="left"/>
        <w:rPr>
          <w:rFonts w:hint="eastAsia" w:ascii="宋体" w:hAnsi="宋体" w:eastAsia="宋体" w:cs="宋体"/>
          <w:color w:val="auto"/>
          <w:kern w:val="0"/>
          <w:sz w:val="24"/>
          <w:highlight w:val="none"/>
        </w:rPr>
      </w:pPr>
    </w:p>
    <w:p>
      <w:pPr>
        <w:widowControl/>
        <w:wordWrap w:val="0"/>
        <w:spacing w:line="480" w:lineRule="auto"/>
        <w:ind w:firstLine="2400" w:firstLineChars="10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pacing w:line="480" w:lineRule="auto"/>
        <w:ind w:firstLine="2280" w:firstLineChars="9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pacing w:line="480" w:lineRule="auto"/>
        <w:jc w:val="center"/>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年    月    日</w:t>
      </w:r>
    </w:p>
    <w:p>
      <w:pPr>
        <w:widowControl/>
        <w:wordWrap w:val="0"/>
        <w:spacing w:line="460" w:lineRule="exact"/>
        <w:jc w:val="left"/>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Style w:val="33"/>
        <w:rPr>
          <w:rFonts w:hint="eastAsia" w:ascii="宋体" w:hAnsi="宋体" w:eastAsia="宋体" w:cs="宋体"/>
        </w:rPr>
      </w:pPr>
    </w:p>
    <w:p>
      <w:pPr>
        <w:widowControl/>
        <w:wordWrap w:val="0"/>
        <w:spacing w:line="460" w:lineRule="exact"/>
        <w:jc w:val="left"/>
        <w:outlineLvl w:val="0"/>
        <w:rPr>
          <w:rFonts w:hint="eastAsia" w:ascii="宋体" w:hAnsi="宋体" w:eastAsia="宋体" w:cs="宋体"/>
          <w:b/>
          <w:color w:val="auto"/>
          <w:sz w:val="28"/>
          <w:highlight w:val="none"/>
        </w:rPr>
      </w:pPr>
      <w:bookmarkStart w:id="81" w:name="_Toc28621"/>
      <w:bookmarkStart w:id="82" w:name="_Toc31526"/>
      <w:r>
        <w:rPr>
          <w:rFonts w:hint="eastAsia" w:ascii="宋体" w:hAnsi="宋体" w:eastAsia="宋体" w:cs="宋体"/>
          <w:b/>
          <w:color w:val="auto"/>
          <w:sz w:val="28"/>
          <w:highlight w:val="none"/>
        </w:rPr>
        <w:t>附件7               法定代表人身份证明（格式）</w:t>
      </w:r>
      <w:bookmarkEnd w:id="81"/>
      <w:bookmarkEnd w:id="82"/>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3" w:name="_Toc13976"/>
      <w:bookmarkStart w:id="84" w:name="_Toc30519"/>
      <w:r>
        <w:rPr>
          <w:rFonts w:hint="eastAsia" w:ascii="宋体" w:hAnsi="宋体" w:eastAsia="宋体" w:cs="宋体"/>
          <w:b/>
          <w:color w:val="auto"/>
          <w:sz w:val="28"/>
          <w:highlight w:val="none"/>
        </w:rPr>
        <w:t>附件8               法定代表人授权书（格式）</w:t>
      </w:r>
      <w:bookmarkEnd w:id="83"/>
      <w:bookmarkEnd w:id="84"/>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活动，并代表我方全权办理针对上述项目的</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职务：                      </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5" w:name="_Toc24693"/>
      <w:bookmarkStart w:id="86" w:name="_Toc18105"/>
      <w:r>
        <w:rPr>
          <w:rFonts w:hint="eastAsia" w:ascii="宋体" w:hAnsi="宋体" w:eastAsia="宋体" w:cs="宋体"/>
          <w:b/>
          <w:color w:val="auto"/>
          <w:sz w:val="28"/>
          <w:highlight w:val="none"/>
        </w:rPr>
        <w:t>附件9               证明文件</w:t>
      </w:r>
      <w:bookmarkEnd w:id="85"/>
      <w:bookmarkEnd w:id="86"/>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7" w:name="_Toc17966"/>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14"/>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14"/>
        <w:spacing w:beforeAutospacing="0" w:afterAutospacing="0" w:line="480" w:lineRule="auto"/>
        <w:ind w:firstLine="540" w:firstLineChars="224"/>
        <w:jc w:val="both"/>
        <w:rPr>
          <w:rFonts w:hint="eastAsia" w:ascii="宋体" w:hAnsi="宋体" w:eastAsia="宋体" w:cs="宋体"/>
          <w:b/>
          <w:bCs/>
          <w:color w:val="auto"/>
          <w:highlight w:val="none"/>
        </w:rPr>
      </w:pP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8" w:name="_Toc13726"/>
      <w:bookmarkStart w:id="89" w:name="_Toc12888"/>
      <w:r>
        <w:rPr>
          <w:rFonts w:hint="eastAsia" w:ascii="宋体" w:hAnsi="宋体" w:eastAsia="宋体" w:cs="宋体"/>
          <w:b/>
          <w:color w:val="auto"/>
          <w:kern w:val="0"/>
          <w:sz w:val="28"/>
          <w:szCs w:val="28"/>
          <w:highlight w:val="none"/>
        </w:rPr>
        <w:t xml:space="preserve">附件10        </w:t>
      </w:r>
      <w:bookmarkEnd w:id="87"/>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8"/>
      <w:bookmarkEnd w:id="89"/>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w:t>
      </w:r>
      <w:r>
        <w:rPr>
          <w:rFonts w:hint="eastAsia" w:ascii="宋体" w:hAnsi="宋体" w:eastAsia="宋体" w:cs="宋体"/>
          <w:sz w:val="24"/>
          <w:szCs w:val="24"/>
          <w:lang w:eastAsia="zh-CN"/>
        </w:rPr>
        <w:t>采购磋商</w:t>
      </w:r>
      <w:r>
        <w:rPr>
          <w:rFonts w:hint="eastAsia" w:ascii="宋体" w:hAnsi="宋体" w:eastAsia="宋体" w:cs="宋体"/>
          <w:sz w:val="24"/>
          <w:szCs w:val="24"/>
        </w:rPr>
        <w:t>法》、《政府采购法》、《合同法》、《反不正当竞争法》和《关于推进招</w:t>
      </w:r>
      <w:r>
        <w:rPr>
          <w:rFonts w:hint="eastAsia" w:ascii="宋体" w:hAnsi="宋体" w:eastAsia="宋体" w:cs="宋体"/>
          <w:sz w:val="24"/>
          <w:szCs w:val="24"/>
          <w:lang w:eastAsia="zh-CN"/>
        </w:rPr>
        <w:t>磋商</w:t>
      </w:r>
      <w:r>
        <w:rPr>
          <w:rFonts w:hint="eastAsia" w:ascii="宋体" w:hAnsi="宋体" w:eastAsia="宋体" w:cs="宋体"/>
          <w:sz w:val="24"/>
          <w:szCs w:val="24"/>
        </w:rPr>
        <w:t>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w:t>
      </w:r>
      <w:r>
        <w:rPr>
          <w:rFonts w:hint="eastAsia" w:ascii="宋体" w:hAnsi="宋体" w:eastAsia="宋体" w:cs="宋体"/>
          <w:sz w:val="24"/>
          <w:szCs w:val="24"/>
          <w:lang w:eastAsia="zh-CN"/>
        </w:rPr>
        <w:t>成交</w:t>
      </w:r>
      <w:r>
        <w:rPr>
          <w:rFonts w:hint="eastAsia" w:ascii="宋体" w:hAnsi="宋体" w:eastAsia="宋体" w:cs="宋体"/>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w:t>
      </w:r>
      <w:r>
        <w:rPr>
          <w:rFonts w:hint="eastAsia" w:ascii="宋体" w:hAnsi="宋体" w:eastAsia="宋体" w:cs="宋体"/>
          <w:sz w:val="24"/>
          <w:szCs w:val="24"/>
          <w:lang w:eastAsia="zh-CN"/>
        </w:rPr>
        <w:t>成交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w:t>
      </w:r>
      <w:r>
        <w:rPr>
          <w:rFonts w:hint="eastAsia" w:ascii="宋体" w:hAnsi="宋体" w:eastAsia="宋体" w:cs="宋体"/>
          <w:sz w:val="24"/>
          <w:szCs w:val="24"/>
          <w:lang w:eastAsia="zh-CN"/>
        </w:rPr>
        <w:t>响应性文件</w:t>
      </w:r>
      <w:r>
        <w:rPr>
          <w:rFonts w:hint="eastAsia" w:ascii="宋体" w:hAnsi="宋体" w:eastAsia="宋体" w:cs="宋体"/>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法定代表人或委托人（签字）：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bidi w:val="0"/>
        <w:rPr>
          <w:rFonts w:hint="eastAsia" w:ascii="宋体" w:hAnsi="宋体" w:eastAsia="宋体" w:cs="宋体"/>
          <w:lang w:val="en-US" w:eastAsia="zh-CN"/>
        </w:rPr>
      </w:pPr>
    </w:p>
    <w:p>
      <w:pPr>
        <w:widowControl/>
        <w:snapToGrid w:val="0"/>
        <w:spacing w:line="360" w:lineRule="auto"/>
        <w:jc w:val="left"/>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val="en-US" w:eastAsia="zh-CN"/>
        </w:rPr>
        <w:t xml:space="preserve">附件11                        </w:t>
      </w:r>
      <w:r>
        <w:rPr>
          <w:rFonts w:hint="eastAsia" w:ascii="宋体" w:hAnsi="宋体" w:eastAsia="宋体" w:cs="宋体"/>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本次采购</w:t>
      </w:r>
      <w:r>
        <w:rPr>
          <w:rFonts w:hint="eastAsia" w:ascii="宋体" w:hAnsi="宋体" w:eastAsia="宋体" w:cs="宋体"/>
          <w:color w:val="auto"/>
          <w:highlight w:val="none"/>
        </w:rPr>
        <w:t>采购项目</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不可分割的一部分。我方参加本次</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1．我方已经过详细市场调查，本次所投报产品货源充足，保证不会出现无货、断货现象。</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3．如无法按我方承诺期限如期供货，我方愿接受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扣除本项目履约保证金的处理,对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造成损失的,我方愿承担相应赔偿责任；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验收时如发现我方所供产品与</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中所承诺的产品型号、规格、技术参数要求不符的，我方将立即无条件更换。如因此造成交货期超出我方承诺期限的，我方接受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扣除履约保证金的处理，同时愿承担合同约定的违约责任；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5．我方提供的产品如不能满足采购文件要求的，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有权拒绝接收；</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6．如</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确定我方为本项目的</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（成交）候选人或</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人，在公示期内或领取</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（成交）通知书后，我方无正当理由（如自身报价失误、无法组织及时供货、资金不到位、账户无法正常使用等）放弃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（成交）候选人资格或</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资格，我方愿接受财政部门做出的</w:t>
      </w:r>
      <w:r>
        <w:rPr>
          <w:rFonts w:hint="eastAsia" w:ascii="宋体" w:hAnsi="宋体" w:eastAsia="宋体" w:cs="宋体"/>
          <w:color w:val="auto"/>
          <w:highlight w:val="none"/>
          <w:lang w:val="en-US" w:eastAsia="zh-CN"/>
        </w:rPr>
        <w:t>处罚决定</w:t>
      </w:r>
      <w:r>
        <w:rPr>
          <w:rFonts w:hint="eastAsia" w:ascii="宋体" w:hAnsi="宋体" w:eastAsia="宋体" w:cs="宋体"/>
          <w:color w:val="auto"/>
          <w:highlight w:val="none"/>
        </w:rPr>
        <w:t>；</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7．我方已详细阅读了本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文件，保证可以完全响应</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文件中所有商务、技术要求，并理解你方或</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对我方进行资格审查的权利，如在资格审查中发现我方存在有违规行为愿承担相应法律责任。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0"/>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90" w:name="_Toc25094"/>
      <w:bookmarkStart w:id="91" w:name="_Toc233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90"/>
      <w:bookmarkEnd w:id="91"/>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both"/>
        <w:rPr>
          <w:rFonts w:hint="eastAsia" w:ascii="宋体" w:hAnsi="宋体" w:eastAsia="宋体" w:cs="宋体"/>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ascii="宋体" w:hAnsi="宋体" w:cs="宋体"/>
        <w:color w:val="auto"/>
        <w:szCs w:val="21"/>
        <w:highlight w:val="none"/>
        <w:u w:val="none"/>
        <w:shd w:val="clear" w:color="auto" w:fill="FFFFFF"/>
        <w:lang w:val="en-US" w:eastAsia="zh-CN"/>
      </w:rPr>
      <w:t>医院智慧健康教育平台采购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rPr>
    </w:pPr>
    <w:r>
      <w:rPr>
        <w:rFonts w:hint="eastAsia"/>
      </w:rPr>
      <w:t>医院智慧健康教育平台</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8D5656"/>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6C20"/>
    <w:rsid w:val="04610B65"/>
    <w:rsid w:val="047968B1"/>
    <w:rsid w:val="04870542"/>
    <w:rsid w:val="05545DD3"/>
    <w:rsid w:val="055648AE"/>
    <w:rsid w:val="056E2AD6"/>
    <w:rsid w:val="05806815"/>
    <w:rsid w:val="058251D3"/>
    <w:rsid w:val="05945CCE"/>
    <w:rsid w:val="059D05A4"/>
    <w:rsid w:val="059D5E17"/>
    <w:rsid w:val="05AB0A28"/>
    <w:rsid w:val="05AB0F81"/>
    <w:rsid w:val="05B93AC3"/>
    <w:rsid w:val="05B93D6B"/>
    <w:rsid w:val="05D53002"/>
    <w:rsid w:val="05D75738"/>
    <w:rsid w:val="05EE31EC"/>
    <w:rsid w:val="061E7D14"/>
    <w:rsid w:val="06560AED"/>
    <w:rsid w:val="066469C9"/>
    <w:rsid w:val="066646A1"/>
    <w:rsid w:val="06983B20"/>
    <w:rsid w:val="069A3B66"/>
    <w:rsid w:val="06B91765"/>
    <w:rsid w:val="06C336CA"/>
    <w:rsid w:val="06CA2AD2"/>
    <w:rsid w:val="06CE3071"/>
    <w:rsid w:val="06D33DBA"/>
    <w:rsid w:val="06E13F9F"/>
    <w:rsid w:val="06FB0AC5"/>
    <w:rsid w:val="070D2D5D"/>
    <w:rsid w:val="07111B8D"/>
    <w:rsid w:val="074A5B92"/>
    <w:rsid w:val="075E3193"/>
    <w:rsid w:val="078E18EB"/>
    <w:rsid w:val="078E36C9"/>
    <w:rsid w:val="07B10EA5"/>
    <w:rsid w:val="07CE3FA1"/>
    <w:rsid w:val="07EC2ECB"/>
    <w:rsid w:val="07FE66CB"/>
    <w:rsid w:val="080B4D47"/>
    <w:rsid w:val="08321601"/>
    <w:rsid w:val="083D5C91"/>
    <w:rsid w:val="0847191F"/>
    <w:rsid w:val="08591DC3"/>
    <w:rsid w:val="087C4541"/>
    <w:rsid w:val="087E5595"/>
    <w:rsid w:val="08950866"/>
    <w:rsid w:val="08C52D6F"/>
    <w:rsid w:val="08EF0201"/>
    <w:rsid w:val="08F41DE8"/>
    <w:rsid w:val="093C0A11"/>
    <w:rsid w:val="09737462"/>
    <w:rsid w:val="09906B8B"/>
    <w:rsid w:val="099156C3"/>
    <w:rsid w:val="09A53F39"/>
    <w:rsid w:val="09A60E13"/>
    <w:rsid w:val="09D206F0"/>
    <w:rsid w:val="09FF5AD9"/>
    <w:rsid w:val="0A321AC2"/>
    <w:rsid w:val="0A343D4E"/>
    <w:rsid w:val="0A3E6D2E"/>
    <w:rsid w:val="0AAF0C6D"/>
    <w:rsid w:val="0AD13A85"/>
    <w:rsid w:val="0B091954"/>
    <w:rsid w:val="0B0E0EA9"/>
    <w:rsid w:val="0B383C7F"/>
    <w:rsid w:val="0B637D77"/>
    <w:rsid w:val="0B7006C4"/>
    <w:rsid w:val="0BAC324F"/>
    <w:rsid w:val="0BF72F1E"/>
    <w:rsid w:val="0C3957A5"/>
    <w:rsid w:val="0C626DA7"/>
    <w:rsid w:val="0C6876AE"/>
    <w:rsid w:val="0C720EC8"/>
    <w:rsid w:val="0C942042"/>
    <w:rsid w:val="0C9D50DC"/>
    <w:rsid w:val="0CA5271D"/>
    <w:rsid w:val="0CAC05C5"/>
    <w:rsid w:val="0CAC4D10"/>
    <w:rsid w:val="0CC72121"/>
    <w:rsid w:val="0CEE5A21"/>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20DBE"/>
    <w:rsid w:val="0FF55387"/>
    <w:rsid w:val="0FFD20F0"/>
    <w:rsid w:val="10197769"/>
    <w:rsid w:val="103E6E57"/>
    <w:rsid w:val="1041497B"/>
    <w:rsid w:val="10425FF6"/>
    <w:rsid w:val="106612B1"/>
    <w:rsid w:val="108D35E3"/>
    <w:rsid w:val="109010E6"/>
    <w:rsid w:val="10B271F4"/>
    <w:rsid w:val="10C8275C"/>
    <w:rsid w:val="10CC0366"/>
    <w:rsid w:val="10E03539"/>
    <w:rsid w:val="10E82D1F"/>
    <w:rsid w:val="10EE5C94"/>
    <w:rsid w:val="113329E7"/>
    <w:rsid w:val="113F294C"/>
    <w:rsid w:val="11437C85"/>
    <w:rsid w:val="1166372C"/>
    <w:rsid w:val="11700D10"/>
    <w:rsid w:val="1178125A"/>
    <w:rsid w:val="1196056D"/>
    <w:rsid w:val="11CD6E9F"/>
    <w:rsid w:val="11D34654"/>
    <w:rsid w:val="12010480"/>
    <w:rsid w:val="120E707F"/>
    <w:rsid w:val="127A7D1C"/>
    <w:rsid w:val="12836D8B"/>
    <w:rsid w:val="128D43D8"/>
    <w:rsid w:val="12AB0349"/>
    <w:rsid w:val="12CD57F1"/>
    <w:rsid w:val="12CE7AFA"/>
    <w:rsid w:val="12D67466"/>
    <w:rsid w:val="131776FE"/>
    <w:rsid w:val="13272A5D"/>
    <w:rsid w:val="13493108"/>
    <w:rsid w:val="13733928"/>
    <w:rsid w:val="139C16C9"/>
    <w:rsid w:val="13B63CE1"/>
    <w:rsid w:val="13BC6684"/>
    <w:rsid w:val="13C72B3A"/>
    <w:rsid w:val="13DF0D79"/>
    <w:rsid w:val="13DF575E"/>
    <w:rsid w:val="13EE3A98"/>
    <w:rsid w:val="142123F7"/>
    <w:rsid w:val="142A11D8"/>
    <w:rsid w:val="144B544C"/>
    <w:rsid w:val="145B7B45"/>
    <w:rsid w:val="14717443"/>
    <w:rsid w:val="148D52E3"/>
    <w:rsid w:val="14992B90"/>
    <w:rsid w:val="14AF1856"/>
    <w:rsid w:val="14AF19A3"/>
    <w:rsid w:val="14B53957"/>
    <w:rsid w:val="14C53ECE"/>
    <w:rsid w:val="14CD48A5"/>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BB43F6"/>
    <w:rsid w:val="16C872D5"/>
    <w:rsid w:val="16D54FA3"/>
    <w:rsid w:val="16D84D9F"/>
    <w:rsid w:val="16E94D3E"/>
    <w:rsid w:val="170D06E0"/>
    <w:rsid w:val="17332185"/>
    <w:rsid w:val="17475951"/>
    <w:rsid w:val="179F2E61"/>
    <w:rsid w:val="17C227C0"/>
    <w:rsid w:val="17D1549B"/>
    <w:rsid w:val="18097740"/>
    <w:rsid w:val="18267CA4"/>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C4402E"/>
    <w:rsid w:val="19EE780F"/>
    <w:rsid w:val="19FC7A84"/>
    <w:rsid w:val="1A125525"/>
    <w:rsid w:val="1A3755BF"/>
    <w:rsid w:val="1A5F4342"/>
    <w:rsid w:val="1A704009"/>
    <w:rsid w:val="1A8B7555"/>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19529E"/>
    <w:rsid w:val="1C2B6D1A"/>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636C9D"/>
    <w:rsid w:val="1E656063"/>
    <w:rsid w:val="1E6B06A5"/>
    <w:rsid w:val="1E7F7D9E"/>
    <w:rsid w:val="1E840DA4"/>
    <w:rsid w:val="1EA5444C"/>
    <w:rsid w:val="1EB350EF"/>
    <w:rsid w:val="1EC21749"/>
    <w:rsid w:val="1EEB7C4E"/>
    <w:rsid w:val="1EF74148"/>
    <w:rsid w:val="1F171B83"/>
    <w:rsid w:val="1F2D491A"/>
    <w:rsid w:val="1F7369C7"/>
    <w:rsid w:val="1F94547B"/>
    <w:rsid w:val="1FAF308C"/>
    <w:rsid w:val="1FB060A0"/>
    <w:rsid w:val="1FC11109"/>
    <w:rsid w:val="1FEF08C8"/>
    <w:rsid w:val="1FF72E6A"/>
    <w:rsid w:val="200C3C23"/>
    <w:rsid w:val="201B3ED4"/>
    <w:rsid w:val="20310B02"/>
    <w:rsid w:val="206F0406"/>
    <w:rsid w:val="20784063"/>
    <w:rsid w:val="207E346A"/>
    <w:rsid w:val="208E12C3"/>
    <w:rsid w:val="209502A3"/>
    <w:rsid w:val="20BB2F53"/>
    <w:rsid w:val="210F579E"/>
    <w:rsid w:val="212550B5"/>
    <w:rsid w:val="21592B62"/>
    <w:rsid w:val="21747CD2"/>
    <w:rsid w:val="217C690F"/>
    <w:rsid w:val="219E5782"/>
    <w:rsid w:val="21E72B0B"/>
    <w:rsid w:val="221F2D96"/>
    <w:rsid w:val="22246DB1"/>
    <w:rsid w:val="22440067"/>
    <w:rsid w:val="22542FDE"/>
    <w:rsid w:val="225A6017"/>
    <w:rsid w:val="227A5532"/>
    <w:rsid w:val="22810FE4"/>
    <w:rsid w:val="22843A03"/>
    <w:rsid w:val="22A338AB"/>
    <w:rsid w:val="22AD37A2"/>
    <w:rsid w:val="22B31E8A"/>
    <w:rsid w:val="22BC5DEE"/>
    <w:rsid w:val="22C735BD"/>
    <w:rsid w:val="23122833"/>
    <w:rsid w:val="231D4917"/>
    <w:rsid w:val="231E5D73"/>
    <w:rsid w:val="23223458"/>
    <w:rsid w:val="23225D32"/>
    <w:rsid w:val="23357BE6"/>
    <w:rsid w:val="2342574E"/>
    <w:rsid w:val="2377331D"/>
    <w:rsid w:val="237D43DE"/>
    <w:rsid w:val="23940114"/>
    <w:rsid w:val="23B57016"/>
    <w:rsid w:val="23D4764B"/>
    <w:rsid w:val="23E02B96"/>
    <w:rsid w:val="23EC3718"/>
    <w:rsid w:val="24044EF2"/>
    <w:rsid w:val="2407139D"/>
    <w:rsid w:val="240B04F4"/>
    <w:rsid w:val="242A0646"/>
    <w:rsid w:val="24341131"/>
    <w:rsid w:val="2435301D"/>
    <w:rsid w:val="243D6E1A"/>
    <w:rsid w:val="24607F91"/>
    <w:rsid w:val="246C581B"/>
    <w:rsid w:val="247C52A2"/>
    <w:rsid w:val="24CC106B"/>
    <w:rsid w:val="24D00598"/>
    <w:rsid w:val="24D725E9"/>
    <w:rsid w:val="25045F70"/>
    <w:rsid w:val="25056E93"/>
    <w:rsid w:val="25092EBA"/>
    <w:rsid w:val="25241020"/>
    <w:rsid w:val="25630FB8"/>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3035D"/>
    <w:rsid w:val="29274EE0"/>
    <w:rsid w:val="294A3FF9"/>
    <w:rsid w:val="2969197F"/>
    <w:rsid w:val="29746E87"/>
    <w:rsid w:val="297C03C2"/>
    <w:rsid w:val="299573AB"/>
    <w:rsid w:val="29BE5BD0"/>
    <w:rsid w:val="29C01572"/>
    <w:rsid w:val="29E74CE2"/>
    <w:rsid w:val="2A224E9B"/>
    <w:rsid w:val="2A306A36"/>
    <w:rsid w:val="2A5372C6"/>
    <w:rsid w:val="2A5B03D8"/>
    <w:rsid w:val="2A6F6D07"/>
    <w:rsid w:val="2A882500"/>
    <w:rsid w:val="2AB63ABC"/>
    <w:rsid w:val="2B003D00"/>
    <w:rsid w:val="2B074D5E"/>
    <w:rsid w:val="2B100BA9"/>
    <w:rsid w:val="2B1B5825"/>
    <w:rsid w:val="2B1E3AFC"/>
    <w:rsid w:val="2B9E4F56"/>
    <w:rsid w:val="2BBD216E"/>
    <w:rsid w:val="2BD17810"/>
    <w:rsid w:val="2BDB5A88"/>
    <w:rsid w:val="2BE53AA6"/>
    <w:rsid w:val="2BE91C37"/>
    <w:rsid w:val="2BEC3F72"/>
    <w:rsid w:val="2C083572"/>
    <w:rsid w:val="2C1300E8"/>
    <w:rsid w:val="2C185F94"/>
    <w:rsid w:val="2C1F1AC4"/>
    <w:rsid w:val="2C3F3A41"/>
    <w:rsid w:val="2C4431C4"/>
    <w:rsid w:val="2C62059F"/>
    <w:rsid w:val="2C6634FA"/>
    <w:rsid w:val="2CAC022C"/>
    <w:rsid w:val="2CC11807"/>
    <w:rsid w:val="2CF16074"/>
    <w:rsid w:val="2CF40FAD"/>
    <w:rsid w:val="2CF81D1B"/>
    <w:rsid w:val="2D3F2453"/>
    <w:rsid w:val="2D406947"/>
    <w:rsid w:val="2D835174"/>
    <w:rsid w:val="2D977BAE"/>
    <w:rsid w:val="2DD90B7B"/>
    <w:rsid w:val="2DDD3FC1"/>
    <w:rsid w:val="2DF701D8"/>
    <w:rsid w:val="2DF970A1"/>
    <w:rsid w:val="2DFB0E33"/>
    <w:rsid w:val="2E085834"/>
    <w:rsid w:val="2E1034F8"/>
    <w:rsid w:val="2E505773"/>
    <w:rsid w:val="2E742F70"/>
    <w:rsid w:val="2EAE2349"/>
    <w:rsid w:val="2EDC2A13"/>
    <w:rsid w:val="2EFD7DB9"/>
    <w:rsid w:val="2F1A081D"/>
    <w:rsid w:val="2F1E3DC0"/>
    <w:rsid w:val="2F3112DE"/>
    <w:rsid w:val="2F316D31"/>
    <w:rsid w:val="2F3B6922"/>
    <w:rsid w:val="2F506C6D"/>
    <w:rsid w:val="2F51291F"/>
    <w:rsid w:val="2F55758A"/>
    <w:rsid w:val="2F61116A"/>
    <w:rsid w:val="2F7F15AE"/>
    <w:rsid w:val="2FA54796"/>
    <w:rsid w:val="2FA674E2"/>
    <w:rsid w:val="2FFE7D49"/>
    <w:rsid w:val="301663F8"/>
    <w:rsid w:val="302A5C42"/>
    <w:rsid w:val="304D174B"/>
    <w:rsid w:val="305167D8"/>
    <w:rsid w:val="30A65659"/>
    <w:rsid w:val="30BF439A"/>
    <w:rsid w:val="30CF6A37"/>
    <w:rsid w:val="30D250CF"/>
    <w:rsid w:val="30E262DA"/>
    <w:rsid w:val="30F50E1B"/>
    <w:rsid w:val="31002970"/>
    <w:rsid w:val="311016AD"/>
    <w:rsid w:val="3136622A"/>
    <w:rsid w:val="3139422E"/>
    <w:rsid w:val="31700E4B"/>
    <w:rsid w:val="3172683C"/>
    <w:rsid w:val="31A359FC"/>
    <w:rsid w:val="31AD0D61"/>
    <w:rsid w:val="31CD73BD"/>
    <w:rsid w:val="31D66571"/>
    <w:rsid w:val="31DB4220"/>
    <w:rsid w:val="31E63B94"/>
    <w:rsid w:val="3204466B"/>
    <w:rsid w:val="32176602"/>
    <w:rsid w:val="322A7699"/>
    <w:rsid w:val="322B25C6"/>
    <w:rsid w:val="32422E70"/>
    <w:rsid w:val="325E56C6"/>
    <w:rsid w:val="3275698A"/>
    <w:rsid w:val="32B943EC"/>
    <w:rsid w:val="32DC63A0"/>
    <w:rsid w:val="32E429C1"/>
    <w:rsid w:val="32FD1773"/>
    <w:rsid w:val="334A3B2A"/>
    <w:rsid w:val="3365592E"/>
    <w:rsid w:val="336F6533"/>
    <w:rsid w:val="33705E1F"/>
    <w:rsid w:val="337275B6"/>
    <w:rsid w:val="337E5E2F"/>
    <w:rsid w:val="3384610D"/>
    <w:rsid w:val="33AA5979"/>
    <w:rsid w:val="33C03E90"/>
    <w:rsid w:val="33C96649"/>
    <w:rsid w:val="33CC3D88"/>
    <w:rsid w:val="33FD722F"/>
    <w:rsid w:val="3400362D"/>
    <w:rsid w:val="340B09C5"/>
    <w:rsid w:val="341E4CAB"/>
    <w:rsid w:val="344C538E"/>
    <w:rsid w:val="34584EE2"/>
    <w:rsid w:val="347D373F"/>
    <w:rsid w:val="34841BDB"/>
    <w:rsid w:val="34956481"/>
    <w:rsid w:val="34A35871"/>
    <w:rsid w:val="34B53D71"/>
    <w:rsid w:val="34C06C9D"/>
    <w:rsid w:val="34DF24AE"/>
    <w:rsid w:val="351C4931"/>
    <w:rsid w:val="351D4C26"/>
    <w:rsid w:val="35361A77"/>
    <w:rsid w:val="35461A22"/>
    <w:rsid w:val="35483CC9"/>
    <w:rsid w:val="35A815CB"/>
    <w:rsid w:val="35AA1B9C"/>
    <w:rsid w:val="35AF70D3"/>
    <w:rsid w:val="35DB09A6"/>
    <w:rsid w:val="35E61494"/>
    <w:rsid w:val="35FE0132"/>
    <w:rsid w:val="369B4CF0"/>
    <w:rsid w:val="36B50719"/>
    <w:rsid w:val="36D62629"/>
    <w:rsid w:val="36D76172"/>
    <w:rsid w:val="36E833BB"/>
    <w:rsid w:val="36EB1E1B"/>
    <w:rsid w:val="36F17F0D"/>
    <w:rsid w:val="370A6446"/>
    <w:rsid w:val="37310631"/>
    <w:rsid w:val="3735197D"/>
    <w:rsid w:val="373756A2"/>
    <w:rsid w:val="375E0DA6"/>
    <w:rsid w:val="378B61A6"/>
    <w:rsid w:val="37B90F0B"/>
    <w:rsid w:val="37CD3F98"/>
    <w:rsid w:val="37DF75BA"/>
    <w:rsid w:val="37E148E2"/>
    <w:rsid w:val="38304889"/>
    <w:rsid w:val="38382675"/>
    <w:rsid w:val="3851700B"/>
    <w:rsid w:val="385246B6"/>
    <w:rsid w:val="38A53DB7"/>
    <w:rsid w:val="38BF3388"/>
    <w:rsid w:val="38C0435D"/>
    <w:rsid w:val="38C61560"/>
    <w:rsid w:val="38CC268D"/>
    <w:rsid w:val="38DF1FDA"/>
    <w:rsid w:val="38EC2960"/>
    <w:rsid w:val="392536E2"/>
    <w:rsid w:val="39465F15"/>
    <w:rsid w:val="396453C5"/>
    <w:rsid w:val="397F63D8"/>
    <w:rsid w:val="39882115"/>
    <w:rsid w:val="39922CCF"/>
    <w:rsid w:val="39A65327"/>
    <w:rsid w:val="39A65C9B"/>
    <w:rsid w:val="39BC5ED6"/>
    <w:rsid w:val="39EB39E0"/>
    <w:rsid w:val="39EF02D4"/>
    <w:rsid w:val="3A11342A"/>
    <w:rsid w:val="3A153110"/>
    <w:rsid w:val="3A2507C0"/>
    <w:rsid w:val="3A393FA7"/>
    <w:rsid w:val="3A621177"/>
    <w:rsid w:val="3A64203E"/>
    <w:rsid w:val="3A663D00"/>
    <w:rsid w:val="3A6D152E"/>
    <w:rsid w:val="3A7428D0"/>
    <w:rsid w:val="3A923AE4"/>
    <w:rsid w:val="3A964AED"/>
    <w:rsid w:val="3AA50E25"/>
    <w:rsid w:val="3AC566E3"/>
    <w:rsid w:val="3AD6747A"/>
    <w:rsid w:val="3B3D0FF2"/>
    <w:rsid w:val="3B521A18"/>
    <w:rsid w:val="3B923660"/>
    <w:rsid w:val="3BCA44BE"/>
    <w:rsid w:val="3C061F3A"/>
    <w:rsid w:val="3C4938D3"/>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473EB5"/>
    <w:rsid w:val="3D62085B"/>
    <w:rsid w:val="3D7B4622"/>
    <w:rsid w:val="3D942E29"/>
    <w:rsid w:val="3DB54E0C"/>
    <w:rsid w:val="3DB900C1"/>
    <w:rsid w:val="3DE91725"/>
    <w:rsid w:val="3DF159B1"/>
    <w:rsid w:val="3E1A106E"/>
    <w:rsid w:val="3E36303B"/>
    <w:rsid w:val="3E526044"/>
    <w:rsid w:val="3E6C2B3A"/>
    <w:rsid w:val="3E8C5311"/>
    <w:rsid w:val="3E8E7E55"/>
    <w:rsid w:val="3E9C0A80"/>
    <w:rsid w:val="3EB61473"/>
    <w:rsid w:val="3ED25BE0"/>
    <w:rsid w:val="3F315E6B"/>
    <w:rsid w:val="3F5175E2"/>
    <w:rsid w:val="3F56276A"/>
    <w:rsid w:val="3F6C10E0"/>
    <w:rsid w:val="3F963015"/>
    <w:rsid w:val="3F964D35"/>
    <w:rsid w:val="3FA327ED"/>
    <w:rsid w:val="3FB11738"/>
    <w:rsid w:val="3FB5581B"/>
    <w:rsid w:val="3FC33D05"/>
    <w:rsid w:val="3FE12556"/>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3B76AF"/>
    <w:rsid w:val="417F433E"/>
    <w:rsid w:val="41B7239D"/>
    <w:rsid w:val="41FF3845"/>
    <w:rsid w:val="421104A9"/>
    <w:rsid w:val="42143B88"/>
    <w:rsid w:val="42164586"/>
    <w:rsid w:val="425B5DD1"/>
    <w:rsid w:val="4260300C"/>
    <w:rsid w:val="42800B9B"/>
    <w:rsid w:val="42A06B6C"/>
    <w:rsid w:val="42B533F0"/>
    <w:rsid w:val="42E16CCE"/>
    <w:rsid w:val="42EA5650"/>
    <w:rsid w:val="431408DA"/>
    <w:rsid w:val="432F6D49"/>
    <w:rsid w:val="4331401E"/>
    <w:rsid w:val="435A0DF2"/>
    <w:rsid w:val="436C42E1"/>
    <w:rsid w:val="437C210F"/>
    <w:rsid w:val="43847F02"/>
    <w:rsid w:val="438F113C"/>
    <w:rsid w:val="439E7EFB"/>
    <w:rsid w:val="43B064AE"/>
    <w:rsid w:val="43B1568A"/>
    <w:rsid w:val="43D43ECA"/>
    <w:rsid w:val="43DD452F"/>
    <w:rsid w:val="43DE6CD4"/>
    <w:rsid w:val="43E51150"/>
    <w:rsid w:val="43EF28BB"/>
    <w:rsid w:val="43EF56D3"/>
    <w:rsid w:val="43F939C2"/>
    <w:rsid w:val="440A6FD2"/>
    <w:rsid w:val="444946CA"/>
    <w:rsid w:val="444B3F54"/>
    <w:rsid w:val="4476661F"/>
    <w:rsid w:val="447E3AC5"/>
    <w:rsid w:val="44956363"/>
    <w:rsid w:val="44A90BAA"/>
    <w:rsid w:val="44AA7153"/>
    <w:rsid w:val="44B24A20"/>
    <w:rsid w:val="44B57B36"/>
    <w:rsid w:val="44BC0BEE"/>
    <w:rsid w:val="44FB1C9C"/>
    <w:rsid w:val="454F1836"/>
    <w:rsid w:val="45887B45"/>
    <w:rsid w:val="458B66DF"/>
    <w:rsid w:val="45940F0E"/>
    <w:rsid w:val="45945F39"/>
    <w:rsid w:val="45AC5DBA"/>
    <w:rsid w:val="45C647AF"/>
    <w:rsid w:val="45DD529D"/>
    <w:rsid w:val="45E57886"/>
    <w:rsid w:val="46003076"/>
    <w:rsid w:val="46177E29"/>
    <w:rsid w:val="46205B7F"/>
    <w:rsid w:val="465D501C"/>
    <w:rsid w:val="465F64D2"/>
    <w:rsid w:val="466367DB"/>
    <w:rsid w:val="46686D18"/>
    <w:rsid w:val="46843C64"/>
    <w:rsid w:val="46C3037C"/>
    <w:rsid w:val="46FF15E0"/>
    <w:rsid w:val="4700581C"/>
    <w:rsid w:val="4702516A"/>
    <w:rsid w:val="47344356"/>
    <w:rsid w:val="474A4B33"/>
    <w:rsid w:val="475835EA"/>
    <w:rsid w:val="47665A15"/>
    <w:rsid w:val="47677941"/>
    <w:rsid w:val="477F1660"/>
    <w:rsid w:val="4788232A"/>
    <w:rsid w:val="478B0398"/>
    <w:rsid w:val="478F5D0B"/>
    <w:rsid w:val="47B8724E"/>
    <w:rsid w:val="47ED7BCA"/>
    <w:rsid w:val="48016F34"/>
    <w:rsid w:val="480556DB"/>
    <w:rsid w:val="48185C56"/>
    <w:rsid w:val="4824230C"/>
    <w:rsid w:val="48450F81"/>
    <w:rsid w:val="484E729D"/>
    <w:rsid w:val="485A23C2"/>
    <w:rsid w:val="48A16B62"/>
    <w:rsid w:val="48BC6222"/>
    <w:rsid w:val="48C245E9"/>
    <w:rsid w:val="48DB312A"/>
    <w:rsid w:val="48DE352F"/>
    <w:rsid w:val="48DF49D9"/>
    <w:rsid w:val="48F549A5"/>
    <w:rsid w:val="48F646F4"/>
    <w:rsid w:val="492108CC"/>
    <w:rsid w:val="495F0CAD"/>
    <w:rsid w:val="49BB7F67"/>
    <w:rsid w:val="4A05334F"/>
    <w:rsid w:val="4A244932"/>
    <w:rsid w:val="4A2922C8"/>
    <w:rsid w:val="4A4117B2"/>
    <w:rsid w:val="4A6244A5"/>
    <w:rsid w:val="4A7A4350"/>
    <w:rsid w:val="4A7E2497"/>
    <w:rsid w:val="4A896826"/>
    <w:rsid w:val="4ABF5E17"/>
    <w:rsid w:val="4AE01A66"/>
    <w:rsid w:val="4AE104D6"/>
    <w:rsid w:val="4AE9211B"/>
    <w:rsid w:val="4AED707B"/>
    <w:rsid w:val="4B0B7979"/>
    <w:rsid w:val="4B110572"/>
    <w:rsid w:val="4B520DF4"/>
    <w:rsid w:val="4B603107"/>
    <w:rsid w:val="4B6246BD"/>
    <w:rsid w:val="4B9802B0"/>
    <w:rsid w:val="4B9E65BE"/>
    <w:rsid w:val="4B9F33A8"/>
    <w:rsid w:val="4BA80AFD"/>
    <w:rsid w:val="4BB033BA"/>
    <w:rsid w:val="4BB469AD"/>
    <w:rsid w:val="4BC06040"/>
    <w:rsid w:val="4BF441D2"/>
    <w:rsid w:val="4C1C2A09"/>
    <w:rsid w:val="4C694192"/>
    <w:rsid w:val="4C7964D9"/>
    <w:rsid w:val="4C9269F6"/>
    <w:rsid w:val="4C956083"/>
    <w:rsid w:val="4CC84335"/>
    <w:rsid w:val="4CD21701"/>
    <w:rsid w:val="4CE9350A"/>
    <w:rsid w:val="4D066621"/>
    <w:rsid w:val="4D115B26"/>
    <w:rsid w:val="4D297BF3"/>
    <w:rsid w:val="4D2D0EAF"/>
    <w:rsid w:val="4D7F0082"/>
    <w:rsid w:val="4D952FD9"/>
    <w:rsid w:val="4D970662"/>
    <w:rsid w:val="4DB33393"/>
    <w:rsid w:val="4DCF1E0D"/>
    <w:rsid w:val="4DD632D9"/>
    <w:rsid w:val="4DE05D9E"/>
    <w:rsid w:val="4DE05DF9"/>
    <w:rsid w:val="4DE44800"/>
    <w:rsid w:val="4DEE0709"/>
    <w:rsid w:val="4DFC14EA"/>
    <w:rsid w:val="4DFF6815"/>
    <w:rsid w:val="4E043249"/>
    <w:rsid w:val="4E046CC0"/>
    <w:rsid w:val="4E0A3427"/>
    <w:rsid w:val="4E304B5D"/>
    <w:rsid w:val="4E682F8C"/>
    <w:rsid w:val="4E6A7BB7"/>
    <w:rsid w:val="4EF03D5B"/>
    <w:rsid w:val="4F0773B4"/>
    <w:rsid w:val="4F307BB1"/>
    <w:rsid w:val="4F3D562D"/>
    <w:rsid w:val="4F5C4EE0"/>
    <w:rsid w:val="4F5F701C"/>
    <w:rsid w:val="4F6E1972"/>
    <w:rsid w:val="4F943166"/>
    <w:rsid w:val="4FBA02A1"/>
    <w:rsid w:val="4FCE780F"/>
    <w:rsid w:val="4FE7106E"/>
    <w:rsid w:val="50053943"/>
    <w:rsid w:val="50374A3C"/>
    <w:rsid w:val="50550E55"/>
    <w:rsid w:val="509F43E4"/>
    <w:rsid w:val="50A54D3E"/>
    <w:rsid w:val="50D62337"/>
    <w:rsid w:val="50F1402B"/>
    <w:rsid w:val="50FD2AD9"/>
    <w:rsid w:val="51037CFF"/>
    <w:rsid w:val="51097D9A"/>
    <w:rsid w:val="51237D2E"/>
    <w:rsid w:val="51996737"/>
    <w:rsid w:val="519B2B05"/>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C63F4D"/>
    <w:rsid w:val="53EB297B"/>
    <w:rsid w:val="542E2BC2"/>
    <w:rsid w:val="54352A96"/>
    <w:rsid w:val="543E2C5B"/>
    <w:rsid w:val="54447390"/>
    <w:rsid w:val="545E1D01"/>
    <w:rsid w:val="54935B8F"/>
    <w:rsid w:val="54AA04B4"/>
    <w:rsid w:val="54CC6227"/>
    <w:rsid w:val="54D10F9B"/>
    <w:rsid w:val="54DA705C"/>
    <w:rsid w:val="551D586C"/>
    <w:rsid w:val="55200298"/>
    <w:rsid w:val="55335E1B"/>
    <w:rsid w:val="554B7EF0"/>
    <w:rsid w:val="556F3D99"/>
    <w:rsid w:val="55860894"/>
    <w:rsid w:val="55B02DF1"/>
    <w:rsid w:val="55BE2BE0"/>
    <w:rsid w:val="55DC290C"/>
    <w:rsid w:val="55F007CD"/>
    <w:rsid w:val="55F01FA1"/>
    <w:rsid w:val="56427445"/>
    <w:rsid w:val="566708F8"/>
    <w:rsid w:val="56990B7C"/>
    <w:rsid w:val="569E1126"/>
    <w:rsid w:val="56B80DEB"/>
    <w:rsid w:val="56D23166"/>
    <w:rsid w:val="56E06E61"/>
    <w:rsid w:val="56F168A6"/>
    <w:rsid w:val="56F653FE"/>
    <w:rsid w:val="575B7AFD"/>
    <w:rsid w:val="57660D3F"/>
    <w:rsid w:val="57825F9E"/>
    <w:rsid w:val="57D1153D"/>
    <w:rsid w:val="57FA3774"/>
    <w:rsid w:val="58006545"/>
    <w:rsid w:val="58084A3C"/>
    <w:rsid w:val="585D2975"/>
    <w:rsid w:val="587E3341"/>
    <w:rsid w:val="58CF56D8"/>
    <w:rsid w:val="58D31010"/>
    <w:rsid w:val="58D6741E"/>
    <w:rsid w:val="58EA3D0E"/>
    <w:rsid w:val="58F71269"/>
    <w:rsid w:val="58FE045E"/>
    <w:rsid w:val="5951067A"/>
    <w:rsid w:val="59561946"/>
    <w:rsid w:val="59670F51"/>
    <w:rsid w:val="596A44F9"/>
    <w:rsid w:val="596C19BB"/>
    <w:rsid w:val="59790BDB"/>
    <w:rsid w:val="598653AC"/>
    <w:rsid w:val="598756D3"/>
    <w:rsid w:val="59AC3C86"/>
    <w:rsid w:val="59BB7545"/>
    <w:rsid w:val="59D42FDA"/>
    <w:rsid w:val="59D96076"/>
    <w:rsid w:val="59DA4E01"/>
    <w:rsid w:val="59F64E82"/>
    <w:rsid w:val="5A10435C"/>
    <w:rsid w:val="5A2654CC"/>
    <w:rsid w:val="5A2B2BCC"/>
    <w:rsid w:val="5A323A44"/>
    <w:rsid w:val="5A395E66"/>
    <w:rsid w:val="5A484352"/>
    <w:rsid w:val="5A5321A5"/>
    <w:rsid w:val="5A5B1481"/>
    <w:rsid w:val="5A8734AF"/>
    <w:rsid w:val="5A933F11"/>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E3E1C"/>
    <w:rsid w:val="5BF03D58"/>
    <w:rsid w:val="5C1A6BB2"/>
    <w:rsid w:val="5C207915"/>
    <w:rsid w:val="5C5355FE"/>
    <w:rsid w:val="5C6F4105"/>
    <w:rsid w:val="5CBB7F6F"/>
    <w:rsid w:val="5D7C3F11"/>
    <w:rsid w:val="5D852344"/>
    <w:rsid w:val="5D9D49E0"/>
    <w:rsid w:val="5DDF1821"/>
    <w:rsid w:val="5DE2248A"/>
    <w:rsid w:val="5DEA2F91"/>
    <w:rsid w:val="5E162F9C"/>
    <w:rsid w:val="5E3146A3"/>
    <w:rsid w:val="5E442F62"/>
    <w:rsid w:val="5E6C2C5B"/>
    <w:rsid w:val="5E7251A2"/>
    <w:rsid w:val="5E7C3591"/>
    <w:rsid w:val="5E9D0E18"/>
    <w:rsid w:val="5EA341D7"/>
    <w:rsid w:val="5EA755DE"/>
    <w:rsid w:val="5ED35F0E"/>
    <w:rsid w:val="5EFC1390"/>
    <w:rsid w:val="5EFC3EB6"/>
    <w:rsid w:val="5F03335D"/>
    <w:rsid w:val="5F0368C7"/>
    <w:rsid w:val="5F0C25F1"/>
    <w:rsid w:val="5F1544E7"/>
    <w:rsid w:val="5F3C4923"/>
    <w:rsid w:val="5F9A65E6"/>
    <w:rsid w:val="5F9B2627"/>
    <w:rsid w:val="5FAC7B1F"/>
    <w:rsid w:val="5FB80E3D"/>
    <w:rsid w:val="5FB831B4"/>
    <w:rsid w:val="5FD40999"/>
    <w:rsid w:val="5FE5522B"/>
    <w:rsid w:val="5FF03F08"/>
    <w:rsid w:val="5FF2548E"/>
    <w:rsid w:val="5FF313D3"/>
    <w:rsid w:val="602373CE"/>
    <w:rsid w:val="602610FD"/>
    <w:rsid w:val="602808B2"/>
    <w:rsid w:val="603814FF"/>
    <w:rsid w:val="603E7E4C"/>
    <w:rsid w:val="604109A8"/>
    <w:rsid w:val="605D2617"/>
    <w:rsid w:val="60616CDC"/>
    <w:rsid w:val="60624E53"/>
    <w:rsid w:val="606319E5"/>
    <w:rsid w:val="606B53BC"/>
    <w:rsid w:val="607B3C50"/>
    <w:rsid w:val="608B6567"/>
    <w:rsid w:val="60FF21D9"/>
    <w:rsid w:val="611F0D87"/>
    <w:rsid w:val="613021B3"/>
    <w:rsid w:val="613023C0"/>
    <w:rsid w:val="613253FD"/>
    <w:rsid w:val="61421F29"/>
    <w:rsid w:val="61712185"/>
    <w:rsid w:val="61A90D68"/>
    <w:rsid w:val="621775E2"/>
    <w:rsid w:val="622F7552"/>
    <w:rsid w:val="62467333"/>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D0978"/>
    <w:rsid w:val="638968B0"/>
    <w:rsid w:val="638A282C"/>
    <w:rsid w:val="63A85E90"/>
    <w:rsid w:val="63A962DB"/>
    <w:rsid w:val="63AB1A91"/>
    <w:rsid w:val="63EE4692"/>
    <w:rsid w:val="63FD622D"/>
    <w:rsid w:val="643F32F9"/>
    <w:rsid w:val="6452680B"/>
    <w:rsid w:val="64582686"/>
    <w:rsid w:val="64673C87"/>
    <w:rsid w:val="64A251DD"/>
    <w:rsid w:val="64EE0BFA"/>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220C03"/>
    <w:rsid w:val="673B73C0"/>
    <w:rsid w:val="675608B6"/>
    <w:rsid w:val="675F5893"/>
    <w:rsid w:val="67754402"/>
    <w:rsid w:val="677D54ED"/>
    <w:rsid w:val="67B25E27"/>
    <w:rsid w:val="67B4646D"/>
    <w:rsid w:val="67C4383B"/>
    <w:rsid w:val="67D35E1A"/>
    <w:rsid w:val="67F35317"/>
    <w:rsid w:val="67FA475A"/>
    <w:rsid w:val="680201B7"/>
    <w:rsid w:val="68362BFB"/>
    <w:rsid w:val="683F1130"/>
    <w:rsid w:val="684456A1"/>
    <w:rsid w:val="685E1363"/>
    <w:rsid w:val="688E1089"/>
    <w:rsid w:val="68A026F3"/>
    <w:rsid w:val="68AF6C13"/>
    <w:rsid w:val="68CE56FB"/>
    <w:rsid w:val="690E07C7"/>
    <w:rsid w:val="69236A65"/>
    <w:rsid w:val="692E469B"/>
    <w:rsid w:val="69315C48"/>
    <w:rsid w:val="694019EC"/>
    <w:rsid w:val="69584DB4"/>
    <w:rsid w:val="696C3D80"/>
    <w:rsid w:val="698A5EE4"/>
    <w:rsid w:val="69A93106"/>
    <w:rsid w:val="69C811ED"/>
    <w:rsid w:val="69D33070"/>
    <w:rsid w:val="69E97E75"/>
    <w:rsid w:val="69FB5D9E"/>
    <w:rsid w:val="6A1A3007"/>
    <w:rsid w:val="6A1E645E"/>
    <w:rsid w:val="6A350C4E"/>
    <w:rsid w:val="6A417049"/>
    <w:rsid w:val="6A7903E5"/>
    <w:rsid w:val="6A9D7D23"/>
    <w:rsid w:val="6AA03032"/>
    <w:rsid w:val="6AA5393D"/>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2E004A"/>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7274D0"/>
    <w:rsid w:val="6D77157D"/>
    <w:rsid w:val="6DB13E57"/>
    <w:rsid w:val="6DC71662"/>
    <w:rsid w:val="6DCD5126"/>
    <w:rsid w:val="6DDB6CB0"/>
    <w:rsid w:val="6DE52ACD"/>
    <w:rsid w:val="6DF34CD9"/>
    <w:rsid w:val="6DFC0B44"/>
    <w:rsid w:val="6E0458E7"/>
    <w:rsid w:val="6E212037"/>
    <w:rsid w:val="6E3B221B"/>
    <w:rsid w:val="6E475779"/>
    <w:rsid w:val="6E545721"/>
    <w:rsid w:val="6E7764EF"/>
    <w:rsid w:val="6EAD447C"/>
    <w:rsid w:val="6ECD7F59"/>
    <w:rsid w:val="6ED14C09"/>
    <w:rsid w:val="6EED7C80"/>
    <w:rsid w:val="6EF773A4"/>
    <w:rsid w:val="6F2F2D9E"/>
    <w:rsid w:val="6F405FB2"/>
    <w:rsid w:val="6F4147D9"/>
    <w:rsid w:val="6F7E5806"/>
    <w:rsid w:val="6F947E4B"/>
    <w:rsid w:val="6FA30BDA"/>
    <w:rsid w:val="6FB80698"/>
    <w:rsid w:val="701021F4"/>
    <w:rsid w:val="7024611F"/>
    <w:rsid w:val="70637B96"/>
    <w:rsid w:val="70797317"/>
    <w:rsid w:val="707A501F"/>
    <w:rsid w:val="7099044B"/>
    <w:rsid w:val="709D518F"/>
    <w:rsid w:val="70C759D3"/>
    <w:rsid w:val="70CF2B23"/>
    <w:rsid w:val="70E958DB"/>
    <w:rsid w:val="710952C1"/>
    <w:rsid w:val="71452CD8"/>
    <w:rsid w:val="7158683A"/>
    <w:rsid w:val="715B2F52"/>
    <w:rsid w:val="71764F23"/>
    <w:rsid w:val="71946576"/>
    <w:rsid w:val="71967E84"/>
    <w:rsid w:val="71A61873"/>
    <w:rsid w:val="71AF4936"/>
    <w:rsid w:val="71D75D0F"/>
    <w:rsid w:val="71EF7CE1"/>
    <w:rsid w:val="72075D83"/>
    <w:rsid w:val="721919B3"/>
    <w:rsid w:val="721A6098"/>
    <w:rsid w:val="72310D1A"/>
    <w:rsid w:val="72477E5B"/>
    <w:rsid w:val="725D6B54"/>
    <w:rsid w:val="72A17C99"/>
    <w:rsid w:val="72AF6F7E"/>
    <w:rsid w:val="72BB015E"/>
    <w:rsid w:val="73047904"/>
    <w:rsid w:val="734C1A6A"/>
    <w:rsid w:val="735C5949"/>
    <w:rsid w:val="73737DA5"/>
    <w:rsid w:val="73887B3E"/>
    <w:rsid w:val="73892412"/>
    <w:rsid w:val="73C5625B"/>
    <w:rsid w:val="73E96BCA"/>
    <w:rsid w:val="73EE4A6E"/>
    <w:rsid w:val="741048BC"/>
    <w:rsid w:val="742E78D4"/>
    <w:rsid w:val="74676A28"/>
    <w:rsid w:val="747E40B6"/>
    <w:rsid w:val="74AC3224"/>
    <w:rsid w:val="74BB2C83"/>
    <w:rsid w:val="74DE4E5F"/>
    <w:rsid w:val="74EB54AB"/>
    <w:rsid w:val="74FF6D43"/>
    <w:rsid w:val="750201A2"/>
    <w:rsid w:val="750B0957"/>
    <w:rsid w:val="751A76AF"/>
    <w:rsid w:val="75250574"/>
    <w:rsid w:val="75394F67"/>
    <w:rsid w:val="7550443E"/>
    <w:rsid w:val="755F0BCC"/>
    <w:rsid w:val="756F17F9"/>
    <w:rsid w:val="75825461"/>
    <w:rsid w:val="758A2F66"/>
    <w:rsid w:val="759926FC"/>
    <w:rsid w:val="75A24276"/>
    <w:rsid w:val="75AA231D"/>
    <w:rsid w:val="75E8633A"/>
    <w:rsid w:val="763F09AA"/>
    <w:rsid w:val="764F3FCC"/>
    <w:rsid w:val="7650339F"/>
    <w:rsid w:val="76603C9A"/>
    <w:rsid w:val="76BB1CAB"/>
    <w:rsid w:val="76C04050"/>
    <w:rsid w:val="76CB0802"/>
    <w:rsid w:val="76E65049"/>
    <w:rsid w:val="77076007"/>
    <w:rsid w:val="77413F7E"/>
    <w:rsid w:val="77835654"/>
    <w:rsid w:val="7797109C"/>
    <w:rsid w:val="779A2A38"/>
    <w:rsid w:val="77A3337F"/>
    <w:rsid w:val="77B4450A"/>
    <w:rsid w:val="77B46E73"/>
    <w:rsid w:val="77E37A12"/>
    <w:rsid w:val="77FE3468"/>
    <w:rsid w:val="780069C1"/>
    <w:rsid w:val="78546F0C"/>
    <w:rsid w:val="78EE1C79"/>
    <w:rsid w:val="78FA66FA"/>
    <w:rsid w:val="791D3AFE"/>
    <w:rsid w:val="797239CC"/>
    <w:rsid w:val="79831473"/>
    <w:rsid w:val="7999527A"/>
    <w:rsid w:val="79A26B02"/>
    <w:rsid w:val="79AF76C5"/>
    <w:rsid w:val="79C25EE1"/>
    <w:rsid w:val="79CC49FF"/>
    <w:rsid w:val="79CE2967"/>
    <w:rsid w:val="79EA664C"/>
    <w:rsid w:val="7A2F3BBF"/>
    <w:rsid w:val="7A2F459A"/>
    <w:rsid w:val="7A353391"/>
    <w:rsid w:val="7A517022"/>
    <w:rsid w:val="7A6F5001"/>
    <w:rsid w:val="7AA2343E"/>
    <w:rsid w:val="7ADA73A4"/>
    <w:rsid w:val="7AE66B99"/>
    <w:rsid w:val="7B0A3BCA"/>
    <w:rsid w:val="7B4048C1"/>
    <w:rsid w:val="7B73082F"/>
    <w:rsid w:val="7B971768"/>
    <w:rsid w:val="7BC62E00"/>
    <w:rsid w:val="7BCC510C"/>
    <w:rsid w:val="7BCD518A"/>
    <w:rsid w:val="7BD644A9"/>
    <w:rsid w:val="7BE35E2A"/>
    <w:rsid w:val="7BFA1CC7"/>
    <w:rsid w:val="7BFB70B3"/>
    <w:rsid w:val="7C0251DA"/>
    <w:rsid w:val="7C1052F2"/>
    <w:rsid w:val="7C2668D9"/>
    <w:rsid w:val="7C32497F"/>
    <w:rsid w:val="7C3C69AE"/>
    <w:rsid w:val="7C691974"/>
    <w:rsid w:val="7C69720C"/>
    <w:rsid w:val="7C8A6570"/>
    <w:rsid w:val="7C8B7390"/>
    <w:rsid w:val="7C9B0D0E"/>
    <w:rsid w:val="7CA42B03"/>
    <w:rsid w:val="7CBD779E"/>
    <w:rsid w:val="7CD2318A"/>
    <w:rsid w:val="7CD2702A"/>
    <w:rsid w:val="7CD34C42"/>
    <w:rsid w:val="7CDE3FF9"/>
    <w:rsid w:val="7CE11C00"/>
    <w:rsid w:val="7CE26EBF"/>
    <w:rsid w:val="7CEE3130"/>
    <w:rsid w:val="7D1F6674"/>
    <w:rsid w:val="7D2235E6"/>
    <w:rsid w:val="7D480B34"/>
    <w:rsid w:val="7D9005BC"/>
    <w:rsid w:val="7D9F0AD0"/>
    <w:rsid w:val="7DD12BB7"/>
    <w:rsid w:val="7DE67B0D"/>
    <w:rsid w:val="7DFF0955"/>
    <w:rsid w:val="7E0B750E"/>
    <w:rsid w:val="7E2822EA"/>
    <w:rsid w:val="7E355A7B"/>
    <w:rsid w:val="7E6E3E85"/>
    <w:rsid w:val="7E9231E9"/>
    <w:rsid w:val="7E9C184B"/>
    <w:rsid w:val="7EA72948"/>
    <w:rsid w:val="7EB31EDB"/>
    <w:rsid w:val="7ED06B00"/>
    <w:rsid w:val="7EE70CC0"/>
    <w:rsid w:val="7EEB48DB"/>
    <w:rsid w:val="7EF27444"/>
    <w:rsid w:val="7EFF2030"/>
    <w:rsid w:val="7F1C32DF"/>
    <w:rsid w:val="7F265C58"/>
    <w:rsid w:val="7F477001"/>
    <w:rsid w:val="7F582CF2"/>
    <w:rsid w:val="7F951B40"/>
    <w:rsid w:val="7FBF10B0"/>
    <w:rsid w:val="7FD41366"/>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1">
    <w:name w:val="heading 3"/>
    <w:basedOn w:val="1"/>
    <w:next w:val="1"/>
    <w:qFormat/>
    <w:uiPriority w:val="0"/>
    <w:pPr>
      <w:keepNext/>
      <w:keepLines/>
      <w:spacing w:before="260" w:after="260" w:line="416" w:lineRule="auto"/>
      <w:outlineLvl w:val="2"/>
    </w:pPr>
    <w:rPr>
      <w:b/>
      <w:bCs/>
      <w:sz w:val="32"/>
      <w:szCs w:val="32"/>
    </w:rPr>
  </w:style>
  <w:style w:type="paragraph" w:styleId="12">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0"/>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styleId="9">
    <w:name w:val="envelope return"/>
    <w:basedOn w:val="1"/>
    <w:unhideWhenUsed/>
    <w:qFormat/>
    <w:uiPriority w:val="99"/>
    <w:pPr>
      <w:snapToGrid w:val="0"/>
    </w:pPr>
    <w:rPr>
      <w:rFonts w:ascii="Arial" w:hAnsi="Arial"/>
    </w:rPr>
  </w:style>
  <w:style w:type="paragraph" w:customStyle="1" w:styleId="10">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3">
    <w:name w:val="List Number"/>
    <w:basedOn w:val="1"/>
    <w:qFormat/>
    <w:uiPriority w:val="0"/>
    <w:pPr>
      <w:widowControl/>
      <w:spacing w:beforeAutospacing="1" w:afterAutospacing="1"/>
      <w:jc w:val="left"/>
    </w:pPr>
    <w:rPr>
      <w:rFonts w:ascii="宋体" w:hAnsi="宋体" w:cs="宋体"/>
      <w:kern w:val="0"/>
      <w:sz w:val="24"/>
    </w:rPr>
  </w:style>
  <w:style w:type="paragraph" w:styleId="14">
    <w:name w:val="Normal Indent"/>
    <w:basedOn w:val="1"/>
    <w:qFormat/>
    <w:uiPriority w:val="0"/>
    <w:pPr>
      <w:widowControl/>
      <w:spacing w:beforeAutospacing="1" w:afterAutospacing="1"/>
      <w:jc w:val="left"/>
    </w:pPr>
    <w:rPr>
      <w:rFonts w:ascii="宋体" w:hAnsi="宋体" w:cs="宋体"/>
      <w:kern w:val="0"/>
      <w:sz w:val="24"/>
    </w:rPr>
  </w:style>
  <w:style w:type="paragraph" w:styleId="15">
    <w:name w:val="Document Map"/>
    <w:basedOn w:val="1"/>
    <w:link w:val="75"/>
    <w:qFormat/>
    <w:uiPriority w:val="0"/>
    <w:rPr>
      <w:rFonts w:ascii="宋体" w:hAnsi="Calibri"/>
      <w:sz w:val="18"/>
      <w:szCs w:val="18"/>
    </w:rPr>
  </w:style>
  <w:style w:type="paragraph" w:styleId="16">
    <w:name w:val="annotation text"/>
    <w:basedOn w:val="1"/>
    <w:qFormat/>
    <w:uiPriority w:val="0"/>
    <w:pPr>
      <w:jc w:val="left"/>
    </w:pPr>
  </w:style>
  <w:style w:type="paragraph" w:styleId="17">
    <w:name w:val="Body Text 3"/>
    <w:basedOn w:val="1"/>
    <w:qFormat/>
    <w:uiPriority w:val="0"/>
    <w:rPr>
      <w:sz w:val="16"/>
      <w:szCs w:val="16"/>
    </w:rPr>
  </w:style>
  <w:style w:type="paragraph" w:styleId="18">
    <w:name w:val="List 2"/>
    <w:basedOn w:val="1"/>
    <w:qFormat/>
    <w:uiPriority w:val="0"/>
    <w:pPr>
      <w:ind w:left="100" w:leftChars="200" w:hanging="200" w:hangingChars="200"/>
    </w:pPr>
  </w:style>
  <w:style w:type="paragraph" w:styleId="19">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20">
    <w:name w:val="toc 3"/>
    <w:basedOn w:val="1"/>
    <w:next w:val="1"/>
    <w:qFormat/>
    <w:uiPriority w:val="0"/>
    <w:pPr>
      <w:tabs>
        <w:tab w:val="left" w:pos="709"/>
        <w:tab w:val="right" w:leader="dot" w:pos="8789"/>
      </w:tabs>
      <w:spacing w:line="400" w:lineRule="atLeast"/>
    </w:pPr>
    <w:rPr>
      <w:rFonts w:ascii="宋体"/>
      <w:kern w:val="0"/>
      <w:szCs w:val="20"/>
    </w:rPr>
  </w:style>
  <w:style w:type="paragraph" w:styleId="21">
    <w:name w:val="Plain Text"/>
    <w:basedOn w:val="1"/>
    <w:qFormat/>
    <w:uiPriority w:val="0"/>
    <w:pPr>
      <w:widowControl/>
      <w:spacing w:beforeAutospacing="1" w:afterAutospacing="1"/>
      <w:jc w:val="left"/>
    </w:pPr>
    <w:rPr>
      <w:rFonts w:ascii="宋体" w:hAnsi="宋体" w:cs="宋体"/>
      <w:kern w:val="0"/>
      <w:sz w:val="24"/>
    </w:rPr>
  </w:style>
  <w:style w:type="paragraph" w:styleId="22">
    <w:name w:val="Date"/>
    <w:basedOn w:val="1"/>
    <w:next w:val="1"/>
    <w:qFormat/>
    <w:uiPriority w:val="0"/>
    <w:pPr>
      <w:ind w:left="100" w:leftChars="2500"/>
    </w:pPr>
    <w:rPr>
      <w:rFonts w:ascii="宋体" w:hAnsi="宋体"/>
      <w:sz w:val="28"/>
    </w:rPr>
  </w:style>
  <w:style w:type="paragraph" w:styleId="23">
    <w:name w:val="Body Text Indent 2"/>
    <w:basedOn w:val="1"/>
    <w:qFormat/>
    <w:uiPriority w:val="0"/>
    <w:pPr>
      <w:spacing w:line="480" w:lineRule="auto"/>
      <w:ind w:left="420" w:leftChars="200"/>
    </w:p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4"/>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4"/>
    <w:next w:val="1"/>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4"/>
    <w:qFormat/>
    <w:uiPriority w:val="0"/>
  </w:style>
  <w:style w:type="character" w:customStyle="1" w:styleId="74">
    <w:name w:val="apple-converted-space"/>
    <w:basedOn w:val="36"/>
    <w:qFormat/>
    <w:uiPriority w:val="0"/>
  </w:style>
  <w:style w:type="character" w:customStyle="1" w:styleId="75">
    <w:name w:val="文档结构图 Char"/>
    <w:link w:val="15"/>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 w:type="paragraph" w:customStyle="1" w:styleId="89">
    <w:name w:val="Body text|1"/>
    <w:basedOn w:val="1"/>
    <w:qFormat/>
    <w:uiPriority w:val="0"/>
    <w:pPr>
      <w:spacing w:line="410" w:lineRule="auto"/>
      <w:ind w:firstLine="400"/>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15651</Words>
  <Characters>16331</Characters>
  <Lines>50</Lines>
  <Paragraphs>68</Paragraphs>
  <TotalTime>0</TotalTime>
  <ScaleCrop>false</ScaleCrop>
  <LinksUpToDate>false</LinksUpToDate>
  <CharactersWithSpaces>17295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2022-11-24T03:26:45Z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6CD8325600D2489184FB07200F90F56B</vt:lpwstr>
  </property>
</Properties>
</file>