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r>
        <w:rPr>
          <w:rFonts w:hint="eastAsia" w:ascii="黑体" w:hAnsi="黑体" w:eastAsia="黑体" w:cs="宋体"/>
          <w:bCs/>
          <w:color w:val="auto"/>
          <w:kern w:val="0"/>
          <w:sz w:val="48"/>
          <w:szCs w:val="48"/>
        </w:rPr>
        <w:t>驻马店市中心医院</w:t>
      </w:r>
      <w:r>
        <w:rPr>
          <w:rFonts w:hint="eastAsia" w:ascii="黑体" w:hAnsi="黑体" w:eastAsia="黑体" w:cs="宋体"/>
          <w:bCs/>
          <w:color w:val="auto"/>
          <w:kern w:val="0"/>
          <w:sz w:val="48"/>
          <w:szCs w:val="48"/>
          <w:lang w:val="en-US" w:eastAsia="zh-CN"/>
        </w:rPr>
        <w:t>神经内科实验室设备采购项目</w:t>
      </w:r>
    </w:p>
    <w:p>
      <w:pPr>
        <w:pStyle w:val="19"/>
        <w:bidi w:val="0"/>
        <w:jc w:val="center"/>
        <w:rPr>
          <w:rStyle w:val="43"/>
          <w:rFonts w:hint="eastAsia" w:ascii="宋体" w:hAnsi="宋体" w:eastAsia="宋体" w:cs="宋体"/>
          <w:b/>
          <w:bCs/>
          <w:color w:val="auto"/>
          <w:sz w:val="48"/>
          <w:szCs w:val="48"/>
        </w:rPr>
      </w:pPr>
    </w:p>
    <w:p>
      <w:pPr>
        <w:pStyle w:val="19"/>
        <w:bidi w:val="0"/>
        <w:jc w:val="center"/>
        <w:rPr>
          <w:rStyle w:val="43"/>
          <w:rFonts w:hint="eastAsia" w:ascii="宋体" w:hAnsi="宋体" w:eastAsia="宋体" w:cs="宋体"/>
          <w:b/>
          <w:bCs/>
          <w:color w:val="auto"/>
          <w:sz w:val="48"/>
          <w:szCs w:val="48"/>
        </w:rPr>
      </w:pPr>
    </w:p>
    <w:p>
      <w:pPr>
        <w:pStyle w:val="19"/>
        <w:bidi w:val="0"/>
        <w:jc w:val="center"/>
        <w:rPr>
          <w:rStyle w:val="43"/>
          <w:rFonts w:hint="eastAsia" w:ascii="宋体" w:hAnsi="宋体" w:eastAsia="宋体" w:cs="宋体"/>
          <w:b/>
          <w:bCs/>
          <w:color w:val="auto"/>
          <w:sz w:val="48"/>
          <w:szCs w:val="48"/>
        </w:rPr>
      </w:pPr>
    </w:p>
    <w:p>
      <w:pPr>
        <w:pStyle w:val="19"/>
        <w:bidi w:val="0"/>
        <w:jc w:val="center"/>
        <w:rPr>
          <w:rStyle w:val="43"/>
          <w:rFonts w:hint="eastAsia" w:ascii="宋体" w:hAnsi="宋体" w:eastAsia="宋体" w:cs="宋体"/>
          <w:b/>
          <w:bCs/>
          <w:color w:val="auto"/>
          <w:sz w:val="48"/>
          <w:szCs w:val="48"/>
        </w:rPr>
      </w:pPr>
    </w:p>
    <w:p>
      <w:pPr>
        <w:pStyle w:val="19"/>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2"/>
        <w:rPr>
          <w:rFonts w:hint="eastAsia"/>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2022</w:t>
      </w:r>
      <w:r>
        <w:rPr>
          <w:rFonts w:hint="eastAsia" w:ascii="宋体" w:hAnsi="宋体" w:eastAsia="宋体" w:cs="宋体"/>
          <w:b/>
          <w:bCs/>
          <w:spacing w:val="40"/>
          <w:sz w:val="34"/>
          <w:szCs w:val="34"/>
        </w:rPr>
        <w:t>年</w:t>
      </w:r>
      <w:r>
        <w:rPr>
          <w:rFonts w:hint="eastAsia" w:ascii="宋体" w:hAnsi="宋体" w:cs="宋体"/>
          <w:b/>
          <w:bCs/>
          <w:spacing w:val="40"/>
          <w:sz w:val="34"/>
          <w:szCs w:val="34"/>
          <w:lang w:val="en-US" w:eastAsia="zh-CN"/>
        </w:rPr>
        <w:t>06</w:t>
      </w:r>
      <w:r>
        <w:rPr>
          <w:rFonts w:hint="eastAsia" w:ascii="宋体" w:hAnsi="宋体" w:eastAsia="宋体" w:cs="宋体"/>
          <w:b/>
          <w:bCs/>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5"/>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rPr>
        <w:t>驻马店市中心医院</w:t>
      </w:r>
      <w:r>
        <w:rPr>
          <w:rFonts w:hint="eastAsia" w:ascii="黑体" w:hAnsi="黑体" w:eastAsia="黑体" w:cs="宋体"/>
          <w:bCs/>
          <w:color w:val="auto"/>
          <w:kern w:val="0"/>
          <w:sz w:val="28"/>
          <w:szCs w:val="28"/>
          <w:lang w:val="en-US" w:eastAsia="zh-CN"/>
        </w:rPr>
        <w:t>神经内科实验室设备采购项目</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keepNext w:val="0"/>
        <w:keepLines w:val="0"/>
        <w:pageBreakBefore w:val="0"/>
        <w:kinsoku/>
        <w:overflowPunct/>
        <w:topLinePunct w:val="0"/>
        <w:bidi w:val="0"/>
        <w:snapToGrid w:val="0"/>
        <w:spacing w:line="360" w:lineRule="auto"/>
        <w:ind w:firstLine="420" w:firstLineChars="200"/>
        <w:textAlignment w:val="auto"/>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rPr>
        <w:t xml:space="preserve"> </w:t>
      </w:r>
      <w:r>
        <w:rPr>
          <w:rFonts w:hint="eastAsia" w:ascii="宋体" w:hAnsi="宋体" w:cs="宋体"/>
          <w:color w:val="auto"/>
          <w:u w:val="single"/>
          <w:lang w:val="en-US" w:eastAsia="zh-CN"/>
        </w:rPr>
        <w:t>神经内科实验室设备采购</w:t>
      </w:r>
      <w:r>
        <w:rPr>
          <w:rFonts w:hint="eastAsia" w:ascii="宋体" w:hAnsi="宋体" w:eastAsia="宋体" w:cs="宋体"/>
          <w:color w:val="auto"/>
          <w:u w:val="single"/>
          <w:lang w:val="en-US" w:eastAsia="zh-CN"/>
        </w:rPr>
        <w:t xml:space="preserve"> </w:t>
      </w:r>
      <w:r>
        <w:rPr>
          <w:rFonts w:hint="eastAsia" w:ascii="宋体" w:hAnsi="宋体" w:eastAsia="宋体" w:cs="宋体"/>
          <w:i w:val="0"/>
          <w:iCs w:val="0"/>
          <w:color w:val="auto"/>
          <w:u w:val="none"/>
          <w:lang w:val="en-US" w:eastAsia="zh-CN"/>
        </w:rPr>
        <w:t>项目</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pageBreakBefore w:val="0"/>
        <w:widowControl/>
        <w:kinsoku/>
        <w:overflowPunct/>
        <w:topLinePunct w:val="0"/>
        <w:bidi w:val="0"/>
        <w:snapToGrid w:val="0"/>
        <w:spacing w:before="0" w:after="0" w:line="360" w:lineRule="auto"/>
        <w:jc w:val="left"/>
        <w:textAlignment w:val="auto"/>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keepNext w:val="0"/>
        <w:keepLines w:val="0"/>
        <w:pageBreakBefore w:val="0"/>
        <w:widowControl/>
        <w:tabs>
          <w:tab w:val="left" w:pos="840"/>
        </w:tabs>
        <w:kinsoku/>
        <w:overflowPunct/>
        <w:topLinePunct w:val="0"/>
        <w:bidi w:val="0"/>
        <w:snapToGrid w:val="0"/>
        <w:spacing w:line="360" w:lineRule="auto"/>
        <w:ind w:firstLine="420" w:firstLineChars="200"/>
        <w:jc w:val="left"/>
        <w:textAlignment w:val="auto"/>
        <w:rPr>
          <w:rFonts w:hint="eastAsia" w:ascii="宋体" w:hAnsi="宋体" w:eastAsia="宋体" w:cs="宋体"/>
          <w:color w:val="auto"/>
          <w:szCs w:val="21"/>
          <w:highlight w:val="yellow"/>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eastAsia="宋体" w:cs="宋体"/>
          <w:color w:val="auto"/>
        </w:rPr>
        <w:t>驻马店市中心医院</w:t>
      </w:r>
      <w:r>
        <w:rPr>
          <w:rFonts w:hint="eastAsia" w:ascii="宋体" w:hAnsi="宋体" w:cs="宋体"/>
          <w:color w:val="auto"/>
          <w:lang w:val="en-US" w:eastAsia="zh-CN"/>
        </w:rPr>
        <w:t>神经内科实验室设备采购项目</w:t>
      </w:r>
      <w:r>
        <w:rPr>
          <w:rFonts w:hint="eastAsia" w:ascii="宋体" w:hAnsi="宋体" w:eastAsia="宋体" w:cs="宋体"/>
          <w:color w:val="auto"/>
          <w:szCs w:val="21"/>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360" w:lineRule="auto"/>
        <w:ind w:firstLine="420" w:firstLineChars="200"/>
        <w:jc w:val="left"/>
        <w:textAlignment w:val="auto"/>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360" w:lineRule="auto"/>
        <w:ind w:firstLine="420" w:firstLineChars="200"/>
        <w:jc w:val="left"/>
        <w:textAlignment w:val="auto"/>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kern w:val="0"/>
          <w:szCs w:val="21"/>
          <w:highlight w:val="none"/>
          <w:u w:val="none"/>
          <w:lang w:val="en-US" w:eastAsia="zh-CN"/>
        </w:rPr>
        <w:t>360000.00</w:t>
      </w:r>
      <w:r>
        <w:rPr>
          <w:rFonts w:hint="eastAsia" w:ascii="宋体" w:hAnsi="宋体" w:cs="宋体"/>
          <w:color w:val="auto"/>
          <w:kern w:val="0"/>
          <w:szCs w:val="21"/>
          <w:highlight w:val="none"/>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keepNext w:val="0"/>
        <w:keepLines w:val="0"/>
        <w:pageBreakBefore w:val="0"/>
        <w:kinsoku/>
        <w:overflowPunct/>
        <w:topLinePunct w:val="0"/>
        <w:bidi w:val="0"/>
        <w:snapToGrid w:val="0"/>
        <w:spacing w:line="360" w:lineRule="auto"/>
        <w:ind w:firstLine="420" w:firstLineChars="200"/>
        <w:textAlignment w:val="auto"/>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keepNext w:val="0"/>
        <w:keepLines w:val="0"/>
        <w:pageBreakBefore w:val="0"/>
        <w:widowControl/>
        <w:tabs>
          <w:tab w:val="left" w:pos="840"/>
        </w:tabs>
        <w:kinsoku/>
        <w:overflowPunct/>
        <w:topLinePunct w:val="0"/>
        <w:bidi w:val="0"/>
        <w:snapToGrid w:val="0"/>
        <w:spacing w:line="360" w:lineRule="auto"/>
        <w:ind w:firstLine="420" w:firstLineChars="200"/>
        <w:jc w:val="left"/>
        <w:textAlignment w:val="auto"/>
        <w:rPr>
          <w:rFonts w:hint="eastAsia" w:ascii="宋体" w:hAnsi="宋体" w:eastAsia="宋体" w:cs="宋体"/>
          <w:color w:val="auto"/>
          <w:szCs w:val="21"/>
          <w:highlight w:val="none"/>
          <w:shd w:val="clear" w:color="auto" w:fill="FFFFFF"/>
        </w:rPr>
      </w:pPr>
      <w:bookmarkStart w:id="4" w:name="_Toc26079"/>
      <w:bookmarkStart w:id="5" w:name="_Toc19521"/>
      <w:bookmarkStart w:id="6" w:name="_Toc27913"/>
      <w:bookmarkStart w:id="7" w:name="_Toc24040"/>
      <w:bookmarkStart w:id="8" w:name="_Toc21071"/>
      <w:r>
        <w:rPr>
          <w:rFonts w:hint="eastAsia" w:ascii="宋体" w:hAnsi="宋体" w:eastAsia="宋体" w:cs="宋体"/>
          <w:color w:val="auto"/>
          <w:szCs w:val="21"/>
          <w:highlight w:val="none"/>
          <w:shd w:val="clear" w:color="auto" w:fill="FFFFFF"/>
        </w:rPr>
        <w:t>5、合同履行期限：合同签订之日起</w:t>
      </w:r>
      <w:r>
        <w:rPr>
          <w:rFonts w:hint="eastAsia" w:ascii="宋体" w:hAnsi="宋体" w:eastAsia="宋体" w:cs="宋体"/>
          <w:color w:val="auto"/>
          <w:szCs w:val="21"/>
          <w:highlight w:val="none"/>
          <w:shd w:val="clear" w:color="auto" w:fill="FFFFFF"/>
          <w:lang w:val="en-US" w:eastAsia="zh-CN"/>
        </w:rPr>
        <w:t>120</w:t>
      </w:r>
      <w:r>
        <w:rPr>
          <w:rFonts w:hint="eastAsia" w:ascii="宋体" w:hAnsi="宋体" w:eastAsia="宋体" w:cs="宋体"/>
          <w:color w:val="auto"/>
          <w:szCs w:val="21"/>
          <w:highlight w:val="none"/>
          <w:shd w:val="clear" w:color="auto" w:fill="FFFFFF"/>
        </w:rPr>
        <w:t>日历天内交货安装完毕</w:t>
      </w:r>
      <w:r>
        <w:rPr>
          <w:rFonts w:hint="eastAsia" w:ascii="宋体" w:hAnsi="宋体" w:eastAsia="宋体" w:cs="宋体"/>
          <w:color w:val="auto"/>
          <w:szCs w:val="21"/>
          <w:highlight w:val="none"/>
          <w:shd w:val="clear" w:color="auto" w:fill="FFFFFF"/>
          <w:lang w:val="en-US" w:eastAsia="zh-CN"/>
        </w:rPr>
        <w:t>；</w:t>
      </w:r>
    </w:p>
    <w:p>
      <w:pPr>
        <w:keepNext w:val="0"/>
        <w:keepLines w:val="0"/>
        <w:pageBreakBefore w:val="0"/>
        <w:widowControl/>
        <w:tabs>
          <w:tab w:val="left" w:pos="840"/>
        </w:tabs>
        <w:kinsoku/>
        <w:overflowPunct/>
        <w:topLinePunct w:val="0"/>
        <w:bidi w:val="0"/>
        <w:snapToGrid w:val="0"/>
        <w:spacing w:line="360" w:lineRule="auto"/>
        <w:ind w:firstLine="420" w:firstLineChars="200"/>
        <w:jc w:val="left"/>
        <w:textAlignment w:val="auto"/>
        <w:rPr>
          <w:rFonts w:ascii="宋体" w:hAnsi="宋体" w:eastAsia="宋体" w:cs="宋体"/>
          <w:color w:val="auto"/>
          <w:szCs w:val="21"/>
          <w:highlight w:val="none"/>
          <w:shd w:val="clear" w:color="auto" w:fill="FFFFFF"/>
        </w:rPr>
      </w:pPr>
      <w:r>
        <w:rPr>
          <w:rFonts w:hint="eastAsia" w:ascii="宋体" w:hAnsi="宋体" w:cs="宋体"/>
          <w:color w:val="auto"/>
          <w:szCs w:val="21"/>
          <w:highlight w:val="none"/>
          <w:shd w:val="clear" w:color="auto" w:fill="FFFFFF"/>
          <w:lang w:val="en-US" w:eastAsia="zh-CN"/>
        </w:rPr>
        <w:t>6</w:t>
      </w:r>
      <w:r>
        <w:rPr>
          <w:rFonts w:hint="eastAsia" w:ascii="宋体" w:hAnsi="宋体" w:eastAsia="宋体" w:cs="宋体"/>
          <w:color w:val="auto"/>
          <w:szCs w:val="21"/>
          <w:highlight w:val="none"/>
          <w:shd w:val="clear" w:color="auto" w:fill="FFFFFF"/>
        </w:rPr>
        <w:t>、</w:t>
      </w:r>
      <w:bookmarkEnd w:id="4"/>
      <w:bookmarkEnd w:id="5"/>
      <w:bookmarkEnd w:id="6"/>
      <w:bookmarkEnd w:id="7"/>
      <w:bookmarkEnd w:id="8"/>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keepNext w:val="0"/>
        <w:keepLines w:val="0"/>
        <w:pageBreakBefore w:val="0"/>
        <w:widowControl/>
        <w:kinsoku/>
        <w:overflowPunct/>
        <w:topLinePunct w:val="0"/>
        <w:bidi w:val="0"/>
        <w:snapToGrid w:val="0"/>
        <w:spacing w:before="0" w:after="0" w:line="360" w:lineRule="auto"/>
        <w:jc w:val="left"/>
        <w:textAlignment w:val="auto"/>
        <w:outlineLvl w:val="1"/>
        <w:rPr>
          <w:rFonts w:ascii="宋体" w:hAnsi="宋体" w:eastAsia="宋体" w:cs="宋体"/>
          <w:b/>
          <w:bCs/>
          <w:color w:val="auto"/>
          <w:kern w:val="2"/>
          <w:sz w:val="21"/>
          <w:szCs w:val="21"/>
          <w:shd w:val="clear" w:color="auto" w:fill="FFFFFF"/>
          <w:lang w:val="en-US" w:eastAsia="zh-CN" w:bidi="ar-SA"/>
        </w:rPr>
      </w:pPr>
      <w:bookmarkStart w:id="9" w:name="_Toc23626"/>
      <w:bookmarkStart w:id="10" w:name="_Toc18607"/>
      <w:bookmarkStart w:id="11" w:name="_Toc16639"/>
      <w:bookmarkStart w:id="12" w:name="_Toc27704"/>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r>
        <w:rPr>
          <w:rFonts w:hint="eastAsia" w:ascii="宋体" w:hAnsi="宋体" w:cs="宋体"/>
          <w:color w:val="auto"/>
          <w:kern w:val="2"/>
          <w:sz w:val="21"/>
          <w:szCs w:val="24"/>
          <w:lang w:val="en-US" w:eastAsia="zh-CN" w:bidi="ar-SA"/>
        </w:rPr>
        <w:t>。</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供应商应提供2020年度或2021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cs="宋体"/>
          <w:color w:val="auto"/>
          <w:kern w:val="2"/>
          <w:sz w:val="21"/>
          <w:szCs w:val="24"/>
          <w:lang w:val="en-US" w:eastAsia="zh-CN" w:bidi="ar-SA"/>
        </w:rPr>
        <w:t>。</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3、具有履行合同所必需的设备和专业技术能力（提供书面声明函）</w:t>
      </w:r>
      <w:r>
        <w:rPr>
          <w:rFonts w:hint="eastAsia" w:ascii="宋体" w:hAnsi="宋体" w:cs="宋体"/>
          <w:color w:val="auto"/>
          <w:kern w:val="2"/>
          <w:sz w:val="21"/>
          <w:szCs w:val="24"/>
          <w:lang w:val="en-US" w:eastAsia="zh-CN" w:bidi="ar-SA"/>
        </w:rPr>
        <w:t>。</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4、参加本采购活动前三年内，在经营活动中没有重大违法记录（提供书面声明函）</w:t>
      </w:r>
      <w:r>
        <w:rPr>
          <w:rFonts w:hint="eastAsia" w:ascii="宋体" w:hAnsi="宋体" w:cs="宋体"/>
          <w:color w:val="auto"/>
          <w:kern w:val="2"/>
          <w:sz w:val="21"/>
          <w:szCs w:val="24"/>
          <w:lang w:val="en-US" w:eastAsia="zh-CN" w:bidi="ar-SA"/>
        </w:rPr>
        <w:t>。</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5、符合法律、行政法规规定的其他条件</w:t>
      </w:r>
      <w:r>
        <w:rPr>
          <w:rFonts w:hint="eastAsia" w:ascii="宋体" w:hAnsi="宋体" w:cs="宋体"/>
          <w:color w:val="auto"/>
          <w:kern w:val="2"/>
          <w:sz w:val="21"/>
          <w:szCs w:val="24"/>
          <w:lang w:val="en-US" w:eastAsia="zh-CN" w:bidi="ar-SA"/>
        </w:rPr>
        <w:t>。</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color w:val="auto"/>
          <w:highlight w:val="none"/>
          <w:lang w:val="en-US" w:eastAsia="zh-CN"/>
        </w:rPr>
      </w:pPr>
      <w:r>
        <w:rPr>
          <w:rFonts w:hint="eastAsia" w:ascii="宋体" w:hAnsi="宋体" w:eastAsia="宋体" w:cs="宋体"/>
          <w:color w:val="auto"/>
          <w:kern w:val="2"/>
          <w:sz w:val="21"/>
          <w:szCs w:val="24"/>
          <w:highlight w:val="none"/>
          <w:lang w:val="en-US" w:eastAsia="zh-CN" w:bidi="ar-SA"/>
        </w:rPr>
        <w:t>6</w:t>
      </w:r>
      <w:r>
        <w:rPr>
          <w:rFonts w:hint="eastAsia"/>
          <w:color w:val="auto"/>
          <w:highlight w:val="none"/>
          <w:lang w:val="en-US" w:eastAsia="zh-CN"/>
        </w:rPr>
        <w:t>、投标产品若属于医疗器械，则须符合《医疗器械监督管理条例》（国务院令第 739号）相关规定，取得医疗器械产品注册证或产品备案凭证；若投标若投标产品不属于医疗器械应提供相应的证明资料或情况说明。</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i w:val="0"/>
          <w:iCs w:val="0"/>
          <w:caps w:val="0"/>
          <w:color w:val="333333"/>
          <w:spacing w:val="0"/>
          <w:sz w:val="21"/>
          <w:szCs w:val="21"/>
          <w:u w:val="none"/>
          <w:shd w:val="clear" w:fill="FFFFFF"/>
          <w:lang w:eastAsia="zh-CN"/>
        </w:rPr>
      </w:pPr>
      <w:r>
        <w:rPr>
          <w:rFonts w:hint="eastAsia"/>
          <w:color w:val="auto"/>
          <w:highlight w:val="none"/>
          <w:lang w:val="en-US" w:eastAsia="zh-CN"/>
        </w:rPr>
        <w:t>7、供应商</w:t>
      </w:r>
      <w:r>
        <w:rPr>
          <w:rFonts w:hint="eastAsia" w:ascii="宋体" w:hAnsi="宋体" w:eastAsia="宋体" w:cs="宋体"/>
          <w:i w:val="0"/>
          <w:iCs w:val="0"/>
          <w:caps w:val="0"/>
          <w:color w:val="333333"/>
          <w:spacing w:val="0"/>
          <w:sz w:val="21"/>
          <w:szCs w:val="21"/>
          <w:u w:val="none"/>
          <w:shd w:val="clear" w:fill="FFFFFF"/>
        </w:rPr>
        <w:t>为境内生产商</w:t>
      </w:r>
      <w:r>
        <w:rPr>
          <w:rFonts w:hint="eastAsia" w:ascii="宋体" w:hAnsi="宋体" w:eastAsia="宋体" w:cs="宋体"/>
          <w:i w:val="0"/>
          <w:iCs w:val="0"/>
          <w:caps w:val="0"/>
          <w:color w:val="333333"/>
          <w:spacing w:val="0"/>
          <w:sz w:val="21"/>
          <w:szCs w:val="21"/>
          <w:u w:val="none"/>
          <w:shd w:val="clear" w:fill="FFFFFF"/>
          <w:lang w:eastAsia="zh-CN"/>
        </w:rPr>
        <w:t>的</w:t>
      </w:r>
      <w:r>
        <w:rPr>
          <w:rFonts w:hint="eastAsia" w:ascii="宋体" w:hAnsi="宋体" w:eastAsia="宋体" w:cs="宋体"/>
          <w:i w:val="0"/>
          <w:iCs w:val="0"/>
          <w:caps w:val="0"/>
          <w:color w:val="333333"/>
          <w:spacing w:val="0"/>
          <w:sz w:val="21"/>
          <w:szCs w:val="21"/>
          <w:u w:val="none"/>
          <w:shd w:val="clear" w:fill="FFFFFF"/>
        </w:rPr>
        <w:t>应具有符合《医疗器械监督管理条例》（国务院令第739 号）相适应的生产资格（投标产品属于第二类或第三类医疗器械：具有有效的医疗器械生产许可证；投标产品属于第一类医疗器械：具有有效的医疗器械生产备案凭证）</w:t>
      </w:r>
      <w:r>
        <w:rPr>
          <w:rFonts w:hint="eastAsia" w:ascii="宋体" w:hAnsi="宋体" w:eastAsia="宋体" w:cs="宋体"/>
          <w:i w:val="0"/>
          <w:iCs w:val="0"/>
          <w:caps w:val="0"/>
          <w:color w:val="333333"/>
          <w:spacing w:val="0"/>
          <w:sz w:val="21"/>
          <w:szCs w:val="21"/>
          <w:u w:val="none"/>
          <w:shd w:val="clear" w:fill="FFFFFF"/>
          <w:lang w:eastAsia="zh-CN"/>
        </w:rPr>
        <w:t>；若投标产品不属于医疗器械应提供相应的证明资料或情况说明。</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color w:val="auto"/>
          <w:highlight w:val="none"/>
          <w:lang w:val="en-US" w:eastAsia="zh-CN"/>
        </w:rPr>
      </w:pPr>
      <w:r>
        <w:rPr>
          <w:rFonts w:hint="eastAsia"/>
          <w:color w:val="auto"/>
          <w:highlight w:val="none"/>
          <w:lang w:val="en-US" w:eastAsia="zh-CN"/>
        </w:rPr>
        <w:t>供应商为代理商的应具有符合《医疗器械监督管理条例》（国务院令第 739 号）相适应的经营资格（投标产品属于第二类医疗器械：具有有效的医疗器械经营备案凭证；投标产品属于第三类医疗器械：具有有效的医疗器械经营许可证）；若投标产品属于第一类医疗器械或投标产品不属于医疗器械应提供相应的证明资料或情况说明。</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color w:val="auto"/>
          <w:lang w:val="en-US" w:eastAsia="zh-CN"/>
        </w:rPr>
      </w:pPr>
      <w:r>
        <w:rPr>
          <w:rFonts w:hint="eastAsia"/>
          <w:color w:val="auto"/>
          <w:lang w:val="en-US" w:eastAsia="zh-CN"/>
        </w:rPr>
        <w:t>8、根据《关于在政府采购活动中查询及使用信用记录有关问题的通知》（财库【2016】125号）的规定，对列入失信被执行人、重大税收违法案件当事人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9</w:t>
      </w:r>
      <w:r>
        <w:rPr>
          <w:rFonts w:hint="eastAsia" w:ascii="宋体" w:hAnsi="宋体" w:eastAsia="宋体" w:cs="宋体"/>
          <w:color w:val="auto"/>
          <w:kern w:val="2"/>
          <w:sz w:val="21"/>
          <w:szCs w:val="24"/>
          <w:lang w:val="en-US" w:eastAsia="zh-CN" w:bidi="ar-SA"/>
        </w:rPr>
        <w:t>、不接受联合体投标。</w:t>
      </w:r>
    </w:p>
    <w:p>
      <w:pPr>
        <w:keepNext w:val="0"/>
        <w:keepLines w:val="0"/>
        <w:pageBreakBefore w:val="0"/>
        <w:widowControl/>
        <w:kinsoku/>
        <w:overflowPunct/>
        <w:topLinePunct w:val="0"/>
        <w:bidi w:val="0"/>
        <w:snapToGrid w:val="0"/>
        <w:spacing w:before="0" w:after="0" w:line="360" w:lineRule="auto"/>
        <w:jc w:val="left"/>
        <w:textAlignment w:val="auto"/>
        <w:outlineLvl w:val="1"/>
        <w:rPr>
          <w:rFonts w:ascii="宋体" w:hAnsi="宋体" w:eastAsia="宋体" w:cs="宋体"/>
          <w:b/>
          <w:bCs/>
          <w:color w:val="auto"/>
          <w:kern w:val="2"/>
          <w:sz w:val="21"/>
          <w:szCs w:val="24"/>
          <w:lang w:val="en-US" w:eastAsia="zh-CN" w:bidi="ar-SA"/>
        </w:rPr>
      </w:pPr>
      <w:bookmarkStart w:id="13" w:name="_Toc23395"/>
      <w:bookmarkStart w:id="14" w:name="_Toc9562"/>
      <w:bookmarkStart w:id="15" w:name="_Toc30971"/>
      <w:bookmarkStart w:id="16" w:name="_Toc7823"/>
      <w:bookmarkStart w:id="17" w:name="_Toc30643"/>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keepNext w:val="0"/>
        <w:keepLines w:val="0"/>
        <w:pageBreakBefore w:val="0"/>
        <w:widowControl/>
        <w:kinsoku/>
        <w:overflowPunct/>
        <w:topLinePunct w:val="0"/>
        <w:bidi w:val="0"/>
        <w:adjustRightInd w:val="0"/>
        <w:snapToGrid w:val="0"/>
        <w:spacing w:line="360" w:lineRule="auto"/>
        <w:ind w:firstLine="420" w:firstLineChars="200"/>
        <w:jc w:val="left"/>
        <w:textAlignment w:val="auto"/>
        <w:rPr>
          <w:rFonts w:ascii="宋体" w:hAnsi="宋体" w:eastAsia="宋体" w:cs="宋体"/>
          <w:color w:val="000000" w:themeColor="text1"/>
          <w:szCs w:val="21"/>
          <w:shd w:val="clear" w:color="auto" w:fill="FFFFFF"/>
          <w14:textFill>
            <w14:solidFill>
              <w14:schemeClr w14:val="tx1"/>
            </w14:solidFill>
          </w14:textFill>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w:t>
      </w:r>
      <w:r>
        <w:rPr>
          <w:rFonts w:hint="eastAsia" w:ascii="宋体" w:hAnsi="宋体" w:cs="宋体"/>
          <w:color w:val="000000" w:themeColor="text1"/>
          <w:szCs w:val="21"/>
          <w:shd w:val="clear" w:color="auto" w:fill="FFFFFF"/>
          <w:lang w:val="en-US" w:eastAsia="zh-CN"/>
          <w14:textFill>
            <w14:solidFill>
              <w14:schemeClr w14:val="tx1"/>
            </w14:solidFill>
          </w14:textFill>
        </w:rPr>
        <w:t>名</w:t>
      </w:r>
      <w:r>
        <w:rPr>
          <w:rFonts w:hint="eastAsia" w:ascii="宋体" w:hAnsi="宋体" w:eastAsia="宋体" w:cs="宋体"/>
          <w:color w:val="000000" w:themeColor="text1"/>
          <w:szCs w:val="21"/>
          <w:shd w:val="clear" w:color="auto" w:fill="FFFFFF"/>
          <w14:textFill>
            <w14:solidFill>
              <w14:schemeClr w14:val="tx1"/>
            </w14:solidFill>
          </w14:textFill>
        </w:rPr>
        <w:t>时间：</w:t>
      </w:r>
      <w:r>
        <w:rPr>
          <w:rFonts w:hint="eastAsia" w:ascii="宋体" w:hAnsi="宋体" w:eastAsia="宋体" w:cs="宋体"/>
          <w:color w:val="000000" w:themeColor="text1"/>
          <w:szCs w:val="21"/>
          <w:highlight w:val="none"/>
          <w:shd w:val="clear" w:color="auto" w:fill="FFFFFF"/>
          <w14:textFill>
            <w14:solidFill>
              <w14:schemeClr w14:val="tx1"/>
            </w14:solidFill>
          </w14:textFill>
        </w:rPr>
        <w:t>202</w:t>
      </w:r>
      <w:r>
        <w:rPr>
          <w:rFonts w:hint="eastAsia" w:ascii="宋体" w:hAnsi="宋体" w:eastAsia="宋体" w:cs="宋体"/>
          <w:color w:val="000000" w:themeColor="text1"/>
          <w:szCs w:val="21"/>
          <w:highlight w:val="none"/>
          <w:shd w:val="clear" w:color="auto" w:fill="FFFFFF"/>
          <w:lang w:val="en-US" w:eastAsia="zh-CN"/>
          <w14:textFill>
            <w14:solidFill>
              <w14:schemeClr w14:val="tx1"/>
            </w14:solidFill>
          </w14:textFill>
        </w:rPr>
        <w:t>2</w:t>
      </w:r>
      <w:r>
        <w:rPr>
          <w:rFonts w:hint="eastAsia" w:ascii="宋体" w:hAnsi="宋体" w:eastAsia="宋体" w:cs="宋体"/>
          <w:color w:val="000000" w:themeColor="text1"/>
          <w:szCs w:val="21"/>
          <w:highlight w:val="none"/>
          <w:shd w:val="clear" w:color="auto" w:fill="FFFFFF"/>
          <w14:textFill>
            <w14:solidFill>
              <w14:schemeClr w14:val="tx1"/>
            </w14:solidFill>
          </w14:textFill>
        </w:rPr>
        <w:t>年</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06</w:t>
      </w:r>
      <w:r>
        <w:rPr>
          <w:rFonts w:hint="eastAsia" w:ascii="宋体" w:hAnsi="宋体" w:eastAsia="宋体" w:cs="宋体"/>
          <w:color w:val="000000" w:themeColor="text1"/>
          <w:szCs w:val="21"/>
          <w:highlight w:val="none"/>
          <w:shd w:val="clear" w:color="auto" w:fill="FFFFFF"/>
          <w14:textFill>
            <w14:solidFill>
              <w14:schemeClr w14:val="tx1"/>
            </w14:solidFill>
          </w14:textFill>
        </w:rPr>
        <w:t>月</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30</w:t>
      </w:r>
      <w:r>
        <w:rPr>
          <w:rFonts w:hint="eastAsia" w:ascii="宋体" w:hAnsi="宋体" w:eastAsia="宋体" w:cs="宋体"/>
          <w:color w:val="000000" w:themeColor="text1"/>
          <w:szCs w:val="21"/>
          <w:highlight w:val="none"/>
          <w:shd w:val="clear" w:color="auto" w:fill="FFFFFF"/>
          <w14:textFill>
            <w14:solidFill>
              <w14:schemeClr w14:val="tx1"/>
            </w14:solidFill>
          </w14:textFill>
        </w:rPr>
        <w:t>日-202</w:t>
      </w:r>
      <w:r>
        <w:rPr>
          <w:rFonts w:hint="eastAsia" w:ascii="宋体" w:hAnsi="宋体" w:eastAsia="宋体" w:cs="宋体"/>
          <w:color w:val="000000" w:themeColor="text1"/>
          <w:szCs w:val="21"/>
          <w:highlight w:val="none"/>
          <w:shd w:val="clear" w:color="auto" w:fill="FFFFFF"/>
          <w:lang w:val="en-US" w:eastAsia="zh-CN"/>
          <w14:textFill>
            <w14:solidFill>
              <w14:schemeClr w14:val="tx1"/>
            </w14:solidFill>
          </w14:textFill>
        </w:rPr>
        <w:t>2</w:t>
      </w:r>
      <w:r>
        <w:rPr>
          <w:rFonts w:hint="eastAsia" w:ascii="宋体" w:hAnsi="宋体" w:eastAsia="宋体" w:cs="宋体"/>
          <w:color w:val="000000" w:themeColor="text1"/>
          <w:szCs w:val="21"/>
          <w:highlight w:val="none"/>
          <w:shd w:val="clear" w:color="auto" w:fill="FFFFFF"/>
          <w14:textFill>
            <w14:solidFill>
              <w14:schemeClr w14:val="tx1"/>
            </w14:solidFill>
          </w14:textFill>
        </w:rPr>
        <w:t>年</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07</w:t>
      </w:r>
      <w:r>
        <w:rPr>
          <w:rFonts w:hint="eastAsia" w:ascii="宋体" w:hAnsi="宋体" w:eastAsia="宋体" w:cs="宋体"/>
          <w:color w:val="000000" w:themeColor="text1"/>
          <w:szCs w:val="21"/>
          <w:highlight w:val="none"/>
          <w:shd w:val="clear" w:color="auto" w:fill="FFFFFF"/>
          <w14:textFill>
            <w14:solidFill>
              <w14:schemeClr w14:val="tx1"/>
            </w14:solidFill>
          </w14:textFill>
        </w:rPr>
        <w:t>月</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04</w:t>
      </w:r>
      <w:r>
        <w:rPr>
          <w:rFonts w:hint="eastAsia" w:ascii="宋体" w:hAnsi="宋体" w:eastAsia="宋体" w:cs="宋体"/>
          <w:color w:val="000000" w:themeColor="text1"/>
          <w:szCs w:val="21"/>
          <w:highlight w:val="none"/>
          <w:shd w:val="clear" w:color="auto" w:fill="FFFFFF"/>
          <w14:textFill>
            <w14:solidFill>
              <w14:schemeClr w14:val="tx1"/>
            </w14:solidFill>
          </w14:textFill>
        </w:rPr>
        <w:t>日，上</w:t>
      </w:r>
      <w:r>
        <w:rPr>
          <w:rFonts w:hint="eastAsia" w:ascii="宋体" w:hAnsi="宋体" w:eastAsia="宋体" w:cs="宋体"/>
          <w:color w:val="000000" w:themeColor="text1"/>
          <w:szCs w:val="21"/>
          <w:shd w:val="clear" w:color="auto" w:fill="FFFFFF"/>
          <w14:textFill>
            <w14:solidFill>
              <w14:schemeClr w14:val="tx1"/>
            </w14:solidFill>
          </w14:textFill>
        </w:rPr>
        <w:t>午8：30-11:30，下午14:30-17:30（北京时间，法定节假日除外）</w:t>
      </w:r>
      <w:r>
        <w:rPr>
          <w:rFonts w:hint="eastAsia" w:ascii="宋体" w:hAnsi="宋体" w:eastAsia="宋体" w:cs="宋体"/>
          <w:color w:val="000000" w:themeColor="text1"/>
          <w:szCs w:val="21"/>
          <w:shd w:val="clear" w:color="auto" w:fill="FFFFFF"/>
          <w:lang w:eastAsia="zh-CN"/>
          <w14:textFill>
            <w14:solidFill>
              <w14:schemeClr w14:val="tx1"/>
            </w14:solidFill>
          </w14:textFill>
        </w:rPr>
        <w:t>，</w:t>
      </w:r>
      <w:r>
        <w:rPr>
          <w:rFonts w:hint="eastAsia" w:ascii="宋体" w:hAnsi="宋体" w:cs="宋体"/>
          <w:color w:val="000000" w:themeColor="text1"/>
          <w:szCs w:val="21"/>
          <w:shd w:val="clear" w:color="auto" w:fill="FFFFFF"/>
          <w:lang w:val="en-US" w:eastAsia="zh-CN"/>
          <w14:textFill>
            <w14:solidFill>
              <w14:schemeClr w14:val="tx1"/>
            </w14:solidFill>
          </w14:textFill>
        </w:rPr>
        <w:t>报名费用</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：200元。</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2.每报名任何一个项目的供应商，</w:t>
      </w:r>
      <w:r>
        <w:rPr>
          <w:rFonts w:hint="eastAsia" w:ascii="宋体" w:hAnsi="宋体" w:eastAsia="宋体" w:cs="宋体"/>
          <w:color w:val="auto"/>
          <w:kern w:val="0"/>
          <w:sz w:val="21"/>
          <w:szCs w:val="21"/>
          <w:highlight w:val="none"/>
          <w:shd w:val="clear" w:color="auto" w:fill="FFFFFF"/>
          <w:lang w:val="en-US" w:eastAsia="zh-CN" w:bidi="ar-SA"/>
        </w:rPr>
        <w:t>需交纳2000元投标保证金</w:t>
      </w:r>
      <w:r>
        <w:rPr>
          <w:rFonts w:hint="eastAsia" w:ascii="宋体" w:hAnsi="宋体" w:eastAsia="宋体" w:cs="宋体"/>
          <w:color w:val="auto"/>
          <w:kern w:val="0"/>
          <w:sz w:val="21"/>
          <w:szCs w:val="21"/>
          <w:shd w:val="clear" w:color="auto" w:fill="FFFFFF"/>
          <w:lang w:val="en-US" w:eastAsia="zh-CN" w:bidi="ar-SA"/>
        </w:rPr>
        <w:t xml:space="preserve">。凡报名成功的供应商无故不来参与投标的，拒不退还投标保证金，并列入我院黑名单，一年内不得参与我院任何采购活动。凡未中标者，评审结束后三个工作日内凭收据无息退还。中标供应商缴纳相应服务费。 </w:t>
      </w:r>
    </w:p>
    <w:p>
      <w:pPr>
        <w:keepNext w:val="0"/>
        <w:keepLines w:val="0"/>
        <w:pageBreakBefore w:val="0"/>
        <w:widowControl/>
        <w:kinsoku/>
        <w:wordWrap w:val="0"/>
        <w:overflowPunct/>
        <w:topLinePunct w:val="0"/>
        <w:bidi w:val="0"/>
        <w:snapToGrid w:val="0"/>
        <w:spacing w:before="0" w:beforeAutospacing="0" w:after="0" w:afterAutospacing="0" w:line="360" w:lineRule="auto"/>
        <w:ind w:left="0" w:leftChars="0" w:firstLine="420" w:firstLineChars="200"/>
        <w:jc w:val="left"/>
        <w:textAlignment w:val="auto"/>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cs="宋体"/>
          <w:color w:val="auto"/>
          <w:kern w:val="0"/>
          <w:sz w:val="21"/>
          <w:szCs w:val="21"/>
          <w:highlight w:val="none"/>
          <w:shd w:val="clear" w:color="auto" w:fill="FFFFFF"/>
          <w:lang w:val="en-US" w:eastAsia="zh-CN" w:bidi="ar-SA"/>
        </w:rPr>
        <w:t>934027204</w:t>
      </w:r>
      <w:r>
        <w:rPr>
          <w:rFonts w:hint="eastAsia" w:ascii="宋体" w:hAnsi="宋体" w:eastAsia="宋体" w:cs="宋体"/>
          <w:color w:val="auto"/>
          <w:kern w:val="0"/>
          <w:sz w:val="21"/>
          <w:szCs w:val="21"/>
          <w:highlight w:val="none"/>
          <w:shd w:val="clear" w:color="auto" w:fill="FFFFFF"/>
          <w:lang w:val="en-US" w:eastAsia="zh-CN" w:bidi="ar-SA"/>
        </w:rPr>
        <w:t>@qq.com</w:t>
      </w:r>
      <w:r>
        <w:rPr>
          <w:rFonts w:hint="eastAsia" w:ascii="宋体" w:hAnsi="宋体" w:eastAsia="宋体" w:cs="宋体"/>
          <w:color w:val="auto"/>
          <w:kern w:val="0"/>
          <w:sz w:val="21"/>
          <w:szCs w:val="21"/>
          <w:shd w:val="clear" w:color="auto" w:fill="FFFFFF"/>
          <w:lang w:val="en-US" w:eastAsia="zh-CN" w:bidi="ar-SA"/>
        </w:rPr>
        <w:t>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及投标保证金。</w:t>
      </w:r>
    </w:p>
    <w:p>
      <w:pPr>
        <w:keepNext w:val="0"/>
        <w:keepLines w:val="0"/>
        <w:pageBreakBefore w:val="0"/>
        <w:widowControl/>
        <w:kinsoku/>
        <w:wordWrap w:val="0"/>
        <w:overflowPunct/>
        <w:topLinePunct w:val="0"/>
        <w:bidi w:val="0"/>
        <w:snapToGrid w:val="0"/>
        <w:spacing w:before="0" w:beforeAutospacing="0" w:after="0" w:afterAutospacing="0" w:line="360" w:lineRule="auto"/>
        <w:ind w:left="420" w:leftChars="200"/>
        <w:jc w:val="left"/>
        <w:textAlignment w:val="auto"/>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pageBreakBefore w:val="0"/>
        <w:widowControl/>
        <w:kinsoku/>
        <w:overflowPunct/>
        <w:topLinePunct w:val="0"/>
        <w:bidi w:val="0"/>
        <w:snapToGrid w:val="0"/>
        <w:spacing w:before="0" w:after="0" w:line="360" w:lineRule="auto"/>
        <w:jc w:val="left"/>
        <w:textAlignment w:val="auto"/>
        <w:outlineLvl w:val="1"/>
        <w:rPr>
          <w:rFonts w:ascii="宋体" w:hAnsi="宋体" w:eastAsia="宋体" w:cs="宋体"/>
          <w:b/>
          <w:bCs/>
          <w:color w:val="auto"/>
          <w:kern w:val="2"/>
          <w:sz w:val="21"/>
          <w:szCs w:val="21"/>
          <w:lang w:val="en-US" w:eastAsia="zh-CN" w:bidi="ar-SA"/>
        </w:rPr>
      </w:pPr>
      <w:bookmarkStart w:id="18" w:name="_Toc27480"/>
      <w:bookmarkStart w:id="19" w:name="_Toc25869"/>
      <w:bookmarkStart w:id="20" w:name="_Toc15135"/>
      <w:bookmarkStart w:id="21" w:name="_Toc10738"/>
      <w:bookmarkStart w:id="22" w:name="_Toc15111"/>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pageBreakBefore w:val="0"/>
        <w:widowControl/>
        <w:kinsoku/>
        <w:overflowPunct/>
        <w:topLinePunct w:val="0"/>
        <w:bidi w:val="0"/>
        <w:snapToGrid w:val="0"/>
        <w:spacing w:before="0" w:after="0" w:line="360" w:lineRule="auto"/>
        <w:jc w:val="left"/>
        <w:textAlignment w:val="auto"/>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u w:val="none"/>
          <w:shd w:val="clear" w:color="auto" w:fill="FFFFFF"/>
          <w:lang w:val="en-US" w:eastAsia="zh-CN" w:bidi="ar-SA"/>
        </w:rPr>
        <w:t>。</w:t>
      </w:r>
    </w:p>
    <w:p>
      <w:pPr>
        <w:keepNext w:val="0"/>
        <w:keepLines w:val="0"/>
        <w:pageBreakBefore w:val="0"/>
        <w:widowControl/>
        <w:kinsoku/>
        <w:overflowPunct/>
        <w:topLinePunct w:val="0"/>
        <w:bidi w:val="0"/>
        <w:snapToGrid w:val="0"/>
        <w:spacing w:before="0" w:after="0" w:line="360" w:lineRule="auto"/>
        <w:jc w:val="left"/>
        <w:textAlignment w:val="auto"/>
        <w:outlineLvl w:val="1"/>
        <w:rPr>
          <w:rFonts w:ascii="宋体" w:hAnsi="宋体" w:eastAsia="宋体" w:cs="宋体"/>
          <w:b/>
          <w:bCs/>
          <w:color w:val="auto"/>
          <w:kern w:val="2"/>
          <w:sz w:val="21"/>
          <w:szCs w:val="21"/>
          <w:lang w:val="en-US" w:eastAsia="zh-CN" w:bidi="ar-SA"/>
        </w:rPr>
      </w:pPr>
      <w:bookmarkStart w:id="23" w:name="_Toc20287"/>
      <w:bookmarkStart w:id="24" w:name="_Toc29784"/>
      <w:bookmarkStart w:id="25" w:name="_Toc30918"/>
      <w:bookmarkStart w:id="26" w:name="_Toc6523"/>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795"/>
      <w:bookmarkStart w:id="28" w:name="_Toc35393626"/>
    </w:p>
    <w:bookmarkEnd w:id="27"/>
    <w:bookmarkEnd w:id="28"/>
    <w:p>
      <w:pPr>
        <w:keepNext w:val="0"/>
        <w:keepLines w:val="0"/>
        <w:pageBreakBefore w:val="0"/>
        <w:widowControl/>
        <w:kinsoku/>
        <w:overflowPunct/>
        <w:topLinePunct w:val="0"/>
        <w:bidi w:val="0"/>
        <w:snapToGrid w:val="0"/>
        <w:spacing w:before="0" w:after="0" w:line="360" w:lineRule="auto"/>
        <w:jc w:val="left"/>
        <w:textAlignment w:val="auto"/>
        <w:outlineLvl w:val="1"/>
        <w:rPr>
          <w:rFonts w:ascii="宋体" w:hAnsi="宋体" w:eastAsia="宋体" w:cs="宋体"/>
          <w:b/>
          <w:bCs/>
          <w:color w:val="auto"/>
          <w:kern w:val="2"/>
          <w:sz w:val="21"/>
          <w:szCs w:val="21"/>
          <w:highlight w:val="none"/>
          <w:lang w:val="en-US" w:eastAsia="zh-CN" w:bidi="ar-SA"/>
        </w:rPr>
      </w:pPr>
      <w:bookmarkStart w:id="29" w:name="_Toc27370"/>
      <w:bookmarkStart w:id="30" w:name="_Toc24274"/>
      <w:bookmarkStart w:id="31" w:name="_Toc31928"/>
      <w:bookmarkStart w:id="32" w:name="_Toc3604"/>
      <w:bookmarkStart w:id="33" w:name="_Toc16291"/>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报名联系人：陈先生 </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联系电话：18838148020 </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监督电话：0396-2725435</w:t>
      </w:r>
    </w:p>
    <w:p>
      <w:pPr>
        <w:pStyle w:val="2"/>
        <w:keepNext w:val="0"/>
        <w:keepLines w:val="0"/>
        <w:pageBreakBefore w:val="0"/>
        <w:kinsoku/>
        <w:overflowPunct/>
        <w:topLinePunct w:val="0"/>
        <w:bidi w:val="0"/>
        <w:textAlignment w:val="auto"/>
        <w:rPr>
          <w:rFonts w:hint="eastAsia"/>
          <w:lang w:val="en-US" w:eastAsia="zh-CN"/>
        </w:rPr>
      </w:pP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righ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kern w:val="0"/>
          <w:sz w:val="21"/>
          <w:szCs w:val="21"/>
          <w:shd w:val="clear" w:color="auto" w:fill="FFFFFF"/>
          <w:lang w:val="en-US" w:eastAsia="zh-CN" w:bidi="ar-SA"/>
        </w:rPr>
        <w:t>驻</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马店市中心医院采购科</w:t>
      </w:r>
    </w:p>
    <w:p>
      <w:pPr>
        <w:pStyle w:val="30"/>
        <w:keepNext w:val="0"/>
        <w:keepLines w:val="0"/>
        <w:pageBreakBefore w:val="0"/>
        <w:widowControl/>
        <w:kinsoku/>
        <w:overflowPunct/>
        <w:topLinePunct w:val="0"/>
        <w:bidi w:val="0"/>
        <w:snapToGrid w:val="0"/>
        <w:spacing w:before="0" w:beforeAutospacing="0" w:after="0" w:afterAutospacing="0" w:line="360" w:lineRule="auto"/>
        <w:ind w:firstLine="420" w:firstLineChars="200"/>
        <w:jc w:val="right"/>
        <w:textAlignment w:val="auto"/>
        <w:rPr>
          <w:rFonts w:ascii="宋体" w:hAnsi="宋体" w:cs="宋体"/>
          <w:color w:val="000000" w:themeColor="text1"/>
          <w:sz w:val="21"/>
          <w:szCs w:val="21"/>
          <w:highlight w:val="none"/>
          <w:shd w:val="clear" w:color="auto" w:fill="FFFFFF"/>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2022年</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0</w:t>
      </w:r>
      <w:r>
        <w:rPr>
          <w:rFonts w:hint="eastAsia" w:ascii="宋体" w:hAnsi="宋体" w:cs="宋体"/>
          <w:color w:val="000000" w:themeColor="text1"/>
          <w:kern w:val="0"/>
          <w:sz w:val="21"/>
          <w:szCs w:val="21"/>
          <w:highlight w:val="none"/>
          <w:shd w:val="clear" w:color="auto" w:fill="FFFFFF"/>
          <w:lang w:val="en-US" w:eastAsia="zh-CN" w:bidi="ar-SA"/>
          <w14:textFill>
            <w14:solidFill>
              <w14:schemeClr w14:val="tx1"/>
            </w14:solidFill>
          </w14:textFill>
        </w:rPr>
        <w:t>6</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月</w:t>
      </w:r>
      <w:r>
        <w:rPr>
          <w:rFonts w:hint="eastAsia" w:ascii="宋体" w:hAnsi="宋体" w:cs="宋体"/>
          <w:color w:val="000000" w:themeColor="text1"/>
          <w:kern w:val="0"/>
          <w:sz w:val="21"/>
          <w:szCs w:val="21"/>
          <w:highlight w:val="none"/>
          <w:shd w:val="clear" w:color="auto" w:fill="FFFFFF"/>
          <w:lang w:val="en-US" w:eastAsia="zh-CN" w:bidi="ar-SA"/>
          <w14:textFill>
            <w14:solidFill>
              <w14:schemeClr w14:val="tx1"/>
            </w14:solidFill>
          </w14:textFill>
        </w:rPr>
        <w:t>29</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日</w:t>
      </w:r>
    </w:p>
    <w:p>
      <w:pPr>
        <w:pStyle w:val="30"/>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b/>
          <w:bCs/>
          <w:color w:val="auto"/>
          <w:sz w:val="24"/>
          <w:highlight w:val="none"/>
        </w:rPr>
      </w:pPr>
      <w:bookmarkStart w:id="91" w:name="_GoBack"/>
      <w:bookmarkEnd w:id="91"/>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34" w:name="_Toc25063"/>
      <w:bookmarkStart w:id="35" w:name="_Toc29890"/>
      <w:bookmarkStart w:id="36" w:name="_Toc23793"/>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23610"/>
      <w:bookmarkStart w:id="38" w:name="_Toc9989"/>
      <w:bookmarkStart w:id="39" w:name="_Toc31536"/>
    </w:p>
    <w:bookmarkEnd w:id="37"/>
    <w:bookmarkEnd w:id="38"/>
    <w:bookmarkEnd w:id="39"/>
    <w:p>
      <w:pPr>
        <w:widowControl/>
        <w:adjustRightInd w:val="0"/>
        <w:snapToGrid w:val="0"/>
        <w:spacing w:line="360" w:lineRule="auto"/>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一、项目名称、数量：驻马店市中心医院神经内科实验室设备采购项目。</w:t>
      </w:r>
    </w:p>
    <w:p>
      <w:pPr>
        <w:widowControl/>
        <w:adjustRightInd w:val="0"/>
        <w:snapToGrid w:val="0"/>
        <w:spacing w:line="360" w:lineRule="auto"/>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二、项目用途说明：为建设神经内科实验室，现申请购置实验设备共8台。 </w:t>
      </w:r>
    </w:p>
    <w:p>
      <w:pPr>
        <w:widowControl/>
        <w:adjustRightInd w:val="0"/>
        <w:snapToGrid w:val="0"/>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三、配置规格、附件及零配件（包括专用工具）：</w:t>
      </w:r>
      <w:r>
        <w:rPr>
          <w:rFonts w:hint="eastAsia" w:ascii="宋体" w:hAnsi="宋体" w:eastAsia="宋体" w:cs="宋体"/>
          <w:color w:val="auto"/>
          <w:kern w:val="2"/>
          <w:sz w:val="21"/>
          <w:szCs w:val="21"/>
          <w:highlight w:val="none"/>
          <w:lang w:val="en-US" w:eastAsia="zh-CN" w:bidi="ar-SA"/>
        </w:rPr>
        <w:t xml:space="preserve">                                                      </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2846"/>
        <w:gridCol w:w="1736"/>
        <w:gridCol w:w="1473"/>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913" w:type="dxa"/>
            <w:tcBorders>
              <w:top w:val="single" w:color="auto" w:sz="4" w:space="0"/>
              <w:left w:val="single" w:color="auto" w:sz="4" w:space="0"/>
              <w:bottom w:val="single" w:color="auto" w:sz="4" w:space="0"/>
              <w:right w:val="single" w:color="auto" w:sz="4" w:space="0"/>
            </w:tcBorders>
            <w:vAlign w:val="center"/>
          </w:tcPr>
          <w:p>
            <w:pPr>
              <w:pStyle w:val="5"/>
              <w:ind w:left="0" w:leftChars="0"/>
              <w:jc w:val="center"/>
              <w:rPr>
                <w:rFonts w:ascii="宋体" w:hAnsi="宋体"/>
                <w:b/>
                <w:bCs/>
                <w:sz w:val="30"/>
                <w:szCs w:val="30"/>
              </w:rPr>
            </w:pPr>
            <w:r>
              <w:rPr>
                <w:rFonts w:hint="eastAsia" w:ascii="宋体" w:hAnsi="宋体"/>
                <w:b/>
                <w:bCs/>
                <w:sz w:val="30"/>
                <w:szCs w:val="30"/>
              </w:rPr>
              <w:t>序号</w:t>
            </w:r>
          </w:p>
        </w:tc>
        <w:tc>
          <w:tcPr>
            <w:tcW w:w="2846" w:type="dxa"/>
            <w:tcBorders>
              <w:top w:val="single" w:color="auto" w:sz="4" w:space="0"/>
              <w:left w:val="nil"/>
              <w:bottom w:val="single" w:color="auto" w:sz="4" w:space="0"/>
              <w:right w:val="single" w:color="auto" w:sz="4" w:space="0"/>
            </w:tcBorders>
            <w:vAlign w:val="center"/>
          </w:tcPr>
          <w:p>
            <w:pPr>
              <w:pStyle w:val="5"/>
              <w:ind w:left="0" w:leftChars="0"/>
              <w:jc w:val="center"/>
              <w:rPr>
                <w:rFonts w:ascii="宋体" w:hAnsi="宋体"/>
                <w:b/>
                <w:bCs/>
                <w:sz w:val="30"/>
                <w:szCs w:val="30"/>
              </w:rPr>
            </w:pPr>
            <w:r>
              <w:rPr>
                <w:rFonts w:hint="eastAsia" w:ascii="宋体" w:hAnsi="宋体"/>
                <w:b/>
                <w:bCs/>
                <w:sz w:val="30"/>
                <w:szCs w:val="30"/>
              </w:rPr>
              <w:t>项目名称</w:t>
            </w:r>
          </w:p>
        </w:tc>
        <w:tc>
          <w:tcPr>
            <w:tcW w:w="1736" w:type="dxa"/>
            <w:tcBorders>
              <w:top w:val="single" w:color="auto" w:sz="4" w:space="0"/>
              <w:left w:val="nil"/>
              <w:bottom w:val="single" w:color="auto" w:sz="4" w:space="0"/>
              <w:right w:val="single" w:color="auto" w:sz="4" w:space="0"/>
            </w:tcBorders>
            <w:vAlign w:val="center"/>
          </w:tcPr>
          <w:p>
            <w:pPr>
              <w:pStyle w:val="5"/>
              <w:ind w:left="0" w:leftChars="0"/>
              <w:jc w:val="center"/>
              <w:rPr>
                <w:rFonts w:ascii="宋体" w:hAnsi="宋体"/>
                <w:b/>
                <w:bCs/>
                <w:sz w:val="30"/>
                <w:szCs w:val="30"/>
              </w:rPr>
            </w:pPr>
            <w:r>
              <w:rPr>
                <w:rFonts w:hint="eastAsia" w:ascii="宋体" w:hAnsi="宋体"/>
                <w:b/>
                <w:bCs/>
                <w:sz w:val="30"/>
                <w:szCs w:val="30"/>
              </w:rPr>
              <w:t>数量或规模</w:t>
            </w:r>
          </w:p>
        </w:tc>
        <w:tc>
          <w:tcPr>
            <w:tcW w:w="1473" w:type="dxa"/>
            <w:tcBorders>
              <w:top w:val="single" w:color="auto" w:sz="4" w:space="0"/>
              <w:left w:val="nil"/>
              <w:bottom w:val="single" w:color="auto" w:sz="4" w:space="0"/>
              <w:right w:val="single" w:color="auto" w:sz="4" w:space="0"/>
            </w:tcBorders>
            <w:vAlign w:val="center"/>
          </w:tcPr>
          <w:p>
            <w:pPr>
              <w:pStyle w:val="5"/>
              <w:ind w:left="0" w:leftChars="0"/>
              <w:jc w:val="center"/>
              <w:rPr>
                <w:rFonts w:ascii="宋体" w:hAnsi="宋体"/>
                <w:b/>
                <w:bCs/>
                <w:sz w:val="30"/>
                <w:szCs w:val="30"/>
              </w:rPr>
            </w:pPr>
            <w:r>
              <w:rPr>
                <w:rFonts w:hint="eastAsia" w:ascii="宋体" w:hAnsi="宋体"/>
                <w:b/>
                <w:bCs/>
                <w:sz w:val="30"/>
                <w:szCs w:val="30"/>
              </w:rPr>
              <w:t>资金预算</w:t>
            </w:r>
          </w:p>
        </w:tc>
        <w:tc>
          <w:tcPr>
            <w:tcW w:w="1554" w:type="dxa"/>
            <w:tcBorders>
              <w:top w:val="single" w:color="auto" w:sz="4" w:space="0"/>
              <w:left w:val="nil"/>
              <w:bottom w:val="single" w:color="auto" w:sz="4" w:space="0"/>
              <w:right w:val="single" w:color="auto" w:sz="4" w:space="0"/>
            </w:tcBorders>
            <w:vAlign w:val="center"/>
          </w:tcPr>
          <w:p>
            <w:pPr>
              <w:pStyle w:val="5"/>
              <w:ind w:left="0" w:leftChars="0"/>
              <w:jc w:val="center"/>
              <w:rPr>
                <w:rFonts w:hint="eastAsia" w:ascii="宋体" w:hAnsi="宋体"/>
                <w:b/>
                <w:bCs/>
                <w:sz w:val="30"/>
                <w:szCs w:val="30"/>
              </w:rPr>
            </w:pPr>
            <w:r>
              <w:rPr>
                <w:rFonts w:hint="eastAsia" w:ascii="宋体" w:hAnsi="宋体"/>
                <w:b/>
                <w:bCs/>
                <w:sz w:val="30"/>
                <w:szCs w:val="30"/>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13" w:type="dxa"/>
            <w:vMerge w:val="restart"/>
            <w:tcBorders>
              <w:top w:val="single" w:color="auto" w:sz="4" w:space="0"/>
              <w:left w:val="single" w:color="auto" w:sz="4" w:space="0"/>
              <w:right w:val="single" w:color="auto" w:sz="4" w:space="0"/>
            </w:tcBorders>
            <w:vAlign w:val="center"/>
          </w:tcPr>
          <w:p>
            <w:pPr>
              <w:pStyle w:val="5"/>
              <w:ind w:left="0" w:leftChars="0"/>
              <w:jc w:val="center"/>
              <w:rPr>
                <w:rFonts w:hint="default" w:ascii="宋体" w:hAnsi="宋体" w:eastAsia="宋体" w:cs="宋体"/>
                <w:b w:val="0"/>
                <w:bCs w:val="0"/>
                <w:kern w:val="2"/>
                <w:sz w:val="21"/>
                <w:szCs w:val="21"/>
                <w:lang w:val="en-US" w:eastAsia="zh-CN" w:bidi="ar-SA"/>
              </w:rPr>
            </w:pPr>
            <w:r>
              <w:rPr>
                <w:rFonts w:hint="default" w:ascii="宋体" w:hAnsi="宋体" w:eastAsia="宋体" w:cs="宋体"/>
                <w:b w:val="0"/>
                <w:bCs w:val="0"/>
                <w:sz w:val="21"/>
                <w:szCs w:val="21"/>
                <w:lang w:val="en-US" w:eastAsia="zh-CN"/>
              </w:rPr>
              <w:t>1</w:t>
            </w:r>
          </w:p>
        </w:tc>
        <w:tc>
          <w:tcPr>
            <w:tcW w:w="2846" w:type="dxa"/>
            <w:tcBorders>
              <w:top w:val="single" w:color="auto" w:sz="4" w:space="0"/>
              <w:left w:val="nil"/>
              <w:bottom w:val="single" w:color="auto" w:sz="4" w:space="0"/>
              <w:right w:val="single" w:color="auto" w:sz="4" w:space="0"/>
            </w:tcBorders>
            <w:vAlign w:val="center"/>
          </w:tcPr>
          <w:p>
            <w:pPr>
              <w:pStyle w:val="5"/>
              <w:ind w:left="0" w:leftChars="0"/>
              <w:jc w:val="center"/>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倒置荧光显微镜</w:t>
            </w:r>
          </w:p>
        </w:tc>
        <w:tc>
          <w:tcPr>
            <w:tcW w:w="1736" w:type="dxa"/>
            <w:tcBorders>
              <w:top w:val="single" w:color="auto" w:sz="4" w:space="0"/>
              <w:left w:val="nil"/>
              <w:bottom w:val="single" w:color="auto" w:sz="4" w:space="0"/>
              <w:right w:val="single" w:color="auto" w:sz="4" w:space="0"/>
            </w:tcBorders>
            <w:vAlign w:val="center"/>
          </w:tcPr>
          <w:p>
            <w:pPr>
              <w:pStyle w:val="5"/>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1</w:t>
            </w:r>
          </w:p>
        </w:tc>
        <w:tc>
          <w:tcPr>
            <w:tcW w:w="14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val="0"/>
                <w:bCs w:val="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265000元</w:t>
            </w:r>
          </w:p>
        </w:tc>
        <w:tc>
          <w:tcPr>
            <w:tcW w:w="1554" w:type="dxa"/>
            <w:tcBorders>
              <w:top w:val="single" w:color="auto" w:sz="4" w:space="0"/>
              <w:left w:val="nil"/>
              <w:right w:val="single" w:color="auto" w:sz="4" w:space="0"/>
            </w:tcBorders>
          </w:tcPr>
          <w:p>
            <w:pPr>
              <w:pStyle w:val="5"/>
              <w:ind w:left="0" w:leftChars="0"/>
              <w:jc w:val="center"/>
              <w:rPr>
                <w:rFonts w:hint="default" w:cs="宋体"/>
                <w:b w:val="0"/>
                <w:bCs w:val="0"/>
                <w:sz w:val="21"/>
                <w:szCs w:val="21"/>
                <w:lang w:val="en-US" w:eastAsia="zh-CN"/>
              </w:rPr>
            </w:pPr>
            <w:r>
              <w:rPr>
                <w:rFonts w:hint="eastAsia" w:cs="宋体"/>
                <w:b w:val="0"/>
                <w:bCs w:val="0"/>
                <w:sz w:val="21"/>
                <w:szCs w:val="21"/>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13" w:type="dxa"/>
            <w:vMerge w:val="continue"/>
            <w:tcBorders>
              <w:left w:val="single" w:color="auto" w:sz="4" w:space="0"/>
              <w:right w:val="single" w:color="auto" w:sz="4" w:space="0"/>
            </w:tcBorders>
            <w:vAlign w:val="center"/>
          </w:tcPr>
          <w:p>
            <w:pPr>
              <w:pStyle w:val="5"/>
              <w:ind w:left="0" w:leftChars="0"/>
              <w:jc w:val="center"/>
              <w:rPr>
                <w:rFonts w:hint="default" w:ascii="宋体" w:hAnsi="宋体" w:eastAsia="宋体" w:cs="宋体"/>
                <w:b w:val="0"/>
                <w:bCs w:val="0"/>
                <w:kern w:val="2"/>
                <w:sz w:val="21"/>
                <w:szCs w:val="21"/>
                <w:lang w:val="en-US" w:eastAsia="zh-CN" w:bidi="ar-SA"/>
              </w:rPr>
            </w:pPr>
          </w:p>
        </w:tc>
        <w:tc>
          <w:tcPr>
            <w:tcW w:w="2846" w:type="dxa"/>
            <w:tcBorders>
              <w:top w:val="single" w:color="auto" w:sz="4" w:space="0"/>
              <w:left w:val="nil"/>
              <w:bottom w:val="single" w:color="auto" w:sz="4" w:space="0"/>
              <w:right w:val="single" w:color="auto" w:sz="4" w:space="0"/>
            </w:tcBorders>
            <w:vAlign w:val="center"/>
          </w:tcPr>
          <w:p>
            <w:pPr>
              <w:pStyle w:val="5"/>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酶标仪</w:t>
            </w:r>
          </w:p>
        </w:tc>
        <w:tc>
          <w:tcPr>
            <w:tcW w:w="1736" w:type="dxa"/>
            <w:tcBorders>
              <w:top w:val="single" w:color="auto" w:sz="4" w:space="0"/>
              <w:left w:val="nil"/>
              <w:bottom w:val="single" w:color="auto" w:sz="4" w:space="0"/>
              <w:right w:val="single" w:color="auto" w:sz="4" w:space="0"/>
            </w:tcBorders>
            <w:vAlign w:val="center"/>
          </w:tcPr>
          <w:p>
            <w:pPr>
              <w:pStyle w:val="5"/>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1</w:t>
            </w:r>
          </w:p>
        </w:tc>
        <w:tc>
          <w:tcPr>
            <w:tcW w:w="14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val="0"/>
                <w:bCs w:val="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40000元</w:t>
            </w:r>
          </w:p>
        </w:tc>
        <w:tc>
          <w:tcPr>
            <w:tcW w:w="1554" w:type="dxa"/>
            <w:tcBorders>
              <w:left w:val="nil"/>
              <w:right w:val="single" w:color="auto" w:sz="4" w:space="0"/>
            </w:tcBorders>
          </w:tcPr>
          <w:p>
            <w:pPr>
              <w:ind w:left="0" w:leftChars="0"/>
              <w:jc w:val="center"/>
              <w:rPr>
                <w:rFonts w:hint="eastAsia" w:cs="宋体"/>
                <w:b w:val="0"/>
                <w:bCs w:val="0"/>
                <w:sz w:val="21"/>
                <w:szCs w:val="21"/>
                <w:lang w:val="en-US" w:eastAsia="zh-CN"/>
              </w:rPr>
            </w:pPr>
            <w:r>
              <w:rPr>
                <w:rFonts w:hint="eastAsia" w:cs="宋体"/>
                <w:b w:val="0"/>
                <w:bCs w:val="0"/>
                <w:sz w:val="21"/>
                <w:szCs w:val="21"/>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13" w:type="dxa"/>
            <w:vMerge w:val="continue"/>
            <w:tcBorders>
              <w:left w:val="single" w:color="auto" w:sz="4" w:space="0"/>
              <w:right w:val="single" w:color="auto" w:sz="4" w:space="0"/>
            </w:tcBorders>
            <w:vAlign w:val="center"/>
          </w:tcPr>
          <w:p>
            <w:pPr>
              <w:pStyle w:val="5"/>
              <w:ind w:left="0" w:leftChars="0"/>
              <w:jc w:val="center"/>
              <w:rPr>
                <w:rFonts w:hint="default" w:ascii="宋体" w:hAnsi="宋体" w:eastAsia="宋体" w:cs="宋体"/>
                <w:b w:val="0"/>
                <w:bCs w:val="0"/>
                <w:kern w:val="2"/>
                <w:sz w:val="21"/>
                <w:szCs w:val="21"/>
                <w:lang w:val="en-US" w:eastAsia="zh-CN" w:bidi="ar-SA"/>
              </w:rPr>
            </w:pPr>
          </w:p>
        </w:tc>
        <w:tc>
          <w:tcPr>
            <w:tcW w:w="2846" w:type="dxa"/>
            <w:tcBorders>
              <w:top w:val="single" w:color="auto" w:sz="4" w:space="0"/>
              <w:left w:val="nil"/>
              <w:bottom w:val="single" w:color="auto" w:sz="4" w:space="0"/>
              <w:right w:val="single" w:color="auto" w:sz="4" w:space="0"/>
            </w:tcBorders>
            <w:vAlign w:val="center"/>
          </w:tcPr>
          <w:p>
            <w:pPr>
              <w:pStyle w:val="5"/>
              <w:ind w:left="0" w:leftChars="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sz w:val="21"/>
                <w:szCs w:val="21"/>
                <w:lang w:val="en-US" w:eastAsia="zh-CN"/>
              </w:rPr>
              <w:t>洗板机</w:t>
            </w:r>
          </w:p>
        </w:tc>
        <w:tc>
          <w:tcPr>
            <w:tcW w:w="1736" w:type="dxa"/>
            <w:tcBorders>
              <w:top w:val="single" w:color="auto" w:sz="4" w:space="0"/>
              <w:left w:val="nil"/>
              <w:bottom w:val="single" w:color="auto" w:sz="4" w:space="0"/>
              <w:right w:val="single" w:color="auto" w:sz="4" w:space="0"/>
            </w:tcBorders>
            <w:vAlign w:val="center"/>
          </w:tcPr>
          <w:p>
            <w:pPr>
              <w:pStyle w:val="5"/>
              <w:ind w:left="0" w:leftChars="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sz w:val="21"/>
                <w:szCs w:val="21"/>
                <w:lang w:val="en-US" w:eastAsia="zh-CN"/>
              </w:rPr>
              <w:t>1</w:t>
            </w:r>
          </w:p>
        </w:tc>
        <w:tc>
          <w:tcPr>
            <w:tcW w:w="14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26000元</w:t>
            </w:r>
          </w:p>
        </w:tc>
        <w:tc>
          <w:tcPr>
            <w:tcW w:w="1554" w:type="dxa"/>
            <w:tcBorders>
              <w:left w:val="nil"/>
              <w:right w:val="single" w:color="auto" w:sz="4" w:space="0"/>
            </w:tcBorders>
          </w:tcPr>
          <w:p>
            <w:pPr>
              <w:ind w:left="0" w:leftChars="0"/>
              <w:jc w:val="center"/>
              <w:rPr>
                <w:rFonts w:hint="eastAsia" w:cs="宋体"/>
                <w:b w:val="0"/>
                <w:bCs w:val="0"/>
                <w:sz w:val="21"/>
                <w:szCs w:val="21"/>
                <w:lang w:val="en-US" w:eastAsia="zh-CN"/>
              </w:rPr>
            </w:pPr>
            <w:r>
              <w:rPr>
                <w:rFonts w:hint="eastAsia" w:cs="宋体"/>
                <w:b w:val="0"/>
                <w:bCs w:val="0"/>
                <w:sz w:val="21"/>
                <w:szCs w:val="21"/>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13" w:type="dxa"/>
            <w:vMerge w:val="continue"/>
            <w:tcBorders>
              <w:left w:val="single" w:color="auto" w:sz="4" w:space="0"/>
              <w:right w:val="single" w:color="auto" w:sz="4" w:space="0"/>
            </w:tcBorders>
            <w:vAlign w:val="center"/>
          </w:tcPr>
          <w:p>
            <w:pPr>
              <w:pStyle w:val="5"/>
              <w:ind w:left="0" w:leftChars="0"/>
              <w:jc w:val="center"/>
              <w:rPr>
                <w:rFonts w:hint="default" w:ascii="宋体" w:hAnsi="宋体" w:eastAsia="宋体" w:cs="宋体"/>
                <w:b w:val="0"/>
                <w:bCs w:val="0"/>
                <w:kern w:val="2"/>
                <w:sz w:val="21"/>
                <w:szCs w:val="21"/>
                <w:lang w:val="en-US" w:eastAsia="zh-CN" w:bidi="ar-SA"/>
              </w:rPr>
            </w:pPr>
          </w:p>
        </w:tc>
        <w:tc>
          <w:tcPr>
            <w:tcW w:w="2846" w:type="dxa"/>
            <w:tcBorders>
              <w:top w:val="single" w:color="auto" w:sz="4" w:space="0"/>
              <w:left w:val="nil"/>
              <w:bottom w:val="single" w:color="auto" w:sz="4" w:space="0"/>
              <w:right w:val="single" w:color="auto" w:sz="4" w:space="0"/>
            </w:tcBorders>
            <w:vAlign w:val="center"/>
          </w:tcPr>
          <w:p>
            <w:pPr>
              <w:pStyle w:val="5"/>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恒温培养箱</w:t>
            </w:r>
          </w:p>
        </w:tc>
        <w:tc>
          <w:tcPr>
            <w:tcW w:w="1736" w:type="dxa"/>
            <w:tcBorders>
              <w:top w:val="single" w:color="auto" w:sz="4" w:space="0"/>
              <w:left w:val="nil"/>
              <w:bottom w:val="single" w:color="auto" w:sz="4" w:space="0"/>
              <w:right w:val="single" w:color="auto" w:sz="4" w:space="0"/>
            </w:tcBorders>
            <w:vAlign w:val="center"/>
          </w:tcPr>
          <w:p>
            <w:pPr>
              <w:pStyle w:val="5"/>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1</w:t>
            </w:r>
          </w:p>
        </w:tc>
        <w:tc>
          <w:tcPr>
            <w:tcW w:w="14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val="0"/>
                <w:bCs w:val="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2000元</w:t>
            </w:r>
          </w:p>
        </w:tc>
        <w:tc>
          <w:tcPr>
            <w:tcW w:w="1554" w:type="dxa"/>
            <w:tcBorders>
              <w:left w:val="nil"/>
              <w:right w:val="single" w:color="auto" w:sz="4" w:space="0"/>
            </w:tcBorders>
          </w:tcPr>
          <w:p>
            <w:pPr>
              <w:ind w:left="0" w:leftChars="0"/>
              <w:jc w:val="center"/>
              <w:rPr>
                <w:rFonts w:hint="eastAsia" w:cs="宋体"/>
                <w:b w:val="0"/>
                <w:bCs w:val="0"/>
                <w:sz w:val="21"/>
                <w:szCs w:val="21"/>
                <w:lang w:val="en-US" w:eastAsia="zh-CN"/>
              </w:rPr>
            </w:pPr>
            <w:r>
              <w:rPr>
                <w:rFonts w:hint="eastAsia" w:cs="宋体"/>
                <w:b w:val="0"/>
                <w:bCs w:val="0"/>
                <w:sz w:val="21"/>
                <w:szCs w:val="21"/>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13" w:type="dxa"/>
            <w:vMerge w:val="continue"/>
            <w:tcBorders>
              <w:left w:val="single" w:color="auto" w:sz="4" w:space="0"/>
              <w:right w:val="single" w:color="auto" w:sz="4" w:space="0"/>
            </w:tcBorders>
            <w:vAlign w:val="center"/>
          </w:tcPr>
          <w:p>
            <w:pPr>
              <w:pStyle w:val="5"/>
              <w:ind w:left="0" w:leftChars="0"/>
              <w:jc w:val="center"/>
              <w:rPr>
                <w:rFonts w:hint="default" w:ascii="宋体" w:hAnsi="宋体" w:eastAsia="宋体" w:cs="宋体"/>
                <w:b w:val="0"/>
                <w:bCs w:val="0"/>
                <w:kern w:val="2"/>
                <w:sz w:val="21"/>
                <w:szCs w:val="21"/>
                <w:lang w:val="en-US" w:eastAsia="zh-CN" w:bidi="ar-SA"/>
              </w:rPr>
            </w:pPr>
          </w:p>
        </w:tc>
        <w:tc>
          <w:tcPr>
            <w:tcW w:w="2846" w:type="dxa"/>
            <w:tcBorders>
              <w:top w:val="single" w:color="auto" w:sz="4" w:space="0"/>
              <w:left w:val="nil"/>
              <w:bottom w:val="single" w:color="auto" w:sz="4" w:space="0"/>
              <w:right w:val="single" w:color="auto" w:sz="4" w:space="0"/>
            </w:tcBorders>
            <w:vAlign w:val="center"/>
          </w:tcPr>
          <w:p>
            <w:pPr>
              <w:pStyle w:val="5"/>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水浴箱</w:t>
            </w:r>
          </w:p>
        </w:tc>
        <w:tc>
          <w:tcPr>
            <w:tcW w:w="1736" w:type="dxa"/>
            <w:tcBorders>
              <w:top w:val="single" w:color="auto" w:sz="4" w:space="0"/>
              <w:left w:val="nil"/>
              <w:bottom w:val="single" w:color="auto" w:sz="4" w:space="0"/>
              <w:right w:val="single" w:color="auto" w:sz="4" w:space="0"/>
            </w:tcBorders>
            <w:vAlign w:val="center"/>
          </w:tcPr>
          <w:p>
            <w:pPr>
              <w:pStyle w:val="5"/>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1</w:t>
            </w:r>
          </w:p>
        </w:tc>
        <w:tc>
          <w:tcPr>
            <w:tcW w:w="14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val="0"/>
                <w:bCs w:val="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2000元</w:t>
            </w:r>
          </w:p>
        </w:tc>
        <w:tc>
          <w:tcPr>
            <w:tcW w:w="1554" w:type="dxa"/>
            <w:tcBorders>
              <w:left w:val="nil"/>
              <w:right w:val="single" w:color="auto" w:sz="4" w:space="0"/>
            </w:tcBorders>
          </w:tcPr>
          <w:p>
            <w:pPr>
              <w:ind w:left="0" w:leftChars="0"/>
              <w:jc w:val="center"/>
              <w:rPr>
                <w:rFonts w:hint="eastAsia" w:cs="宋体"/>
                <w:b w:val="0"/>
                <w:bCs w:val="0"/>
                <w:sz w:val="21"/>
                <w:szCs w:val="21"/>
                <w:lang w:val="en-US" w:eastAsia="zh-CN"/>
              </w:rPr>
            </w:pPr>
            <w:r>
              <w:rPr>
                <w:rFonts w:hint="eastAsia" w:cs="宋体"/>
                <w:b w:val="0"/>
                <w:bCs w:val="0"/>
                <w:sz w:val="21"/>
                <w:szCs w:val="21"/>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13" w:type="dxa"/>
            <w:vMerge w:val="continue"/>
            <w:tcBorders>
              <w:left w:val="single" w:color="auto" w:sz="4" w:space="0"/>
              <w:right w:val="single" w:color="auto" w:sz="4" w:space="0"/>
            </w:tcBorders>
            <w:vAlign w:val="center"/>
          </w:tcPr>
          <w:p>
            <w:pPr>
              <w:pStyle w:val="5"/>
              <w:ind w:left="0" w:leftChars="0"/>
              <w:jc w:val="center"/>
              <w:rPr>
                <w:rFonts w:hint="default" w:ascii="宋体" w:hAnsi="宋体" w:eastAsia="宋体" w:cs="宋体"/>
                <w:b w:val="0"/>
                <w:bCs w:val="0"/>
                <w:kern w:val="2"/>
                <w:sz w:val="21"/>
                <w:szCs w:val="21"/>
                <w:lang w:val="en-US" w:eastAsia="zh-CN" w:bidi="ar-SA"/>
              </w:rPr>
            </w:pPr>
          </w:p>
        </w:tc>
        <w:tc>
          <w:tcPr>
            <w:tcW w:w="2846" w:type="dxa"/>
            <w:tcBorders>
              <w:top w:val="single" w:color="auto" w:sz="4" w:space="0"/>
              <w:left w:val="nil"/>
              <w:bottom w:val="single" w:color="auto" w:sz="4" w:space="0"/>
              <w:right w:val="single" w:color="auto" w:sz="4" w:space="0"/>
            </w:tcBorders>
            <w:vAlign w:val="center"/>
          </w:tcPr>
          <w:p>
            <w:pPr>
              <w:pStyle w:val="5"/>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低速离心机</w:t>
            </w:r>
          </w:p>
        </w:tc>
        <w:tc>
          <w:tcPr>
            <w:tcW w:w="1736" w:type="dxa"/>
            <w:tcBorders>
              <w:top w:val="single" w:color="auto" w:sz="4" w:space="0"/>
              <w:left w:val="nil"/>
              <w:bottom w:val="single" w:color="auto" w:sz="4" w:space="0"/>
              <w:right w:val="single" w:color="auto" w:sz="4" w:space="0"/>
            </w:tcBorders>
            <w:vAlign w:val="center"/>
          </w:tcPr>
          <w:p>
            <w:pPr>
              <w:pStyle w:val="5"/>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1</w:t>
            </w:r>
          </w:p>
        </w:tc>
        <w:tc>
          <w:tcPr>
            <w:tcW w:w="14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val="0"/>
                <w:bCs w:val="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7000元</w:t>
            </w:r>
          </w:p>
        </w:tc>
        <w:tc>
          <w:tcPr>
            <w:tcW w:w="1554" w:type="dxa"/>
            <w:tcBorders>
              <w:left w:val="nil"/>
              <w:right w:val="single" w:color="auto" w:sz="4" w:space="0"/>
            </w:tcBorders>
          </w:tcPr>
          <w:p>
            <w:pPr>
              <w:ind w:left="0" w:leftChars="0"/>
              <w:jc w:val="center"/>
              <w:rPr>
                <w:rFonts w:hint="eastAsia" w:ascii="宋体" w:hAnsi="宋体" w:eastAsia="宋体" w:cs="宋体"/>
                <w:b w:val="0"/>
                <w:bCs w:val="0"/>
                <w:sz w:val="21"/>
                <w:szCs w:val="21"/>
                <w:lang w:val="en-US" w:eastAsia="zh-CN"/>
              </w:rPr>
            </w:pPr>
            <w:r>
              <w:rPr>
                <w:rFonts w:hint="eastAsia" w:cs="宋体"/>
                <w:b w:val="0"/>
                <w:bCs w:val="0"/>
                <w:sz w:val="21"/>
                <w:szCs w:val="21"/>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13" w:type="dxa"/>
            <w:vMerge w:val="continue"/>
            <w:tcBorders>
              <w:left w:val="single" w:color="auto" w:sz="4" w:space="0"/>
              <w:right w:val="single" w:color="auto" w:sz="4" w:space="0"/>
            </w:tcBorders>
            <w:vAlign w:val="center"/>
          </w:tcPr>
          <w:p>
            <w:pPr>
              <w:pStyle w:val="5"/>
              <w:ind w:left="0" w:leftChars="0"/>
              <w:jc w:val="center"/>
              <w:rPr>
                <w:rFonts w:hint="eastAsia" w:ascii="宋体" w:hAnsi="宋体" w:eastAsia="宋体" w:cs="宋体"/>
                <w:b w:val="0"/>
                <w:bCs w:val="0"/>
                <w:kern w:val="2"/>
                <w:sz w:val="21"/>
                <w:szCs w:val="21"/>
                <w:lang w:val="en-US" w:eastAsia="zh-CN" w:bidi="ar-SA"/>
              </w:rPr>
            </w:pPr>
          </w:p>
        </w:tc>
        <w:tc>
          <w:tcPr>
            <w:tcW w:w="2846" w:type="dxa"/>
            <w:tcBorders>
              <w:top w:val="single" w:color="auto" w:sz="4" w:space="0"/>
              <w:left w:val="nil"/>
              <w:bottom w:val="single" w:color="auto" w:sz="4" w:space="0"/>
              <w:right w:val="single" w:color="auto" w:sz="4" w:space="0"/>
            </w:tcBorders>
            <w:vAlign w:val="center"/>
          </w:tcPr>
          <w:p>
            <w:pPr>
              <w:pStyle w:val="5"/>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-20℃冰箱医用冰箱</w:t>
            </w:r>
          </w:p>
        </w:tc>
        <w:tc>
          <w:tcPr>
            <w:tcW w:w="1736" w:type="dxa"/>
            <w:tcBorders>
              <w:top w:val="single" w:color="auto" w:sz="4" w:space="0"/>
              <w:left w:val="nil"/>
              <w:bottom w:val="single" w:color="auto" w:sz="4" w:space="0"/>
              <w:right w:val="single" w:color="auto" w:sz="4" w:space="0"/>
            </w:tcBorders>
            <w:vAlign w:val="center"/>
          </w:tcPr>
          <w:p>
            <w:pPr>
              <w:pStyle w:val="5"/>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1</w:t>
            </w:r>
          </w:p>
        </w:tc>
        <w:tc>
          <w:tcPr>
            <w:tcW w:w="14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val="0"/>
                <w:bCs w:val="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11000元</w:t>
            </w:r>
          </w:p>
        </w:tc>
        <w:tc>
          <w:tcPr>
            <w:tcW w:w="1554" w:type="dxa"/>
            <w:tcBorders>
              <w:left w:val="nil"/>
              <w:right w:val="single" w:color="auto" w:sz="4" w:space="0"/>
            </w:tcBorders>
          </w:tcPr>
          <w:p>
            <w:pPr>
              <w:ind w:left="0" w:leftChars="0"/>
              <w:jc w:val="center"/>
              <w:rPr>
                <w:rFonts w:hint="eastAsia" w:cs="宋体"/>
                <w:b w:val="0"/>
                <w:bCs w:val="0"/>
                <w:sz w:val="21"/>
                <w:szCs w:val="21"/>
                <w:lang w:val="en-US" w:eastAsia="zh-CN"/>
              </w:rPr>
            </w:pPr>
            <w:r>
              <w:rPr>
                <w:rFonts w:hint="eastAsia" w:cs="宋体"/>
                <w:b w:val="0"/>
                <w:bCs w:val="0"/>
                <w:sz w:val="21"/>
                <w:szCs w:val="21"/>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13" w:type="dxa"/>
            <w:vMerge w:val="continue"/>
            <w:tcBorders>
              <w:left w:val="single" w:color="auto" w:sz="4" w:space="0"/>
              <w:bottom w:val="single" w:color="auto" w:sz="4" w:space="0"/>
              <w:right w:val="single" w:color="auto" w:sz="4" w:space="0"/>
            </w:tcBorders>
            <w:vAlign w:val="center"/>
          </w:tcPr>
          <w:p>
            <w:pPr>
              <w:pStyle w:val="5"/>
              <w:ind w:left="0" w:leftChars="0"/>
              <w:jc w:val="center"/>
              <w:rPr>
                <w:rFonts w:hint="default" w:ascii="宋体" w:hAnsi="宋体" w:eastAsia="宋体" w:cs="宋体"/>
                <w:b w:val="0"/>
                <w:bCs w:val="0"/>
                <w:kern w:val="2"/>
                <w:sz w:val="21"/>
                <w:szCs w:val="21"/>
                <w:lang w:val="en-US" w:eastAsia="zh-CN" w:bidi="ar-SA"/>
              </w:rPr>
            </w:pPr>
          </w:p>
        </w:tc>
        <w:tc>
          <w:tcPr>
            <w:tcW w:w="2846" w:type="dxa"/>
            <w:tcBorders>
              <w:top w:val="single" w:color="auto" w:sz="4" w:space="0"/>
              <w:left w:val="nil"/>
              <w:bottom w:val="single" w:color="auto" w:sz="4" w:space="0"/>
              <w:right w:val="single" w:color="auto" w:sz="4" w:space="0"/>
            </w:tcBorders>
            <w:vAlign w:val="center"/>
          </w:tcPr>
          <w:p>
            <w:pPr>
              <w:pStyle w:val="5"/>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2-8℃医用冷藏冰箱</w:t>
            </w:r>
          </w:p>
        </w:tc>
        <w:tc>
          <w:tcPr>
            <w:tcW w:w="1736" w:type="dxa"/>
            <w:tcBorders>
              <w:top w:val="single" w:color="auto" w:sz="4" w:space="0"/>
              <w:left w:val="nil"/>
              <w:bottom w:val="single" w:color="auto" w:sz="4" w:space="0"/>
              <w:right w:val="single" w:color="auto" w:sz="4" w:space="0"/>
            </w:tcBorders>
            <w:vAlign w:val="center"/>
          </w:tcPr>
          <w:p>
            <w:pPr>
              <w:pStyle w:val="5"/>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1</w:t>
            </w:r>
          </w:p>
        </w:tc>
        <w:tc>
          <w:tcPr>
            <w:tcW w:w="14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val="0"/>
                <w:bCs w:val="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7000元</w:t>
            </w:r>
          </w:p>
        </w:tc>
        <w:tc>
          <w:tcPr>
            <w:tcW w:w="1554" w:type="dxa"/>
            <w:tcBorders>
              <w:left w:val="nil"/>
              <w:right w:val="single" w:color="auto" w:sz="4" w:space="0"/>
            </w:tcBorders>
          </w:tcPr>
          <w:p>
            <w:pPr>
              <w:ind w:left="0" w:leftChars="0"/>
              <w:jc w:val="center"/>
              <w:rPr>
                <w:rFonts w:hint="eastAsia" w:cs="宋体"/>
                <w:b w:val="0"/>
                <w:bCs w:val="0"/>
                <w:sz w:val="21"/>
                <w:szCs w:val="21"/>
                <w:lang w:val="en-US" w:eastAsia="zh-CN"/>
              </w:rPr>
            </w:pPr>
            <w:r>
              <w:rPr>
                <w:rFonts w:hint="eastAsia" w:cs="宋体"/>
                <w:b w:val="0"/>
                <w:bCs w:val="0"/>
                <w:sz w:val="21"/>
                <w:szCs w:val="21"/>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13" w:type="dxa"/>
            <w:tcBorders>
              <w:top w:val="single" w:color="auto" w:sz="4" w:space="0"/>
              <w:left w:val="single" w:color="auto" w:sz="4" w:space="0"/>
              <w:bottom w:val="single" w:color="auto" w:sz="4" w:space="0"/>
              <w:right w:val="single" w:color="auto" w:sz="4" w:space="0"/>
            </w:tcBorders>
            <w:vAlign w:val="center"/>
          </w:tcPr>
          <w:p>
            <w:pPr>
              <w:pStyle w:val="5"/>
              <w:ind w:left="0" w:leftChars="0"/>
              <w:jc w:val="center"/>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合计</w:t>
            </w:r>
          </w:p>
        </w:tc>
        <w:tc>
          <w:tcPr>
            <w:tcW w:w="2846" w:type="dxa"/>
            <w:tcBorders>
              <w:top w:val="single" w:color="auto" w:sz="4" w:space="0"/>
              <w:left w:val="nil"/>
              <w:bottom w:val="single" w:color="auto" w:sz="4" w:space="0"/>
              <w:right w:val="single" w:color="auto" w:sz="4" w:space="0"/>
            </w:tcBorders>
            <w:vAlign w:val="center"/>
          </w:tcPr>
          <w:p>
            <w:pPr>
              <w:pStyle w:val="5"/>
              <w:ind w:left="0" w:leftChars="0"/>
              <w:jc w:val="center"/>
              <w:rPr>
                <w:rFonts w:hint="default" w:ascii="宋体" w:hAnsi="宋体" w:eastAsia="宋体" w:cs="宋体"/>
                <w:b w:val="0"/>
                <w:bCs w:val="0"/>
                <w:kern w:val="2"/>
                <w:sz w:val="21"/>
                <w:szCs w:val="21"/>
                <w:lang w:val="en-US" w:eastAsia="zh-CN" w:bidi="ar-SA"/>
              </w:rPr>
            </w:pPr>
          </w:p>
        </w:tc>
        <w:tc>
          <w:tcPr>
            <w:tcW w:w="1736" w:type="dxa"/>
            <w:tcBorders>
              <w:top w:val="single" w:color="auto" w:sz="4" w:space="0"/>
              <w:left w:val="nil"/>
              <w:bottom w:val="single" w:color="auto" w:sz="4" w:space="0"/>
              <w:right w:val="single" w:color="auto" w:sz="4" w:space="0"/>
            </w:tcBorders>
            <w:vAlign w:val="center"/>
          </w:tcPr>
          <w:p>
            <w:pPr>
              <w:pStyle w:val="5"/>
              <w:ind w:left="0" w:leftChars="0"/>
              <w:jc w:val="center"/>
              <w:rPr>
                <w:rFonts w:hint="default" w:ascii="宋体" w:hAnsi="宋体" w:eastAsia="宋体" w:cs="宋体"/>
                <w:b w:val="0"/>
                <w:bCs w:val="0"/>
                <w:kern w:val="2"/>
                <w:sz w:val="21"/>
                <w:szCs w:val="21"/>
                <w:lang w:val="en-US" w:eastAsia="zh-CN" w:bidi="ar-SA"/>
              </w:rPr>
            </w:pPr>
            <w:r>
              <w:rPr>
                <w:rFonts w:hint="eastAsia" w:cs="宋体"/>
                <w:b w:val="0"/>
                <w:bCs w:val="0"/>
                <w:sz w:val="21"/>
                <w:szCs w:val="21"/>
                <w:lang w:val="en-US" w:eastAsia="zh-CN"/>
              </w:rPr>
              <w:t>8</w:t>
            </w:r>
          </w:p>
        </w:tc>
        <w:tc>
          <w:tcPr>
            <w:tcW w:w="1473" w:type="dxa"/>
            <w:tcBorders>
              <w:top w:val="single" w:color="auto" w:sz="4" w:space="0"/>
              <w:left w:val="nil"/>
              <w:bottom w:val="single" w:color="auto" w:sz="4" w:space="0"/>
              <w:right w:val="single" w:color="auto" w:sz="4" w:space="0"/>
            </w:tcBorders>
            <w:vAlign w:val="center"/>
          </w:tcPr>
          <w:p>
            <w:pPr>
              <w:pStyle w:val="5"/>
              <w:ind w:left="0" w:leftChars="0"/>
              <w:jc w:val="center"/>
              <w:rPr>
                <w:rFonts w:hint="default" w:ascii="宋体" w:hAnsi="宋体" w:eastAsia="宋体" w:cs="宋体"/>
                <w:b w:val="0"/>
                <w:bCs w:val="0"/>
                <w:kern w:val="2"/>
                <w:sz w:val="21"/>
                <w:szCs w:val="21"/>
                <w:lang w:val="en-US" w:eastAsia="zh-CN" w:bidi="ar-SA"/>
              </w:rPr>
            </w:pPr>
            <w:r>
              <w:rPr>
                <w:rFonts w:hint="eastAsia" w:cs="宋体"/>
                <w:b w:val="0"/>
                <w:bCs w:val="0"/>
                <w:sz w:val="21"/>
                <w:szCs w:val="21"/>
                <w:lang w:val="en-US" w:eastAsia="zh-CN"/>
              </w:rPr>
              <w:t>36</w:t>
            </w:r>
            <w:r>
              <w:rPr>
                <w:rFonts w:hint="eastAsia" w:ascii="宋体" w:hAnsi="宋体" w:eastAsia="宋体" w:cs="宋体"/>
                <w:b w:val="0"/>
                <w:bCs w:val="0"/>
                <w:sz w:val="21"/>
                <w:szCs w:val="21"/>
                <w:lang w:val="en-US" w:eastAsia="zh-CN"/>
              </w:rPr>
              <w:t>0000</w:t>
            </w:r>
            <w:r>
              <w:rPr>
                <w:rFonts w:hint="eastAsia" w:ascii="宋体" w:hAnsi="宋体" w:eastAsia="宋体" w:cs="宋体"/>
                <w:i w:val="0"/>
                <w:iCs w:val="0"/>
                <w:color w:val="000000"/>
                <w:kern w:val="0"/>
                <w:sz w:val="22"/>
                <w:szCs w:val="22"/>
                <w:u w:val="none"/>
                <w:lang w:val="en-US" w:eastAsia="zh-CN" w:bidi="ar"/>
              </w:rPr>
              <w:t>元</w:t>
            </w:r>
          </w:p>
        </w:tc>
        <w:tc>
          <w:tcPr>
            <w:tcW w:w="1554" w:type="dxa"/>
            <w:tcBorders>
              <w:left w:val="nil"/>
              <w:bottom w:val="single" w:color="auto" w:sz="4" w:space="0"/>
              <w:right w:val="single" w:color="auto" w:sz="4" w:space="0"/>
            </w:tcBorders>
          </w:tcPr>
          <w:p>
            <w:pPr>
              <w:pStyle w:val="5"/>
              <w:ind w:left="0" w:leftChars="0"/>
              <w:jc w:val="center"/>
              <w:rPr>
                <w:rFonts w:hint="eastAsia" w:cs="宋体"/>
                <w:b w:val="0"/>
                <w:bCs w:val="0"/>
                <w:sz w:val="21"/>
                <w:szCs w:val="21"/>
                <w:lang w:val="en-US" w:eastAsia="zh-CN"/>
              </w:rPr>
            </w:pPr>
            <w:r>
              <w:rPr>
                <w:rFonts w:hint="eastAsia" w:cs="宋体"/>
                <w:b w:val="0"/>
                <w:bCs w:val="0"/>
                <w:sz w:val="21"/>
                <w:szCs w:val="21"/>
                <w:lang w:val="en-US" w:eastAsia="zh-CN"/>
              </w:rPr>
              <w:t>自筹资金</w:t>
            </w:r>
          </w:p>
        </w:tc>
      </w:tr>
    </w:tbl>
    <w:p>
      <w:pPr>
        <w:pStyle w:val="5"/>
        <w:numPr>
          <w:ilvl w:val="0"/>
          <w:numId w:val="0"/>
        </w:numPr>
        <w:spacing w:after="0"/>
        <w:jc w:val="left"/>
        <w:rPr>
          <w:rFonts w:hint="eastAsia" w:ascii="宋体" w:hAnsi="宋体" w:eastAsia="宋体" w:cs="宋体"/>
          <w:color w:val="auto"/>
          <w:kern w:val="2"/>
          <w:sz w:val="21"/>
          <w:szCs w:val="21"/>
          <w:highlight w:val="none"/>
          <w:lang w:val="en-US" w:eastAsia="zh-CN" w:bidi="ar-SA"/>
        </w:rPr>
      </w:pPr>
      <w:r>
        <w:rPr>
          <w:rFonts w:hint="eastAsia" w:cs="宋体"/>
          <w:color w:val="auto"/>
          <w:kern w:val="2"/>
          <w:sz w:val="21"/>
          <w:szCs w:val="21"/>
          <w:highlight w:val="none"/>
          <w:lang w:val="en-US" w:eastAsia="zh-CN" w:bidi="ar-SA"/>
        </w:rPr>
        <w:t>四</w:t>
      </w:r>
      <w:r>
        <w:rPr>
          <w:rFonts w:hint="eastAsia" w:ascii="宋体" w:hAnsi="宋体" w:eastAsia="宋体" w:cs="宋体"/>
          <w:color w:val="auto"/>
          <w:kern w:val="2"/>
          <w:sz w:val="21"/>
          <w:szCs w:val="21"/>
          <w:highlight w:val="none"/>
          <w:lang w:val="en-US" w:eastAsia="zh-CN" w:bidi="ar-SA"/>
        </w:rPr>
        <w:t>、详细技术要求、参数及产品资料等：</w:t>
      </w:r>
    </w:p>
    <w:tbl>
      <w:tblPr>
        <w:tblStyle w:val="32"/>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026"/>
        <w:gridCol w:w="6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序号</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货物名称</w:t>
            </w:r>
          </w:p>
        </w:tc>
        <w:tc>
          <w:tcPr>
            <w:tcW w:w="674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dxa"/>
            <w:tcBorders>
              <w:left w:val="single" w:color="auto" w:sz="4" w:space="0"/>
              <w:right w:val="single" w:color="auto" w:sz="4" w:space="0"/>
            </w:tcBorders>
            <w:noWrap w:val="0"/>
            <w:vAlign w:val="center"/>
          </w:tcPr>
          <w:p>
            <w:pPr>
              <w:widowControl/>
              <w:spacing w:before="100" w:beforeAutospacing="1" w:after="100" w:afterAutospacing="1" w:line="170" w:lineRule="atLeast"/>
              <w:jc w:val="center"/>
              <w:rPr>
                <w:rFonts w:hint="eastAsia" w:ascii="宋体" w:hAnsi="宋体" w:cs="宋体"/>
                <w:b/>
                <w:color w:val="000000"/>
                <w:kern w:val="0"/>
                <w:szCs w:val="21"/>
              </w:rPr>
            </w:pPr>
            <w:r>
              <w:rPr>
                <w:rFonts w:hint="eastAsia" w:ascii="宋体" w:hAnsi="宋体" w:cs="宋体"/>
                <w:b/>
                <w:color w:val="000000"/>
                <w:kern w:val="0"/>
                <w:szCs w:val="21"/>
              </w:rPr>
              <w:t>1</w:t>
            </w:r>
          </w:p>
        </w:tc>
        <w:tc>
          <w:tcPr>
            <w:tcW w:w="1026" w:type="dxa"/>
            <w:tcBorders>
              <w:left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cs="宋体"/>
                <w:kern w:val="0"/>
                <w:szCs w:val="21"/>
              </w:rPr>
            </w:pPr>
            <w:r>
              <w:rPr>
                <w:rFonts w:hint="eastAsia" w:ascii="宋体" w:hAnsi="宋体" w:cs="宋体"/>
                <w:kern w:val="0"/>
                <w:szCs w:val="21"/>
              </w:rPr>
              <w:t>倒置荧光显微镜</w:t>
            </w:r>
          </w:p>
        </w:tc>
        <w:tc>
          <w:tcPr>
            <w:tcW w:w="6748" w:type="dxa"/>
            <w:noWrap w:val="0"/>
            <w:vAlign w:val="top"/>
          </w:tcPr>
          <w:p>
            <w:pPr>
              <w:spacing w:line="300" w:lineRule="exact"/>
              <w:rPr>
                <w:rFonts w:hint="eastAsia"/>
              </w:rPr>
            </w:pPr>
            <w:r>
              <w:rPr>
                <w:rFonts w:hint="eastAsia"/>
              </w:rPr>
              <w:t>1、观察镜筒：三目镜筒；</w:t>
            </w:r>
          </w:p>
          <w:p>
            <w:pPr>
              <w:spacing w:line="300" w:lineRule="exact"/>
              <w:rPr>
                <w:rFonts w:hint="eastAsia"/>
              </w:rPr>
            </w:pPr>
            <w:r>
              <w:rPr>
                <w:rFonts w:hint="eastAsia"/>
              </w:rPr>
              <w:t>2、荧光照明：120W高强度金属卤素灯荧光光源，足额功率下寿命≥2000小时；</w:t>
            </w:r>
          </w:p>
          <w:p>
            <w:pPr>
              <w:spacing w:line="300" w:lineRule="exact"/>
              <w:rPr>
                <w:rFonts w:hint="eastAsia"/>
              </w:rPr>
            </w:pPr>
            <w:r>
              <w:rPr>
                <w:rFonts w:hint="eastAsia"/>
              </w:rPr>
              <w:t>3、人体工程学倒置显微镜，支持大视野成像；</w:t>
            </w:r>
          </w:p>
          <w:p>
            <w:pPr>
              <w:spacing w:line="300" w:lineRule="exact"/>
              <w:rPr>
                <w:rFonts w:hint="eastAsia"/>
              </w:rPr>
            </w:pPr>
            <w:r>
              <w:rPr>
                <w:rFonts w:hint="eastAsia"/>
              </w:rPr>
              <w:t>4、具有明场,相差,落射荧光功能；</w:t>
            </w:r>
          </w:p>
          <w:p>
            <w:pPr>
              <w:spacing w:line="300" w:lineRule="exact"/>
              <w:rPr>
                <w:rFonts w:hint="eastAsia"/>
              </w:rPr>
            </w:pPr>
            <w:r>
              <w:rPr>
                <w:rFonts w:hint="eastAsia"/>
              </w:rPr>
              <w:t>5、上光路照相分光出口，便于在显微镜两侧留有大的空间进行操作；</w:t>
            </w:r>
          </w:p>
          <w:p>
            <w:pPr>
              <w:spacing w:line="300" w:lineRule="exact"/>
              <w:rPr>
                <w:rFonts w:hint="eastAsia"/>
              </w:rPr>
            </w:pPr>
            <w:r>
              <w:rPr>
                <w:rFonts w:hint="eastAsia"/>
              </w:rPr>
              <w:t>6、光学系统：无限远光学校正系统，国际标准齐焦距离：45mm，螺纹孔径25mm；</w:t>
            </w:r>
          </w:p>
          <w:p>
            <w:pPr>
              <w:spacing w:line="300" w:lineRule="exact"/>
              <w:rPr>
                <w:rFonts w:hint="eastAsia"/>
              </w:rPr>
            </w:pPr>
            <w:r>
              <w:rPr>
                <w:rFonts w:hint="eastAsia"/>
              </w:rPr>
              <w:t>7、透射光照明：长寿命LED光源；</w:t>
            </w:r>
          </w:p>
          <w:p>
            <w:pPr>
              <w:spacing w:line="300" w:lineRule="exact"/>
              <w:rPr>
                <w:rFonts w:hint="eastAsia"/>
              </w:rPr>
            </w:pPr>
            <w:r>
              <w:rPr>
                <w:rFonts w:hint="eastAsia"/>
              </w:rPr>
              <w:t>8、目镜：10X宽视野目镜，屈光度可调；</w:t>
            </w:r>
          </w:p>
          <w:p>
            <w:pPr>
              <w:spacing w:line="300" w:lineRule="exact"/>
              <w:rPr>
                <w:rFonts w:hint="eastAsia"/>
              </w:rPr>
            </w:pPr>
            <w:r>
              <w:rPr>
                <w:rFonts w:hint="eastAsia"/>
              </w:rPr>
              <w:t>9、物镜：配有10X、20X荧光相差物镜</w:t>
            </w:r>
            <w:r>
              <w:rPr>
                <w:rFonts w:hint="eastAsia"/>
              </w:rPr>
              <w:br w:type="textWrapping"/>
            </w:r>
            <w:r>
              <w:rPr>
                <w:rFonts w:hint="eastAsia"/>
              </w:rPr>
              <w:t xml:space="preserve">   10×平场消色差物镜，NA≥0.25；</w:t>
            </w:r>
            <w:r>
              <w:rPr>
                <w:rFonts w:hint="eastAsia"/>
              </w:rPr>
              <w:br w:type="textWrapping"/>
            </w:r>
            <w:r>
              <w:rPr>
                <w:rFonts w:hint="eastAsia"/>
              </w:rPr>
              <w:t xml:space="preserve">   20×平场消色差物镜，NA≥0.35；</w:t>
            </w:r>
          </w:p>
          <w:p>
            <w:pPr>
              <w:spacing w:line="300" w:lineRule="exact"/>
              <w:rPr>
                <w:rFonts w:hint="eastAsia"/>
              </w:rPr>
            </w:pPr>
            <w:r>
              <w:rPr>
                <w:rFonts w:hint="eastAsia"/>
              </w:rPr>
              <w:t>10、荧光滤块内置BG38滤镜，增强荧光强度效果；</w:t>
            </w:r>
          </w:p>
          <w:p>
            <w:pPr>
              <w:spacing w:line="300" w:lineRule="exact"/>
              <w:rPr>
                <w:rFonts w:hint="eastAsia"/>
              </w:rPr>
            </w:pPr>
            <w:r>
              <w:t>★</w:t>
            </w:r>
            <w:r>
              <w:rPr>
                <w:rFonts w:hint="eastAsia"/>
              </w:rPr>
              <w:t>11、荧光激发滤块</w:t>
            </w:r>
          </w:p>
          <w:p>
            <w:pPr>
              <w:spacing w:line="300" w:lineRule="exact"/>
              <w:ind w:firstLine="420" w:firstLineChars="200"/>
              <w:rPr>
                <w:rFonts w:hint="eastAsia"/>
              </w:rPr>
            </w:pPr>
            <w:r>
              <w:rPr>
                <w:rFonts w:hint="eastAsia"/>
              </w:rPr>
              <w:t>UV单色滤块: 激发340-380nm; 阻挡400nm; 发射: 425nm</w:t>
            </w:r>
          </w:p>
          <w:p>
            <w:pPr>
              <w:spacing w:line="300" w:lineRule="exact"/>
              <w:ind w:firstLine="420" w:firstLineChars="200"/>
              <w:rPr>
                <w:rFonts w:hint="eastAsia"/>
              </w:rPr>
            </w:pPr>
            <w:r>
              <w:rPr>
                <w:rFonts w:hint="eastAsia"/>
              </w:rPr>
              <w:t>B单色滤块: 激发450-490nm; 阻挡510nm; 发射: 500-550nm</w:t>
            </w:r>
          </w:p>
          <w:p>
            <w:pPr>
              <w:spacing w:line="300" w:lineRule="exact"/>
            </w:pPr>
            <w:r>
              <w:t>★</w:t>
            </w:r>
            <w:r>
              <w:rPr>
                <w:rFonts w:hint="eastAsia"/>
              </w:rPr>
              <w:t>12、大工作范围三板载物台：行程范围≥110x80mm，载物台手柄和调焦旋钮可一并单手操作，配置不同型号培养皿、培养瓶、培养版插件（4-96孔板），方便使用；</w:t>
            </w:r>
          </w:p>
          <w:p>
            <w:pPr>
              <w:spacing w:line="300" w:lineRule="exact"/>
              <w:rPr>
                <w:rFonts w:hint="eastAsia"/>
              </w:rPr>
            </w:pPr>
            <w:r>
              <w:t>★</w:t>
            </w:r>
            <w:r>
              <w:rPr>
                <w:rFonts w:hint="eastAsia"/>
              </w:rPr>
              <w:t>13、所有激发块通过统一激光校正，确保硬件零像素漂移, 保证拍摄多色荧光照片没有位移和变形。</w:t>
            </w:r>
          </w:p>
          <w:p>
            <w:pPr>
              <w:spacing w:line="300" w:lineRule="exact"/>
            </w:pPr>
            <w:r>
              <w:rPr>
                <w:rFonts w:ascii="Segoe UI Symbol" w:hAnsi="Segoe UI Symbol" w:cs="Segoe UI Symbol"/>
              </w:rPr>
              <w:t>★</w:t>
            </w:r>
            <w:r>
              <w:rPr>
                <w:rFonts w:hint="eastAsia"/>
              </w:rPr>
              <w:t>14、进口品牌。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8" w:hRule="atLeast"/>
        </w:trPr>
        <w:tc>
          <w:tcPr>
            <w:tcW w:w="460" w:type="dxa"/>
            <w:tcBorders>
              <w:left w:val="single" w:color="auto" w:sz="4" w:space="0"/>
              <w:right w:val="single" w:color="auto" w:sz="4" w:space="0"/>
            </w:tcBorders>
            <w:noWrap w:val="0"/>
            <w:vAlign w:val="center"/>
          </w:tcPr>
          <w:p>
            <w:pPr>
              <w:widowControl/>
              <w:spacing w:before="100" w:beforeAutospacing="1" w:after="100" w:afterAutospacing="1" w:line="170" w:lineRule="atLeast"/>
              <w:jc w:val="center"/>
              <w:rPr>
                <w:rFonts w:hint="eastAsia" w:ascii="宋体" w:hAnsi="宋体" w:cs="宋体"/>
                <w:b/>
                <w:color w:val="000000"/>
                <w:kern w:val="0"/>
                <w:szCs w:val="21"/>
              </w:rPr>
            </w:pPr>
            <w:r>
              <w:rPr>
                <w:rFonts w:hint="eastAsia" w:ascii="宋体" w:hAnsi="宋体" w:cs="宋体"/>
                <w:b/>
                <w:color w:val="000000"/>
                <w:kern w:val="0"/>
                <w:szCs w:val="21"/>
              </w:rPr>
              <w:t>2</w:t>
            </w:r>
          </w:p>
        </w:tc>
        <w:tc>
          <w:tcPr>
            <w:tcW w:w="1026" w:type="dxa"/>
            <w:tcBorders>
              <w:left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cs="宋体"/>
                <w:kern w:val="0"/>
                <w:szCs w:val="21"/>
              </w:rPr>
            </w:pPr>
            <w:r>
              <w:rPr>
                <w:rFonts w:hint="eastAsia" w:ascii="宋体" w:hAnsi="宋体" w:cs="宋体"/>
                <w:kern w:val="0"/>
                <w:szCs w:val="21"/>
              </w:rPr>
              <w:t>酶标仪</w:t>
            </w:r>
          </w:p>
        </w:tc>
        <w:tc>
          <w:tcPr>
            <w:tcW w:w="6748" w:type="dxa"/>
            <w:noWrap w:val="0"/>
            <w:vAlign w:val="center"/>
          </w:tcPr>
          <w:p>
            <w:pPr>
              <w:spacing w:line="300" w:lineRule="exact"/>
              <w:rPr>
                <w:rFonts w:hint="eastAsia" w:ascii="宋体" w:hAnsi="宋体"/>
                <w:kern w:val="0"/>
                <w:szCs w:val="21"/>
              </w:rPr>
            </w:pPr>
            <w:r>
              <w:rPr>
                <w:rFonts w:hint="eastAsia" w:ascii="宋体" w:hAnsi="宋体"/>
                <w:kern w:val="0"/>
                <w:szCs w:val="21"/>
              </w:rPr>
              <w:t>1、检测通道：≥8通道</w:t>
            </w:r>
          </w:p>
          <w:p>
            <w:pPr>
              <w:spacing w:line="300" w:lineRule="exact"/>
              <w:rPr>
                <w:rFonts w:hint="eastAsia" w:ascii="宋体" w:hAnsi="宋体"/>
                <w:kern w:val="0"/>
                <w:szCs w:val="21"/>
              </w:rPr>
            </w:pPr>
            <w:r>
              <w:rPr>
                <w:rFonts w:ascii="宋体" w:hAnsi="宋体"/>
                <w:kern w:val="0"/>
                <w:szCs w:val="21"/>
              </w:rPr>
              <w:t>★</w:t>
            </w:r>
            <w:r>
              <w:rPr>
                <w:rFonts w:hint="eastAsia" w:ascii="宋体" w:hAnsi="宋体"/>
                <w:kern w:val="0"/>
                <w:szCs w:val="21"/>
              </w:rPr>
              <w:t>2、检测光源：双LED冷光源</w:t>
            </w:r>
          </w:p>
          <w:p>
            <w:pPr>
              <w:spacing w:line="300" w:lineRule="exact"/>
              <w:rPr>
                <w:rFonts w:hint="eastAsia" w:ascii="宋体" w:hAnsi="宋体"/>
                <w:kern w:val="0"/>
                <w:szCs w:val="21"/>
              </w:rPr>
            </w:pPr>
            <w:r>
              <w:rPr>
                <w:rFonts w:hint="eastAsia" w:ascii="宋体" w:hAnsi="宋体"/>
                <w:kern w:val="0"/>
                <w:szCs w:val="21"/>
              </w:rPr>
              <w:t>3、检测方法：终点法</w:t>
            </w:r>
          </w:p>
          <w:p>
            <w:pPr>
              <w:spacing w:line="300" w:lineRule="exact"/>
              <w:rPr>
                <w:rFonts w:hint="eastAsia" w:ascii="宋体" w:hAnsi="宋体"/>
                <w:kern w:val="0"/>
                <w:szCs w:val="21"/>
              </w:rPr>
            </w:pPr>
            <w:r>
              <w:rPr>
                <w:rFonts w:ascii="宋体" w:hAnsi="宋体"/>
                <w:kern w:val="0"/>
                <w:szCs w:val="21"/>
              </w:rPr>
              <w:t>★</w:t>
            </w:r>
            <w:r>
              <w:rPr>
                <w:rFonts w:hint="eastAsia" w:ascii="宋体" w:hAnsi="宋体"/>
                <w:kern w:val="0"/>
                <w:szCs w:val="21"/>
              </w:rPr>
              <w:t>4、重复性：＜±0.2%。</w:t>
            </w:r>
          </w:p>
          <w:p>
            <w:pPr>
              <w:spacing w:line="300" w:lineRule="exact"/>
              <w:rPr>
                <w:rFonts w:hint="eastAsia" w:ascii="宋体" w:hAnsi="宋体"/>
                <w:kern w:val="0"/>
                <w:szCs w:val="21"/>
              </w:rPr>
            </w:pPr>
            <w:r>
              <w:rPr>
                <w:rFonts w:hint="eastAsia" w:ascii="宋体" w:hAnsi="宋体"/>
                <w:kern w:val="0"/>
                <w:szCs w:val="21"/>
              </w:rPr>
              <w:t>5、线性：在0.000-3.000 OD时，小于0.5%。</w:t>
            </w:r>
          </w:p>
          <w:p>
            <w:pPr>
              <w:spacing w:line="300" w:lineRule="exact"/>
              <w:rPr>
                <w:rFonts w:hint="eastAsia" w:ascii="宋体" w:hAnsi="宋体"/>
                <w:kern w:val="0"/>
                <w:szCs w:val="21"/>
              </w:rPr>
            </w:pPr>
            <w:r>
              <w:rPr>
                <w:rFonts w:hint="eastAsia" w:ascii="宋体" w:hAnsi="宋体"/>
                <w:kern w:val="0"/>
                <w:szCs w:val="21"/>
              </w:rPr>
              <w:t>6、准确性：在1.000 OD时，相对误差为±0.5%。</w:t>
            </w:r>
          </w:p>
          <w:p>
            <w:pPr>
              <w:spacing w:line="300" w:lineRule="exact"/>
              <w:rPr>
                <w:rFonts w:ascii="宋体" w:hAnsi="宋体"/>
                <w:kern w:val="0"/>
                <w:szCs w:val="21"/>
                <w:highlight w:val="green"/>
              </w:rPr>
            </w:pPr>
            <w:r>
              <w:rPr>
                <w:rFonts w:ascii="宋体" w:hAnsi="宋体"/>
                <w:kern w:val="0"/>
                <w:szCs w:val="21"/>
              </w:rPr>
              <w:t>★</w:t>
            </w:r>
            <w:r>
              <w:rPr>
                <w:rFonts w:hint="eastAsia" w:ascii="宋体" w:hAnsi="宋体"/>
                <w:kern w:val="0"/>
                <w:szCs w:val="21"/>
              </w:rPr>
              <w:t>7、测量时间：单波长≤3s/96孔，双波长≤6s/96孔。</w:t>
            </w:r>
          </w:p>
          <w:p>
            <w:pPr>
              <w:spacing w:line="300" w:lineRule="exact"/>
              <w:rPr>
                <w:rFonts w:hint="eastAsia" w:ascii="宋体" w:hAnsi="宋体"/>
                <w:kern w:val="0"/>
                <w:szCs w:val="21"/>
              </w:rPr>
            </w:pPr>
            <w:r>
              <w:rPr>
                <w:rFonts w:ascii="宋体" w:hAnsi="宋体"/>
                <w:kern w:val="0"/>
                <w:szCs w:val="21"/>
              </w:rPr>
              <w:t>★</w:t>
            </w:r>
            <w:r>
              <w:rPr>
                <w:rFonts w:hint="eastAsia" w:ascii="宋体" w:hAnsi="宋体"/>
                <w:kern w:val="0"/>
                <w:szCs w:val="21"/>
              </w:rPr>
              <w:t>8、滤光片：最多8个，标配405nm、450nm、492nm、630nm</w:t>
            </w:r>
          </w:p>
          <w:p>
            <w:pPr>
              <w:spacing w:line="300" w:lineRule="exact"/>
              <w:rPr>
                <w:rFonts w:hint="eastAsia" w:ascii="宋体" w:hAnsi="宋体"/>
                <w:kern w:val="0"/>
                <w:szCs w:val="21"/>
              </w:rPr>
            </w:pPr>
            <w:r>
              <w:rPr>
                <w:rFonts w:hint="eastAsia" w:ascii="宋体" w:hAnsi="宋体"/>
                <w:kern w:val="0"/>
                <w:szCs w:val="21"/>
              </w:rPr>
              <w:t>9、端口配置：RS232和USB</w:t>
            </w:r>
          </w:p>
          <w:p>
            <w:pPr>
              <w:spacing w:line="300" w:lineRule="exact"/>
              <w:rPr>
                <w:rFonts w:hint="eastAsia" w:ascii="宋体" w:hAnsi="宋体"/>
                <w:kern w:val="0"/>
                <w:szCs w:val="21"/>
              </w:rPr>
            </w:pPr>
            <w:r>
              <w:rPr>
                <w:rFonts w:hint="eastAsia" w:ascii="宋体" w:hAnsi="宋体"/>
                <w:kern w:val="0"/>
                <w:szCs w:val="21"/>
              </w:rPr>
              <w:t>10、功能</w:t>
            </w:r>
          </w:p>
          <w:p>
            <w:pPr>
              <w:spacing w:line="300" w:lineRule="exact"/>
              <w:rPr>
                <w:rFonts w:hint="eastAsia" w:ascii="宋体" w:hAnsi="宋体"/>
                <w:kern w:val="0"/>
                <w:szCs w:val="21"/>
              </w:rPr>
            </w:pPr>
            <w:r>
              <w:rPr>
                <w:rFonts w:hint="eastAsia" w:ascii="宋体" w:hAnsi="宋体"/>
                <w:kern w:val="0"/>
                <w:szCs w:val="21"/>
              </w:rPr>
              <w:t xml:space="preserve">   a）可测定96孔（8×12）或48孔（4×12）微孔板；</w:t>
            </w:r>
          </w:p>
          <w:p>
            <w:pPr>
              <w:spacing w:line="300" w:lineRule="exact"/>
              <w:rPr>
                <w:rFonts w:hint="eastAsia" w:ascii="宋体" w:hAnsi="宋体"/>
                <w:kern w:val="0"/>
                <w:szCs w:val="21"/>
              </w:rPr>
            </w:pPr>
            <w:r>
              <w:rPr>
                <w:rFonts w:hint="eastAsia" w:ascii="宋体" w:hAnsi="宋体"/>
                <w:kern w:val="0"/>
                <w:szCs w:val="21"/>
              </w:rPr>
              <w:t xml:space="preserve">   b）振荡频率三档可调，振荡时间可调。</w:t>
            </w:r>
          </w:p>
          <w:p>
            <w:pPr>
              <w:spacing w:line="300" w:lineRule="exact"/>
              <w:rPr>
                <w:rFonts w:hint="eastAsia" w:ascii="宋体" w:hAnsi="宋体"/>
                <w:szCs w:val="21"/>
              </w:rPr>
            </w:pPr>
            <w:r>
              <w:rPr>
                <w:rFonts w:hint="eastAsia" w:ascii="宋体" w:hAnsi="宋体"/>
                <w:kern w:val="0"/>
                <w:szCs w:val="21"/>
              </w:rPr>
              <w:t>11、酶标仪控制及分析管理系统软件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460" w:type="dxa"/>
            <w:tcBorders>
              <w:left w:val="single" w:color="auto" w:sz="4" w:space="0"/>
              <w:right w:val="single" w:color="auto" w:sz="4" w:space="0"/>
            </w:tcBorders>
            <w:noWrap w:val="0"/>
            <w:vAlign w:val="center"/>
          </w:tcPr>
          <w:p>
            <w:pPr>
              <w:widowControl/>
              <w:spacing w:before="100" w:beforeAutospacing="1" w:after="100" w:afterAutospacing="1" w:line="170" w:lineRule="atLeast"/>
              <w:jc w:val="center"/>
              <w:rPr>
                <w:rFonts w:hint="eastAsia" w:ascii="宋体" w:hAnsi="宋体" w:cs="宋体"/>
                <w:b/>
                <w:color w:val="000000"/>
                <w:kern w:val="0"/>
                <w:szCs w:val="21"/>
              </w:rPr>
            </w:pPr>
            <w:r>
              <w:rPr>
                <w:rFonts w:hint="eastAsia" w:ascii="宋体" w:hAnsi="宋体" w:cs="宋体"/>
                <w:b/>
                <w:color w:val="000000"/>
                <w:kern w:val="0"/>
                <w:szCs w:val="21"/>
              </w:rPr>
              <w:t>3</w:t>
            </w:r>
          </w:p>
        </w:tc>
        <w:tc>
          <w:tcPr>
            <w:tcW w:w="1026" w:type="dxa"/>
            <w:tcBorders>
              <w:left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cs="宋体"/>
                <w:kern w:val="0"/>
                <w:szCs w:val="21"/>
              </w:rPr>
            </w:pPr>
            <w:r>
              <w:rPr>
                <w:rFonts w:hint="eastAsia" w:ascii="宋体" w:hAnsi="宋体" w:cs="宋体"/>
                <w:kern w:val="0"/>
                <w:szCs w:val="21"/>
              </w:rPr>
              <w:t>洗板机</w:t>
            </w:r>
          </w:p>
        </w:tc>
        <w:tc>
          <w:tcPr>
            <w:tcW w:w="6748" w:type="dxa"/>
            <w:noWrap w:val="0"/>
            <w:vAlign w:val="center"/>
          </w:tcPr>
          <w:p>
            <w:pPr>
              <w:spacing w:line="300" w:lineRule="exact"/>
              <w:rPr>
                <w:rFonts w:hint="eastAsia" w:ascii="宋体" w:hAnsi="宋体"/>
                <w:kern w:val="0"/>
                <w:szCs w:val="21"/>
              </w:rPr>
            </w:pPr>
            <w:r>
              <w:rPr>
                <w:rFonts w:ascii="宋体" w:hAnsi="宋体"/>
                <w:kern w:val="0"/>
                <w:szCs w:val="21"/>
              </w:rPr>
              <w:t>★</w:t>
            </w:r>
            <w:r>
              <w:rPr>
                <w:rFonts w:hint="eastAsia" w:ascii="宋体" w:hAnsi="宋体"/>
                <w:kern w:val="0"/>
                <w:szCs w:val="21"/>
              </w:rPr>
              <w:t>1、残液量:≤1μl/孔</w:t>
            </w:r>
          </w:p>
          <w:p>
            <w:pPr>
              <w:spacing w:line="300" w:lineRule="exact"/>
              <w:rPr>
                <w:rFonts w:hint="eastAsia" w:ascii="宋体" w:hAnsi="宋体"/>
                <w:kern w:val="0"/>
                <w:szCs w:val="21"/>
              </w:rPr>
            </w:pPr>
            <w:r>
              <w:rPr>
                <w:rFonts w:ascii="宋体" w:hAnsi="宋体"/>
                <w:kern w:val="0"/>
                <w:szCs w:val="21"/>
              </w:rPr>
              <w:t>★</w:t>
            </w:r>
            <w:r>
              <w:rPr>
                <w:rFonts w:hint="eastAsia" w:ascii="宋体" w:hAnsi="宋体"/>
                <w:kern w:val="0"/>
                <w:szCs w:val="21"/>
              </w:rPr>
              <w:t>2、注液准确度：CV≤3%（在注液量300μl/孔时）</w:t>
            </w:r>
          </w:p>
          <w:p>
            <w:pPr>
              <w:spacing w:line="300" w:lineRule="exact"/>
              <w:rPr>
                <w:rFonts w:hint="eastAsia" w:ascii="宋体" w:hAnsi="宋体"/>
                <w:kern w:val="0"/>
                <w:szCs w:val="21"/>
              </w:rPr>
            </w:pPr>
            <w:r>
              <w:rPr>
                <w:rFonts w:hint="eastAsia" w:ascii="宋体" w:hAnsi="宋体"/>
                <w:kern w:val="0"/>
                <w:szCs w:val="21"/>
              </w:rPr>
              <w:t>3、注液量：50-12000ul，调整步距为50μL；注液强度可调</w:t>
            </w:r>
          </w:p>
          <w:p>
            <w:pPr>
              <w:spacing w:line="300" w:lineRule="exact"/>
              <w:rPr>
                <w:rFonts w:hint="eastAsia" w:ascii="宋体" w:hAnsi="宋体"/>
                <w:kern w:val="0"/>
                <w:szCs w:val="21"/>
              </w:rPr>
            </w:pPr>
            <w:r>
              <w:rPr>
                <w:rFonts w:ascii="宋体" w:hAnsi="宋体"/>
                <w:kern w:val="0"/>
                <w:szCs w:val="21"/>
              </w:rPr>
              <w:t>★</w:t>
            </w:r>
            <w:r>
              <w:rPr>
                <w:rFonts w:hint="eastAsia" w:ascii="宋体" w:hAnsi="宋体"/>
                <w:kern w:val="0"/>
                <w:szCs w:val="21"/>
              </w:rPr>
              <w:t>4、清洗头：96针，双微孔板，条式可控制</w:t>
            </w:r>
          </w:p>
          <w:p>
            <w:pPr>
              <w:spacing w:line="300" w:lineRule="exact"/>
              <w:rPr>
                <w:rFonts w:hint="eastAsia" w:ascii="宋体" w:hAnsi="宋体"/>
                <w:kern w:val="0"/>
                <w:szCs w:val="21"/>
              </w:rPr>
            </w:pPr>
            <w:r>
              <w:rPr>
                <w:rFonts w:hint="eastAsia" w:ascii="宋体" w:hAnsi="宋体"/>
                <w:kern w:val="0"/>
                <w:szCs w:val="21"/>
              </w:rPr>
              <w:t>5、洗液通道：3个进液通道1个废液通道</w:t>
            </w:r>
          </w:p>
          <w:p>
            <w:pPr>
              <w:spacing w:line="300" w:lineRule="exact"/>
              <w:rPr>
                <w:rFonts w:hint="eastAsia" w:ascii="宋体" w:hAnsi="宋体"/>
                <w:kern w:val="0"/>
                <w:szCs w:val="21"/>
              </w:rPr>
            </w:pPr>
            <w:r>
              <w:rPr>
                <w:rFonts w:hint="eastAsia" w:ascii="宋体" w:hAnsi="宋体"/>
                <w:kern w:val="0"/>
                <w:szCs w:val="21"/>
              </w:rPr>
              <w:t>6、适用微孔板：96孔、平底、U型底、V型底</w:t>
            </w:r>
          </w:p>
          <w:p>
            <w:pPr>
              <w:spacing w:line="300" w:lineRule="exact"/>
              <w:rPr>
                <w:rFonts w:hint="eastAsia" w:ascii="宋体" w:hAnsi="宋体"/>
                <w:kern w:val="0"/>
                <w:szCs w:val="21"/>
              </w:rPr>
            </w:pPr>
            <w:r>
              <w:rPr>
                <w:rFonts w:hint="eastAsia" w:ascii="宋体" w:hAnsi="宋体"/>
                <w:kern w:val="0"/>
                <w:szCs w:val="21"/>
              </w:rPr>
              <w:t>7、洗板模式：单板、双板两种清洗模式</w:t>
            </w:r>
          </w:p>
          <w:p>
            <w:pPr>
              <w:spacing w:line="300" w:lineRule="exact"/>
              <w:rPr>
                <w:rFonts w:hint="eastAsia" w:ascii="宋体" w:hAnsi="宋体"/>
                <w:kern w:val="0"/>
                <w:szCs w:val="21"/>
              </w:rPr>
            </w:pPr>
            <w:r>
              <w:rPr>
                <w:rFonts w:hint="eastAsia" w:ascii="宋体" w:hAnsi="宋体"/>
                <w:kern w:val="0"/>
                <w:szCs w:val="21"/>
              </w:rPr>
              <w:t>8、清洗次数：1-200次可调</w:t>
            </w:r>
          </w:p>
          <w:p>
            <w:pPr>
              <w:spacing w:line="300" w:lineRule="exact"/>
              <w:rPr>
                <w:rFonts w:hint="eastAsia" w:ascii="宋体" w:hAnsi="宋体"/>
                <w:kern w:val="0"/>
                <w:szCs w:val="21"/>
              </w:rPr>
            </w:pPr>
            <w:r>
              <w:rPr>
                <w:rFonts w:hint="eastAsia" w:ascii="宋体" w:hAnsi="宋体"/>
                <w:kern w:val="0"/>
                <w:szCs w:val="21"/>
              </w:rPr>
              <w:t>9、清洗排数：1-12排任意可选</w:t>
            </w:r>
          </w:p>
          <w:p>
            <w:pPr>
              <w:spacing w:line="300" w:lineRule="exact"/>
              <w:rPr>
                <w:rFonts w:hint="eastAsia" w:ascii="宋体" w:hAnsi="宋体"/>
                <w:kern w:val="0"/>
                <w:szCs w:val="21"/>
              </w:rPr>
            </w:pPr>
            <w:r>
              <w:rPr>
                <w:rFonts w:hint="eastAsia" w:ascii="宋体" w:hAnsi="宋体"/>
                <w:kern w:val="0"/>
                <w:szCs w:val="21"/>
              </w:rPr>
              <w:t>10、浸泡和振动时间：0-999s连续可调，步进1秒</w:t>
            </w:r>
          </w:p>
          <w:p>
            <w:pPr>
              <w:spacing w:line="300" w:lineRule="exact"/>
              <w:rPr>
                <w:rFonts w:hint="eastAsia" w:ascii="宋体" w:hAnsi="宋体"/>
                <w:szCs w:val="21"/>
              </w:rPr>
            </w:pPr>
            <w:r>
              <w:rPr>
                <w:rFonts w:hint="eastAsia" w:ascii="宋体" w:hAnsi="宋体"/>
                <w:kern w:val="0"/>
                <w:szCs w:val="21"/>
              </w:rPr>
              <w:t>11、冲洗模式可选：自动、手动两种冲洗模式可选择。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460" w:type="dxa"/>
            <w:tcBorders>
              <w:left w:val="single" w:color="auto" w:sz="4" w:space="0"/>
              <w:right w:val="single" w:color="auto" w:sz="4" w:space="0"/>
            </w:tcBorders>
            <w:noWrap w:val="0"/>
            <w:vAlign w:val="center"/>
          </w:tcPr>
          <w:p>
            <w:pPr>
              <w:widowControl/>
              <w:spacing w:before="100" w:beforeAutospacing="1" w:after="100" w:afterAutospacing="1" w:line="170" w:lineRule="atLeast"/>
              <w:jc w:val="center"/>
              <w:rPr>
                <w:rFonts w:hint="eastAsia" w:ascii="宋体" w:hAnsi="宋体" w:cs="宋体"/>
                <w:b/>
                <w:color w:val="000000"/>
                <w:kern w:val="0"/>
                <w:szCs w:val="21"/>
              </w:rPr>
            </w:pPr>
            <w:r>
              <w:rPr>
                <w:rFonts w:hint="eastAsia" w:ascii="宋体" w:hAnsi="宋体" w:cs="宋体"/>
                <w:b/>
                <w:color w:val="000000"/>
                <w:kern w:val="0"/>
                <w:szCs w:val="21"/>
              </w:rPr>
              <w:t>4</w:t>
            </w:r>
          </w:p>
        </w:tc>
        <w:tc>
          <w:tcPr>
            <w:tcW w:w="1026" w:type="dxa"/>
            <w:tcBorders>
              <w:left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cs="宋体"/>
                <w:kern w:val="0"/>
                <w:szCs w:val="21"/>
              </w:rPr>
            </w:pPr>
            <w:r>
              <w:rPr>
                <w:rFonts w:hint="eastAsia" w:ascii="宋体" w:hAnsi="宋体" w:cs="宋体"/>
                <w:kern w:val="0"/>
                <w:szCs w:val="21"/>
              </w:rPr>
              <w:t>恒温培养箱</w:t>
            </w:r>
          </w:p>
        </w:tc>
        <w:tc>
          <w:tcPr>
            <w:tcW w:w="6748" w:type="dxa"/>
            <w:noWrap w:val="0"/>
            <w:vAlign w:val="center"/>
          </w:tcPr>
          <w:p>
            <w:pPr>
              <w:spacing w:line="300" w:lineRule="exact"/>
              <w:rPr>
                <w:rFonts w:hint="eastAsia" w:ascii="宋体" w:hAnsi="宋体"/>
                <w:kern w:val="0"/>
                <w:szCs w:val="21"/>
              </w:rPr>
            </w:pPr>
            <w:r>
              <w:t>★</w:t>
            </w:r>
            <w:r>
              <w:rPr>
                <w:rFonts w:hint="eastAsia" w:ascii="宋体" w:hAnsi="宋体"/>
                <w:kern w:val="0"/>
                <w:szCs w:val="21"/>
              </w:rPr>
              <w:t>1、温度范围：RT+5-60°C</w:t>
            </w:r>
          </w:p>
          <w:p>
            <w:pPr>
              <w:spacing w:line="300" w:lineRule="exact"/>
              <w:rPr>
                <w:rFonts w:hint="eastAsia" w:ascii="宋体" w:hAnsi="宋体"/>
                <w:kern w:val="0"/>
                <w:szCs w:val="21"/>
              </w:rPr>
            </w:pPr>
            <w:r>
              <w:rPr>
                <w:rFonts w:hint="eastAsia" w:ascii="宋体" w:hAnsi="宋体"/>
                <w:kern w:val="0"/>
                <w:szCs w:val="21"/>
              </w:rPr>
              <w:t>2、温度均匀度：≤2.0°C （at 37°C）</w:t>
            </w:r>
          </w:p>
          <w:p>
            <w:pPr>
              <w:spacing w:line="300" w:lineRule="exact"/>
              <w:rPr>
                <w:rFonts w:hint="eastAsia" w:ascii="宋体" w:hAnsi="宋体"/>
                <w:kern w:val="0"/>
                <w:szCs w:val="21"/>
              </w:rPr>
            </w:pPr>
            <w:r>
              <w:rPr>
                <w:rFonts w:hint="eastAsia" w:ascii="宋体" w:hAnsi="宋体"/>
                <w:kern w:val="0"/>
                <w:szCs w:val="21"/>
              </w:rPr>
              <w:t>3、温度波动度：±0.5℃</w:t>
            </w:r>
          </w:p>
          <w:p>
            <w:pPr>
              <w:spacing w:line="300" w:lineRule="exact"/>
              <w:rPr>
                <w:rFonts w:ascii="宋体" w:hAnsi="宋体"/>
                <w:kern w:val="0"/>
                <w:szCs w:val="21"/>
              </w:rPr>
            </w:pPr>
            <w:r>
              <w:rPr>
                <w:rFonts w:hint="eastAsia" w:ascii="宋体" w:hAnsi="宋体"/>
                <w:kern w:val="0"/>
                <w:szCs w:val="21"/>
              </w:rPr>
              <w:t>4、内腔容积：≥50 L</w:t>
            </w:r>
          </w:p>
          <w:p>
            <w:pPr>
              <w:spacing w:line="300" w:lineRule="exact"/>
              <w:rPr>
                <w:rFonts w:hint="eastAsia" w:ascii="宋体" w:hAnsi="宋体"/>
                <w:szCs w:val="21"/>
              </w:rPr>
            </w:pPr>
            <w:r>
              <w:rPr>
                <w:rFonts w:hint="eastAsia" w:ascii="宋体" w:hAnsi="宋体"/>
                <w:kern w:val="0"/>
                <w:szCs w:val="21"/>
              </w:rPr>
              <w:t>5、层架数（标配数目）：≥2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460" w:type="dxa"/>
            <w:tcBorders>
              <w:left w:val="single" w:color="auto" w:sz="4" w:space="0"/>
              <w:right w:val="single" w:color="auto" w:sz="4" w:space="0"/>
            </w:tcBorders>
            <w:noWrap w:val="0"/>
            <w:vAlign w:val="center"/>
          </w:tcPr>
          <w:p>
            <w:pPr>
              <w:widowControl/>
              <w:spacing w:before="100" w:beforeAutospacing="1" w:after="100" w:afterAutospacing="1" w:line="170" w:lineRule="atLeast"/>
              <w:jc w:val="center"/>
              <w:rPr>
                <w:rFonts w:hint="eastAsia" w:ascii="宋体" w:hAnsi="宋体" w:cs="宋体"/>
                <w:b/>
                <w:color w:val="000000"/>
                <w:kern w:val="0"/>
                <w:szCs w:val="21"/>
              </w:rPr>
            </w:pPr>
            <w:r>
              <w:rPr>
                <w:rFonts w:hint="eastAsia" w:ascii="宋体" w:hAnsi="宋体" w:cs="宋体"/>
                <w:b/>
                <w:color w:val="000000"/>
                <w:kern w:val="0"/>
                <w:szCs w:val="21"/>
              </w:rPr>
              <w:t>5</w:t>
            </w:r>
          </w:p>
        </w:tc>
        <w:tc>
          <w:tcPr>
            <w:tcW w:w="1026" w:type="dxa"/>
            <w:tcBorders>
              <w:left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cs="宋体"/>
                <w:kern w:val="0"/>
                <w:szCs w:val="21"/>
              </w:rPr>
            </w:pPr>
            <w:r>
              <w:rPr>
                <w:rFonts w:hint="eastAsia" w:ascii="宋体" w:hAnsi="宋体" w:cs="宋体"/>
                <w:kern w:val="0"/>
                <w:szCs w:val="21"/>
              </w:rPr>
              <w:t>水浴箱</w:t>
            </w:r>
          </w:p>
        </w:tc>
        <w:tc>
          <w:tcPr>
            <w:tcW w:w="6748" w:type="dxa"/>
            <w:noWrap w:val="0"/>
            <w:vAlign w:val="center"/>
          </w:tcPr>
          <w:p>
            <w:pPr>
              <w:spacing w:line="300" w:lineRule="exact"/>
              <w:rPr>
                <w:rFonts w:hint="eastAsia" w:ascii="宋体" w:hAnsi="宋体"/>
                <w:kern w:val="0"/>
                <w:szCs w:val="21"/>
              </w:rPr>
            </w:pPr>
            <w:r>
              <w:rPr>
                <w:rFonts w:hint="eastAsia" w:ascii="宋体" w:hAnsi="宋体"/>
                <w:kern w:val="0"/>
                <w:szCs w:val="21"/>
                <w:lang w:val="en-US" w:eastAsia="zh-CN"/>
              </w:rPr>
              <w:t>1</w:t>
            </w:r>
            <w:r>
              <w:rPr>
                <w:rFonts w:hint="eastAsia" w:ascii="宋体" w:hAnsi="宋体"/>
                <w:kern w:val="0"/>
                <w:szCs w:val="21"/>
              </w:rPr>
              <w:t>、数显、微电脑控制，带定时功能</w:t>
            </w:r>
          </w:p>
          <w:p>
            <w:pPr>
              <w:spacing w:line="300" w:lineRule="exact"/>
              <w:rPr>
                <w:rFonts w:hint="eastAsia" w:ascii="宋体" w:hAnsi="宋体"/>
                <w:kern w:val="0"/>
                <w:szCs w:val="21"/>
              </w:rPr>
            </w:pPr>
            <w:r>
              <w:rPr>
                <w:rFonts w:hint="eastAsia" w:ascii="宋体" w:hAnsi="宋体"/>
                <w:kern w:val="0"/>
                <w:szCs w:val="21"/>
                <w:lang w:val="en-US" w:eastAsia="zh-CN"/>
              </w:rPr>
              <w:t>2</w:t>
            </w:r>
            <w:r>
              <w:rPr>
                <w:rFonts w:hint="eastAsia" w:ascii="宋体" w:hAnsi="宋体"/>
                <w:kern w:val="0"/>
                <w:szCs w:val="21"/>
              </w:rPr>
              <w:t>、超温声光跟踪报警，使样品得到可靠保护</w:t>
            </w:r>
          </w:p>
          <w:p>
            <w:pPr>
              <w:spacing w:line="300" w:lineRule="exact"/>
              <w:rPr>
                <w:rFonts w:hint="eastAsia" w:ascii="宋体" w:hAnsi="宋体"/>
                <w:kern w:val="0"/>
                <w:szCs w:val="21"/>
              </w:rPr>
            </w:pPr>
            <w:r>
              <w:t>★</w:t>
            </w:r>
            <w:r>
              <w:rPr>
                <w:rFonts w:hint="eastAsia" w:ascii="宋体" w:hAnsi="宋体"/>
                <w:kern w:val="0"/>
                <w:szCs w:val="21"/>
                <w:lang w:val="en-US" w:eastAsia="zh-CN"/>
              </w:rPr>
              <w:t>3</w:t>
            </w:r>
            <w:r>
              <w:rPr>
                <w:rFonts w:hint="eastAsia" w:ascii="宋体" w:hAnsi="宋体"/>
                <w:kern w:val="0"/>
                <w:szCs w:val="21"/>
              </w:rPr>
              <w:t>、控温范围：RT+5～65℃</w:t>
            </w:r>
          </w:p>
          <w:p>
            <w:pPr>
              <w:spacing w:line="300" w:lineRule="exact"/>
              <w:rPr>
                <w:rFonts w:hint="eastAsia" w:ascii="宋体" w:hAnsi="宋体"/>
                <w:kern w:val="0"/>
                <w:szCs w:val="21"/>
              </w:rPr>
            </w:pPr>
            <w:r>
              <w:rPr>
                <w:rFonts w:hint="eastAsia" w:ascii="宋体" w:hAnsi="宋体"/>
                <w:kern w:val="0"/>
                <w:szCs w:val="21"/>
                <w:lang w:val="en-US" w:eastAsia="zh-CN"/>
              </w:rPr>
              <w:t>4</w:t>
            </w:r>
            <w:r>
              <w:rPr>
                <w:rFonts w:hint="eastAsia" w:ascii="宋体" w:hAnsi="宋体"/>
                <w:kern w:val="0"/>
                <w:szCs w:val="21"/>
              </w:rPr>
              <w:t>、恒温波动度：±0.</w:t>
            </w:r>
            <w:r>
              <w:rPr>
                <w:rFonts w:ascii="宋体" w:hAnsi="宋体"/>
                <w:kern w:val="0"/>
                <w:szCs w:val="21"/>
              </w:rPr>
              <w:t>3</w:t>
            </w:r>
            <w:r>
              <w:rPr>
                <w:rFonts w:hint="eastAsia" w:ascii="宋体" w:hAnsi="宋体"/>
                <w:kern w:val="0"/>
                <w:szCs w:val="21"/>
              </w:rPr>
              <w:t>℃</w:t>
            </w:r>
          </w:p>
          <w:p>
            <w:pPr>
              <w:spacing w:line="300" w:lineRule="exact"/>
              <w:rPr>
                <w:rFonts w:hint="eastAsia" w:ascii="宋体" w:hAnsi="宋体"/>
                <w:kern w:val="0"/>
                <w:szCs w:val="21"/>
              </w:rPr>
            </w:pPr>
            <w:r>
              <w:rPr>
                <w:rFonts w:hint="eastAsia" w:ascii="宋体" w:hAnsi="宋体"/>
                <w:kern w:val="0"/>
                <w:szCs w:val="21"/>
                <w:lang w:val="en-US" w:eastAsia="zh-CN"/>
              </w:rPr>
              <w:t>5</w:t>
            </w:r>
            <w:r>
              <w:rPr>
                <w:rFonts w:hint="eastAsia" w:ascii="宋体" w:hAnsi="宋体"/>
                <w:kern w:val="0"/>
                <w:szCs w:val="21"/>
              </w:rPr>
              <w:t>、分辨率：0.1℃</w:t>
            </w:r>
          </w:p>
          <w:p>
            <w:pPr>
              <w:spacing w:line="300" w:lineRule="exact"/>
              <w:rPr>
                <w:rFonts w:hint="eastAsia" w:ascii="宋体" w:hAnsi="宋体"/>
                <w:szCs w:val="21"/>
              </w:rPr>
            </w:pPr>
            <w:r>
              <w:rPr>
                <w:rFonts w:hint="eastAsia" w:ascii="宋体" w:hAnsi="宋体"/>
                <w:kern w:val="0"/>
                <w:szCs w:val="21"/>
                <w:lang w:val="en-US" w:eastAsia="zh-CN"/>
              </w:rPr>
              <w:t>6</w:t>
            </w:r>
            <w:r>
              <w:rPr>
                <w:rFonts w:hint="eastAsia" w:ascii="宋体" w:hAnsi="宋体"/>
                <w:kern w:val="0"/>
                <w:szCs w:val="21"/>
              </w:rPr>
              <w:t>、容积≥30L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60" w:type="dxa"/>
            <w:tcBorders>
              <w:left w:val="single" w:color="auto" w:sz="4" w:space="0"/>
              <w:right w:val="single" w:color="auto" w:sz="4" w:space="0"/>
            </w:tcBorders>
            <w:noWrap w:val="0"/>
            <w:vAlign w:val="center"/>
          </w:tcPr>
          <w:p>
            <w:pPr>
              <w:widowControl/>
              <w:spacing w:before="100" w:beforeAutospacing="1" w:after="100" w:afterAutospacing="1" w:line="170" w:lineRule="atLeast"/>
              <w:jc w:val="center"/>
              <w:rPr>
                <w:rFonts w:hint="eastAsia" w:ascii="宋体" w:hAnsi="宋体" w:cs="宋体"/>
                <w:b/>
                <w:color w:val="000000"/>
                <w:kern w:val="0"/>
                <w:szCs w:val="21"/>
              </w:rPr>
            </w:pPr>
            <w:r>
              <w:rPr>
                <w:rFonts w:hint="eastAsia" w:ascii="宋体" w:hAnsi="宋体" w:cs="宋体"/>
                <w:b/>
                <w:color w:val="000000"/>
                <w:kern w:val="0"/>
                <w:szCs w:val="21"/>
              </w:rPr>
              <w:t>6</w:t>
            </w:r>
          </w:p>
        </w:tc>
        <w:tc>
          <w:tcPr>
            <w:tcW w:w="1026" w:type="dxa"/>
            <w:tcBorders>
              <w:left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cs="宋体"/>
                <w:kern w:val="0"/>
                <w:szCs w:val="21"/>
              </w:rPr>
            </w:pPr>
            <w:r>
              <w:rPr>
                <w:rFonts w:hint="eastAsia" w:ascii="宋体" w:hAnsi="宋体" w:cs="宋体"/>
                <w:kern w:val="0"/>
                <w:szCs w:val="21"/>
              </w:rPr>
              <w:t>低速离心机</w:t>
            </w:r>
          </w:p>
        </w:tc>
        <w:tc>
          <w:tcPr>
            <w:tcW w:w="6748" w:type="dxa"/>
            <w:noWrap w:val="0"/>
            <w:vAlign w:val="center"/>
          </w:tcPr>
          <w:p>
            <w:pPr>
              <w:spacing w:line="300" w:lineRule="exact"/>
              <w:rPr>
                <w:rFonts w:hint="eastAsia" w:ascii="宋体" w:hAnsi="宋体"/>
                <w:kern w:val="0"/>
                <w:szCs w:val="21"/>
              </w:rPr>
            </w:pPr>
            <w:r>
              <w:t>★</w:t>
            </w:r>
            <w:r>
              <w:rPr>
                <w:rFonts w:hint="eastAsia" w:ascii="宋体" w:hAnsi="宋体"/>
                <w:kern w:val="0"/>
                <w:szCs w:val="21"/>
              </w:rPr>
              <w:t>1、设备最高转速≥5800rpm ，最大相对离心力≥5000xg，转速精度：±10rpm</w:t>
            </w:r>
          </w:p>
          <w:p>
            <w:pPr>
              <w:numPr>
                <w:ilvl w:val="0"/>
                <w:numId w:val="1"/>
              </w:numPr>
              <w:spacing w:line="300" w:lineRule="exact"/>
              <w:rPr>
                <w:rFonts w:hint="eastAsia" w:ascii="宋体" w:hAnsi="宋体"/>
                <w:kern w:val="0"/>
                <w:szCs w:val="21"/>
              </w:rPr>
            </w:pPr>
            <w:r>
              <w:rPr>
                <w:rFonts w:hint="eastAsia" w:ascii="宋体" w:hAnsi="宋体"/>
                <w:kern w:val="0"/>
                <w:szCs w:val="21"/>
              </w:rPr>
              <w:t>驱动与控制：微电脑控制；无碳刷交流变频电机驱动，使用专用驱动模块。</w:t>
            </w:r>
          </w:p>
          <w:p>
            <w:pPr>
              <w:spacing w:line="300" w:lineRule="exact"/>
              <w:rPr>
                <w:rFonts w:hint="eastAsia" w:ascii="宋体" w:hAnsi="宋体"/>
                <w:kern w:val="0"/>
                <w:szCs w:val="21"/>
              </w:rPr>
            </w:pPr>
            <w:r>
              <w:rPr>
                <w:rFonts w:hint="eastAsia" w:ascii="宋体" w:hAnsi="宋体"/>
                <w:kern w:val="0"/>
                <w:szCs w:val="21"/>
              </w:rPr>
              <w:t>3、直接设定：工作程序、离心力、转速、离心时间、升降速且与转子型号同步显示</w:t>
            </w:r>
          </w:p>
          <w:p>
            <w:pPr>
              <w:spacing w:line="300" w:lineRule="exact"/>
              <w:rPr>
                <w:rFonts w:hint="eastAsia" w:ascii="宋体" w:hAnsi="宋体"/>
                <w:kern w:val="0"/>
                <w:szCs w:val="21"/>
              </w:rPr>
            </w:pPr>
            <w:r>
              <w:rPr>
                <w:rFonts w:hint="eastAsia" w:ascii="宋体" w:hAnsi="宋体"/>
                <w:kern w:val="0"/>
                <w:szCs w:val="21"/>
              </w:rPr>
              <w:t>4、工作程序选择：20组</w:t>
            </w:r>
          </w:p>
          <w:p>
            <w:pPr>
              <w:spacing w:line="300" w:lineRule="exact"/>
              <w:rPr>
                <w:rFonts w:hint="eastAsia" w:ascii="宋体" w:hAnsi="宋体"/>
                <w:kern w:val="0"/>
                <w:szCs w:val="21"/>
                <w:highlight w:val="green"/>
              </w:rPr>
            </w:pPr>
            <w:r>
              <w:rPr>
                <w:rFonts w:hint="eastAsia" w:ascii="宋体" w:hAnsi="宋体"/>
                <w:kern w:val="0"/>
                <w:szCs w:val="21"/>
              </w:rPr>
              <w:t>5、升降速档：10加速档/10减速档</w:t>
            </w:r>
          </w:p>
          <w:p>
            <w:pPr>
              <w:spacing w:line="300" w:lineRule="exact"/>
              <w:rPr>
                <w:rFonts w:hint="eastAsia" w:ascii="宋体" w:hAnsi="宋体"/>
                <w:kern w:val="0"/>
                <w:szCs w:val="21"/>
              </w:rPr>
            </w:pPr>
            <w:r>
              <w:rPr>
                <w:rFonts w:hint="eastAsia" w:ascii="宋体" w:hAnsi="宋体"/>
                <w:kern w:val="0"/>
                <w:szCs w:val="21"/>
              </w:rPr>
              <w:t>6、具有定速计时（at set rpm）、启动计时能：具备</w:t>
            </w:r>
          </w:p>
          <w:p>
            <w:pPr>
              <w:spacing w:line="300" w:lineRule="exact"/>
              <w:rPr>
                <w:rFonts w:hint="eastAsia" w:ascii="宋体" w:hAnsi="宋体"/>
                <w:kern w:val="0"/>
                <w:szCs w:val="21"/>
              </w:rPr>
            </w:pPr>
            <w:r>
              <w:rPr>
                <w:rFonts w:hint="eastAsia" w:ascii="宋体" w:hAnsi="宋体"/>
                <w:kern w:val="0"/>
                <w:szCs w:val="21"/>
              </w:rPr>
              <w:t>7、RCF设定与显示：直接设定离心力、转速且同屏显示</w:t>
            </w:r>
          </w:p>
          <w:p>
            <w:pPr>
              <w:spacing w:line="300" w:lineRule="exact"/>
              <w:rPr>
                <w:rFonts w:hint="eastAsia" w:ascii="宋体" w:hAnsi="宋体"/>
                <w:kern w:val="0"/>
                <w:szCs w:val="21"/>
              </w:rPr>
            </w:pPr>
            <w:r>
              <w:t>★</w:t>
            </w:r>
            <w:r>
              <w:rPr>
                <w:rFonts w:hint="eastAsia" w:ascii="宋体" w:hAnsi="宋体"/>
                <w:kern w:val="0"/>
                <w:szCs w:val="21"/>
              </w:rPr>
              <w:t>8、定时范围1min～999min/连续/瞬时离心</w:t>
            </w:r>
          </w:p>
          <w:p>
            <w:pPr>
              <w:spacing w:line="300" w:lineRule="exact"/>
              <w:rPr>
                <w:rFonts w:hint="eastAsia" w:ascii="宋体" w:hAnsi="宋体"/>
                <w:kern w:val="0"/>
                <w:szCs w:val="21"/>
              </w:rPr>
            </w:pPr>
            <w:r>
              <w:rPr>
                <w:rFonts w:hint="eastAsia" w:ascii="宋体" w:hAnsi="宋体"/>
                <w:kern w:val="0"/>
                <w:szCs w:val="21"/>
              </w:rPr>
              <w:t>9、噪音≤60dB</w:t>
            </w:r>
          </w:p>
          <w:p>
            <w:pPr>
              <w:spacing w:line="300" w:lineRule="exact"/>
              <w:rPr>
                <w:rFonts w:hint="eastAsia" w:ascii="宋体" w:hAnsi="宋体"/>
                <w:kern w:val="0"/>
                <w:szCs w:val="21"/>
              </w:rPr>
            </w:pPr>
            <w:r>
              <w:rPr>
                <w:rFonts w:hint="eastAsia" w:ascii="宋体" w:hAnsi="宋体"/>
                <w:kern w:val="0"/>
                <w:szCs w:val="21"/>
              </w:rPr>
              <w:t>10、安全措施：钢制结构，不锈钢离心腔；电动安全门锁；不平衡保护，出错或不平衡时，声音信号提示；自动失衡识别</w:t>
            </w:r>
          </w:p>
          <w:p>
            <w:pPr>
              <w:spacing w:line="300" w:lineRule="exact"/>
              <w:rPr>
                <w:rFonts w:hint="eastAsia" w:ascii="宋体" w:hAnsi="宋体"/>
                <w:kern w:val="0"/>
                <w:szCs w:val="21"/>
              </w:rPr>
            </w:pPr>
            <w:r>
              <w:rPr>
                <w:rFonts w:hint="eastAsia" w:ascii="宋体" w:hAnsi="宋体"/>
                <w:kern w:val="0"/>
                <w:szCs w:val="21"/>
              </w:rPr>
              <w:t>11、具有SOFT软刹车功能和多级阻尼减震设计</w:t>
            </w:r>
          </w:p>
          <w:p>
            <w:pPr>
              <w:spacing w:line="300" w:lineRule="exact"/>
              <w:rPr>
                <w:rFonts w:hint="eastAsia" w:ascii="宋体" w:hAnsi="宋体"/>
                <w:kern w:val="0"/>
                <w:szCs w:val="21"/>
              </w:rPr>
            </w:pPr>
            <w:r>
              <w:rPr>
                <w:rFonts w:hint="eastAsia" w:ascii="宋体" w:hAnsi="宋体"/>
                <w:kern w:val="0"/>
                <w:szCs w:val="21"/>
              </w:rPr>
              <w:t>12、配置：N01水平转子体：100mlx4  4500rpm  3645xg</w:t>
            </w:r>
          </w:p>
          <w:p>
            <w:pPr>
              <w:spacing w:line="300" w:lineRule="exact"/>
              <w:rPr>
                <w:rFonts w:hint="eastAsia" w:ascii="宋体" w:hAnsi="宋体"/>
                <w:szCs w:val="21"/>
              </w:rPr>
            </w:pPr>
            <w:r>
              <w:rPr>
                <w:rFonts w:hint="eastAsia" w:ascii="宋体" w:hAnsi="宋体"/>
                <w:kern w:val="0"/>
                <w:szCs w:val="21"/>
              </w:rPr>
              <w:t xml:space="preserve">    适配器：50mlx8  15mlx24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460" w:type="dxa"/>
            <w:tcBorders>
              <w:left w:val="single" w:color="auto" w:sz="4" w:space="0"/>
              <w:right w:val="single" w:color="auto" w:sz="4" w:space="0"/>
            </w:tcBorders>
            <w:noWrap w:val="0"/>
            <w:vAlign w:val="center"/>
          </w:tcPr>
          <w:p>
            <w:pPr>
              <w:widowControl/>
              <w:spacing w:before="100" w:beforeAutospacing="1" w:after="100" w:afterAutospacing="1" w:line="170" w:lineRule="atLeast"/>
              <w:jc w:val="center"/>
              <w:rPr>
                <w:rFonts w:hint="eastAsia" w:ascii="宋体" w:hAnsi="宋体" w:cs="宋体"/>
                <w:b/>
                <w:color w:val="000000"/>
                <w:kern w:val="0"/>
                <w:szCs w:val="21"/>
              </w:rPr>
            </w:pPr>
            <w:r>
              <w:rPr>
                <w:rFonts w:hint="eastAsia" w:ascii="宋体" w:hAnsi="宋体" w:cs="宋体"/>
                <w:b/>
                <w:color w:val="000000"/>
                <w:kern w:val="0"/>
                <w:szCs w:val="21"/>
              </w:rPr>
              <w:t>7</w:t>
            </w:r>
          </w:p>
        </w:tc>
        <w:tc>
          <w:tcPr>
            <w:tcW w:w="1026" w:type="dxa"/>
            <w:tcBorders>
              <w:left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cs="宋体"/>
                <w:kern w:val="0"/>
                <w:szCs w:val="21"/>
              </w:rPr>
            </w:pPr>
            <w:r>
              <w:rPr>
                <w:rFonts w:hint="eastAsia" w:ascii="宋体" w:hAnsi="宋体" w:cs="宋体"/>
                <w:kern w:val="0"/>
                <w:szCs w:val="21"/>
              </w:rPr>
              <w:t>负20℃低温冰箱</w:t>
            </w:r>
          </w:p>
        </w:tc>
        <w:tc>
          <w:tcPr>
            <w:tcW w:w="6748" w:type="dxa"/>
            <w:noWrap w:val="0"/>
            <w:vAlign w:val="center"/>
          </w:tcPr>
          <w:p>
            <w:pPr>
              <w:spacing w:line="300" w:lineRule="exact"/>
              <w:rPr>
                <w:rFonts w:hint="eastAsia" w:ascii="宋体" w:hAnsi="宋体"/>
                <w:kern w:val="0"/>
                <w:szCs w:val="21"/>
              </w:rPr>
            </w:pPr>
            <w:r>
              <w:t>★</w:t>
            </w:r>
            <w:r>
              <w:rPr>
                <w:rFonts w:hint="eastAsia" w:ascii="宋体" w:hAnsi="宋体"/>
                <w:kern w:val="0"/>
                <w:szCs w:val="21"/>
              </w:rPr>
              <w:t xml:space="preserve">1、有效容积≥200L； </w:t>
            </w:r>
          </w:p>
          <w:p>
            <w:pPr>
              <w:spacing w:line="300" w:lineRule="exact"/>
              <w:rPr>
                <w:rFonts w:hint="eastAsia" w:ascii="宋体" w:hAnsi="宋体"/>
                <w:kern w:val="0"/>
                <w:szCs w:val="21"/>
              </w:rPr>
            </w:pPr>
            <w:r>
              <w:t>★</w:t>
            </w:r>
            <w:r>
              <w:rPr>
                <w:rFonts w:hint="eastAsia" w:ascii="宋体" w:hAnsi="宋体"/>
                <w:kern w:val="0"/>
                <w:szCs w:val="21"/>
              </w:rPr>
              <w:t>2、温度控制：微电脑控制、温度数字显示，箱内温度-10℃~-25℃可调，精度0.1℃；</w:t>
            </w:r>
          </w:p>
          <w:p>
            <w:pPr>
              <w:spacing w:line="300" w:lineRule="exact"/>
              <w:rPr>
                <w:rFonts w:hint="eastAsia" w:ascii="宋体" w:hAnsi="宋体"/>
                <w:kern w:val="0"/>
                <w:szCs w:val="21"/>
              </w:rPr>
            </w:pPr>
            <w:r>
              <w:rPr>
                <w:rFonts w:hint="eastAsia" w:ascii="宋体" w:hAnsi="宋体"/>
                <w:kern w:val="0"/>
                <w:szCs w:val="21"/>
              </w:rPr>
              <w:t>3、安全系统：≥两种故障报警（高低温报警、传感器故障报警），≥两种报警方式（声音蜂鸣报警、灯光闪烁报警）；</w:t>
            </w:r>
          </w:p>
          <w:p>
            <w:pPr>
              <w:spacing w:line="300" w:lineRule="exact"/>
              <w:rPr>
                <w:rFonts w:hint="eastAsia" w:ascii="宋体" w:hAnsi="宋体"/>
                <w:kern w:val="0"/>
                <w:szCs w:val="21"/>
              </w:rPr>
            </w:pPr>
            <w:r>
              <w:rPr>
                <w:rFonts w:hint="eastAsia" w:ascii="宋体" w:hAnsi="宋体"/>
                <w:kern w:val="0"/>
                <w:szCs w:val="21"/>
              </w:rPr>
              <w:t>4、制冷剂：采用碳氢制冷剂，绿色无氟、节能环保；</w:t>
            </w:r>
          </w:p>
          <w:p>
            <w:pPr>
              <w:spacing w:line="300" w:lineRule="exact"/>
              <w:rPr>
                <w:rFonts w:hint="eastAsia" w:ascii="宋体" w:hAnsi="宋体"/>
                <w:kern w:val="0"/>
                <w:szCs w:val="21"/>
              </w:rPr>
            </w:pPr>
            <w:r>
              <w:rPr>
                <w:rFonts w:hint="eastAsia" w:ascii="宋体" w:hAnsi="宋体"/>
                <w:kern w:val="0"/>
                <w:szCs w:val="21"/>
              </w:rPr>
              <w:t>5、制冷系统：采用国际知名品牌压缩机、冷凝风机。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rPr>
        <w:tc>
          <w:tcPr>
            <w:tcW w:w="460" w:type="dxa"/>
            <w:tcBorders>
              <w:left w:val="single" w:color="auto" w:sz="4" w:space="0"/>
              <w:right w:val="single" w:color="auto" w:sz="4" w:space="0"/>
            </w:tcBorders>
            <w:noWrap w:val="0"/>
            <w:vAlign w:val="center"/>
          </w:tcPr>
          <w:p>
            <w:pPr>
              <w:widowControl/>
              <w:spacing w:before="100" w:beforeAutospacing="1" w:after="100" w:afterAutospacing="1" w:line="170" w:lineRule="atLeast"/>
              <w:jc w:val="center"/>
              <w:rPr>
                <w:rFonts w:hint="eastAsia" w:ascii="宋体" w:hAnsi="宋体" w:cs="宋体"/>
                <w:b/>
                <w:color w:val="000000"/>
                <w:kern w:val="0"/>
                <w:szCs w:val="21"/>
              </w:rPr>
            </w:pPr>
            <w:r>
              <w:rPr>
                <w:rFonts w:hint="eastAsia" w:ascii="宋体" w:hAnsi="宋体" w:cs="宋体"/>
                <w:b/>
                <w:color w:val="000000"/>
                <w:kern w:val="0"/>
                <w:szCs w:val="21"/>
              </w:rPr>
              <w:t>8</w:t>
            </w:r>
          </w:p>
        </w:tc>
        <w:tc>
          <w:tcPr>
            <w:tcW w:w="1026" w:type="dxa"/>
            <w:tcBorders>
              <w:left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cs="宋体"/>
                <w:kern w:val="0"/>
                <w:szCs w:val="21"/>
              </w:rPr>
            </w:pPr>
            <w:r>
              <w:rPr>
                <w:rFonts w:hint="eastAsia" w:ascii="宋体" w:hAnsi="宋体" w:cs="宋体"/>
                <w:kern w:val="0"/>
                <w:szCs w:val="21"/>
              </w:rPr>
              <w:t>2-8度医用冷藏冰箱</w:t>
            </w:r>
          </w:p>
        </w:tc>
        <w:tc>
          <w:tcPr>
            <w:tcW w:w="6748" w:type="dxa"/>
            <w:noWrap w:val="0"/>
            <w:vAlign w:val="center"/>
          </w:tcPr>
          <w:p>
            <w:pPr>
              <w:spacing w:line="300" w:lineRule="exact"/>
              <w:rPr>
                <w:rFonts w:hint="eastAsia"/>
              </w:rPr>
            </w:pPr>
            <w:r>
              <w:t>★</w:t>
            </w:r>
            <w:r>
              <w:rPr>
                <w:rFonts w:hint="eastAsia"/>
              </w:rPr>
              <w:t xml:space="preserve">1、有效容积≥300L； </w:t>
            </w:r>
          </w:p>
          <w:p>
            <w:pPr>
              <w:spacing w:line="300" w:lineRule="exact"/>
              <w:rPr>
                <w:rFonts w:hint="eastAsia"/>
              </w:rPr>
            </w:pPr>
            <w:r>
              <w:t>★</w:t>
            </w:r>
            <w:r>
              <w:rPr>
                <w:rFonts w:hint="eastAsia"/>
              </w:rPr>
              <w:t xml:space="preserve">2、温度控制：微电脑控制，数字温度显示，箱内温度2℃~8℃可调，精度0.1℃； </w:t>
            </w:r>
          </w:p>
          <w:p>
            <w:pPr>
              <w:spacing w:line="300" w:lineRule="exact"/>
              <w:rPr>
                <w:rFonts w:hint="eastAsia"/>
              </w:rPr>
            </w:pPr>
            <w:r>
              <w:rPr>
                <w:rFonts w:hint="eastAsia"/>
              </w:rPr>
              <w:t>3安全系统：≥两种故障报警（高低温报警、传感器故障报警），≥两种报警方式（声音蜂鸣报警、灯光闪烁报警）；</w:t>
            </w:r>
          </w:p>
          <w:p>
            <w:pPr>
              <w:spacing w:line="300" w:lineRule="exact"/>
              <w:rPr>
                <w:rFonts w:hint="eastAsia"/>
              </w:rPr>
            </w:pPr>
            <w:r>
              <w:rPr>
                <w:rFonts w:hint="eastAsia"/>
              </w:rPr>
              <w:t>4、网架：≥5层浸塑网架，搁架配有插卡槽，可调高度，带标识条；</w:t>
            </w:r>
          </w:p>
        </w:tc>
      </w:tr>
    </w:tbl>
    <w:p>
      <w:pPr>
        <w:pStyle w:val="5"/>
        <w:numPr>
          <w:ilvl w:val="0"/>
          <w:numId w:val="0"/>
        </w:numPr>
        <w:spacing w:after="0"/>
        <w:jc w:val="left"/>
        <w:rPr>
          <w:rFonts w:hint="eastAsia" w:ascii="宋体" w:hAnsi="宋体" w:eastAsia="宋体" w:cs="宋体"/>
          <w:color w:val="auto"/>
          <w:kern w:val="2"/>
          <w:sz w:val="21"/>
          <w:szCs w:val="21"/>
          <w:highlight w:val="none"/>
          <w:lang w:val="en-US" w:eastAsia="zh-CN" w:bidi="ar-SA"/>
        </w:rPr>
      </w:pPr>
      <w:r>
        <w:rPr>
          <w:rFonts w:hint="eastAsia" w:cs="宋体"/>
          <w:color w:val="auto"/>
          <w:kern w:val="2"/>
          <w:sz w:val="21"/>
          <w:szCs w:val="21"/>
          <w:highlight w:val="none"/>
          <w:lang w:val="en-US" w:eastAsia="zh-CN" w:bidi="ar-SA"/>
        </w:rPr>
        <w:t>五</w:t>
      </w:r>
      <w:r>
        <w:rPr>
          <w:rFonts w:hint="eastAsia" w:ascii="宋体" w:hAnsi="宋体" w:eastAsia="宋体" w:cs="宋体"/>
          <w:color w:val="auto"/>
          <w:kern w:val="2"/>
          <w:sz w:val="21"/>
          <w:szCs w:val="21"/>
          <w:highlight w:val="none"/>
          <w:lang w:val="en-US" w:eastAsia="zh-CN" w:bidi="ar-SA"/>
        </w:rPr>
        <w:t>、售后服务条件及交货日期（或工期）：</w:t>
      </w:r>
    </w:p>
    <w:p>
      <w:pPr>
        <w:widowControl/>
        <w:adjustRightInd w:val="0"/>
        <w:snapToGrid w:val="0"/>
        <w:spacing w:line="360" w:lineRule="auto"/>
        <w:jc w:val="left"/>
        <w:rPr>
          <w:rFonts w:ascii="宋体" w:hAnsi="宋体"/>
          <w:sz w:val="28"/>
          <w:szCs w:val="28"/>
          <w:u w:val="single"/>
        </w:rPr>
      </w:pPr>
      <w:r>
        <w:rPr>
          <w:rFonts w:hint="eastAsia" w:ascii="宋体" w:hAnsi="宋体" w:eastAsia="宋体" w:cs="宋体"/>
          <w:color w:val="auto"/>
          <w:kern w:val="2"/>
          <w:sz w:val="21"/>
          <w:szCs w:val="21"/>
          <w:highlight w:val="none"/>
          <w:lang w:val="en-US" w:eastAsia="zh-CN" w:bidi="ar-SA"/>
        </w:rPr>
        <w:t xml:space="preserve">自验收合格之日起设备质保期不低于1年； 合同签订之日起120日历天内交货安装完毕。     </w:t>
      </w:r>
      <w:r>
        <w:rPr>
          <w:rFonts w:hint="eastAsia" w:ascii="宋体" w:hAnsi="宋体" w:eastAsia="宋体" w:cs="宋体"/>
          <w:color w:val="auto"/>
          <w:szCs w:val="21"/>
          <w:highlight w:val="none"/>
        </w:rPr>
        <w:t xml:space="preserve"> </w:t>
      </w:r>
    </w:p>
    <w:p/>
    <w:p>
      <w:pPr>
        <w:pStyle w:val="5"/>
        <w:numPr>
          <w:ilvl w:val="0"/>
          <w:numId w:val="0"/>
        </w:numPr>
        <w:spacing w:after="0"/>
        <w:ind w:left="36" w:leftChars="0"/>
        <w:jc w:val="left"/>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br w:type="page"/>
      </w:r>
    </w:p>
    <w:bookmarkEnd w:id="35"/>
    <w:bookmarkEnd w:id="36"/>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6"/>
        <w:gridCol w:w="7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日历日</w:t>
            </w:r>
            <w:r>
              <w:rPr>
                <w:rFonts w:hint="eastAsia" w:ascii="宋体" w:hAnsi="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Cs w:val="21"/>
                <w:highlight w:val="none"/>
                <w:lang w:val="en-US" w:eastAsia="zh-CN"/>
              </w:rPr>
            </w:pPr>
            <w:r>
              <w:rPr>
                <w:rFonts w:hint="eastAsia" w:ascii="宋体" w:hAnsi="宋体" w:eastAsia="宋体" w:cs="宋体"/>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质保期</w:t>
            </w:r>
          </w:p>
        </w:tc>
        <w:tc>
          <w:tcPr>
            <w:tcW w:w="735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hint="eastAsia" w:ascii="宋体" w:hAnsi="宋体" w:cs="宋体"/>
                <w:color w:val="auto"/>
                <w:kern w:val="0"/>
                <w:szCs w:val="21"/>
                <w:highlight w:val="none"/>
              </w:rPr>
            </w:pPr>
            <w:r>
              <w:rPr>
                <w:rFonts w:hint="eastAsia" w:ascii="宋体" w:hAnsi="宋体" w:eastAsia="宋体" w:cs="宋体"/>
                <w:b w:val="0"/>
                <w:bCs w:val="0"/>
                <w:sz w:val="21"/>
                <w:szCs w:val="21"/>
              </w:rPr>
              <w:t>自验收合格之日起设备质保期不低于</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合同履行期限</w:t>
            </w:r>
          </w:p>
        </w:tc>
        <w:tc>
          <w:tcPr>
            <w:tcW w:w="735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hint="eastAsia" w:ascii="宋体" w:hAnsi="宋体" w:cs="宋体"/>
                <w:color w:val="auto"/>
                <w:kern w:val="0"/>
                <w:szCs w:val="21"/>
                <w:highlight w:val="none"/>
              </w:rPr>
            </w:pPr>
            <w:r>
              <w:rPr>
                <w:rFonts w:hint="eastAsia" w:ascii="宋体" w:hAnsi="宋体" w:eastAsia="宋体" w:cs="宋体"/>
                <w:b w:val="0"/>
                <w:bCs w:val="0"/>
                <w:sz w:val="21"/>
                <w:szCs w:val="21"/>
              </w:rPr>
              <w:t>合同签订之日起</w:t>
            </w:r>
            <w:r>
              <w:rPr>
                <w:rFonts w:hint="eastAsia" w:ascii="宋体" w:hAnsi="宋体" w:eastAsia="宋体" w:cs="宋体"/>
                <w:b w:val="0"/>
                <w:bCs w:val="0"/>
                <w:sz w:val="21"/>
                <w:szCs w:val="21"/>
                <w:lang w:val="en-US" w:eastAsia="zh-CN"/>
              </w:rPr>
              <w:t>120</w:t>
            </w:r>
            <w:r>
              <w:rPr>
                <w:rFonts w:hint="eastAsia" w:ascii="宋体" w:hAnsi="宋体" w:eastAsia="宋体" w:cs="宋体"/>
                <w:b w:val="0"/>
                <w:bCs w:val="0"/>
                <w:sz w:val="21"/>
                <w:szCs w:val="21"/>
              </w:rPr>
              <w:t>日历天内交货安装完毕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以供货合同签订为准。</w:t>
            </w:r>
          </w:p>
        </w:tc>
      </w:tr>
    </w:tbl>
    <w:p>
      <w:pPr>
        <w:pStyle w:val="2"/>
        <w:ind w:firstLine="0" w:firstLineChars="0"/>
        <w:rPr>
          <w:color w:val="auto"/>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2"/>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、授权评标委员会确定一名中标人并推荐两名中标候选人。</w:t>
            </w:r>
          </w:p>
          <w:p>
            <w:pPr>
              <w:widowControl/>
              <w:snapToGrid w:val="0"/>
              <w:spacing w:line="360" w:lineRule="auto"/>
              <w:rPr>
                <w:rFonts w:hint="eastAsia" w:ascii="宋体" w:hAnsi="宋体" w:eastAsia="宋体" w:cs="宋体"/>
                <w:color w:val="auto"/>
                <w:spacing w:val="14"/>
                <w:szCs w:val="21"/>
                <w:highlight w:val="none"/>
                <w:lang w:val="en-US" w:eastAsia="zh-CN"/>
              </w:rPr>
            </w:pPr>
            <w:r>
              <w:rPr>
                <w:rFonts w:hint="eastAsia"/>
                <w:color w:val="auto"/>
                <w:sz w:val="21"/>
                <w:szCs w:val="21"/>
                <w:highlight w:val="none"/>
                <w:lang w:val="en-US" w:eastAsia="zh-CN"/>
              </w:rPr>
              <w:t>3</w:t>
            </w:r>
            <w:r>
              <w:rPr>
                <w:rFonts w:hint="eastAsia"/>
                <w:color w:val="auto"/>
                <w:sz w:val="21"/>
                <w:szCs w:val="21"/>
                <w:highlight w:val="none"/>
              </w:rPr>
              <w:t>、</w:t>
            </w:r>
            <w:r>
              <w:rPr>
                <w:rFonts w:hint="eastAsia" w:ascii="宋体" w:hAnsi="宋体" w:cs="宋体"/>
                <w:color w:val="auto"/>
                <w:spacing w:val="14"/>
                <w:szCs w:val="21"/>
                <w:highlight w:val="none"/>
              </w:rPr>
              <w:t>供应商应根据</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文件的要求提供技术响应表、商务响应表等内容以对</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文件作出响应。</w:t>
            </w:r>
          </w:p>
        </w:tc>
      </w:tr>
    </w:tbl>
    <w:p>
      <w:pPr>
        <w:rPr>
          <w:color w:val="auto"/>
          <w:highlight w:val="none"/>
        </w:rPr>
      </w:pPr>
    </w:p>
    <w:p>
      <w:pPr>
        <w:rPr>
          <w:color w:val="auto"/>
          <w:highlight w:val="none"/>
        </w:rPr>
      </w:pPr>
    </w:p>
    <w:p>
      <w:pPr>
        <w:rPr>
          <w:color w:val="auto"/>
          <w:sz w:val="32"/>
          <w:szCs w:val="32"/>
          <w:highlight w:val="none"/>
        </w:rPr>
      </w:pPr>
      <w:r>
        <w:rPr>
          <w:color w:val="auto"/>
          <w:sz w:val="32"/>
          <w:szCs w:val="32"/>
          <w:highlight w:val="none"/>
        </w:rPr>
        <w:br w:type="page"/>
      </w:r>
    </w:p>
    <w:p>
      <w:pPr>
        <w:rPr>
          <w:color w:val="auto"/>
          <w:highlight w:val="none"/>
        </w:rPr>
      </w:pPr>
    </w:p>
    <w:p>
      <w:pPr>
        <w:pStyle w:val="7"/>
        <w:spacing w:before="0" w:after="0" w:line="240" w:lineRule="atLeast"/>
        <w:jc w:val="center"/>
        <w:rPr>
          <w:color w:val="auto"/>
          <w:sz w:val="32"/>
          <w:szCs w:val="32"/>
          <w:highlight w:val="none"/>
        </w:rPr>
      </w:pPr>
      <w:bookmarkStart w:id="40" w:name="_Toc14504"/>
      <w:r>
        <w:rPr>
          <w:rFonts w:hint="eastAsia"/>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rPr>
            </w:pPr>
            <w:r>
              <w:rPr>
                <w:rFonts w:hint="eastAsia"/>
                <w:color w:val="auto"/>
                <w:highlight w:val="none"/>
              </w:rPr>
              <w:t>1.1 项目名称：</w:t>
            </w:r>
            <w:r>
              <w:rPr>
                <w:rFonts w:hint="eastAsia" w:ascii="宋体" w:hAnsi="宋体" w:eastAsia="宋体" w:cs="宋体"/>
                <w:color w:val="auto"/>
              </w:rPr>
              <w:t>驻马店市中心医院</w:t>
            </w:r>
            <w:r>
              <w:rPr>
                <w:rFonts w:hint="eastAsia" w:ascii="宋体" w:hAnsi="宋体" w:cs="宋体"/>
                <w:color w:val="auto"/>
                <w:lang w:eastAsia="zh-CN"/>
              </w:rPr>
              <w:t>神经内科实验室设备</w:t>
            </w:r>
            <w:r>
              <w:rPr>
                <w:rFonts w:hint="eastAsia" w:ascii="宋体" w:hAnsi="宋体" w:eastAsia="宋体" w:cs="宋体"/>
                <w:color w:val="auto"/>
                <w:lang w:eastAsia="zh-CN"/>
              </w:rPr>
              <w:t>采购</w:t>
            </w:r>
            <w:r>
              <w:rPr>
                <w:rFonts w:hint="eastAsia" w:ascii="宋体" w:hAnsi="宋体" w:cs="宋体"/>
                <w:color w:val="auto"/>
                <w:lang w:eastAsia="zh-CN"/>
              </w:rPr>
              <w:t>项目</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360000.00</w:t>
            </w:r>
            <w:r>
              <w:rPr>
                <w:rFonts w:hint="eastAsia" w:ascii="宋体" w:hAnsi="宋体" w:cs="宋体"/>
                <w:color w:val="auto"/>
                <w:kern w:val="0"/>
                <w:szCs w:val="21"/>
                <w:highlight w:val="none"/>
              </w:rPr>
              <w:t>元</w:t>
            </w:r>
            <w:r>
              <w:rPr>
                <w:rFonts w:hint="eastAsia" w:ascii="宋体" w:hAnsi="宋体" w:cs="宋体"/>
                <w:color w:val="auto"/>
                <w:kern w:val="0"/>
                <w:szCs w:val="21"/>
                <w:highlight w:val="none"/>
                <w:lang w:val="en-US" w:eastAsia="zh-CN"/>
              </w:rPr>
              <w:t>。</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投标文件组成：纸质投标文件正本1份</w:t>
            </w:r>
            <w:r>
              <w:rPr>
                <w:rFonts w:hint="eastAsia"/>
                <w:lang w:eastAsia="zh-CN"/>
              </w:rPr>
              <w:t>、</w:t>
            </w:r>
            <w:r>
              <w:rPr>
                <w:rFonts w:hint="eastAsia"/>
                <w:lang w:val="en-US" w:eastAsia="zh-CN"/>
              </w:rPr>
              <w:t>副本2份</w:t>
            </w:r>
            <w:r>
              <w:rPr>
                <w:rFonts w:hint="eastAsia"/>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360000.00</w:t>
      </w:r>
      <w:r>
        <w:rPr>
          <w:rFonts w:hint="eastAsia" w:ascii="宋体" w:hAnsi="宋体" w:cs="宋体"/>
          <w:b/>
          <w:bCs/>
          <w:color w:val="auto"/>
          <w:kern w:val="0"/>
          <w:szCs w:val="21"/>
          <w:highlight w:val="none"/>
        </w:rPr>
        <w:t>元。</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4.2 </w:t>
      </w:r>
      <w:r>
        <w:rPr>
          <w:rFonts w:hint="eastAsia" w:ascii="宋体" w:hAnsi="宋体" w:eastAsia="宋体" w:cs="宋体"/>
          <w:color w:val="auto"/>
          <w:kern w:val="2"/>
          <w:sz w:val="21"/>
          <w:szCs w:val="24"/>
          <w:lang w:val="en-US" w:eastAsia="zh-CN" w:bidi="ar-SA"/>
        </w:rPr>
        <w:t>供应商应提供2020年度或2021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4.3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4.4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rPr>
        <w:t xml:space="preserve">4.5 </w:t>
      </w:r>
      <w:r>
        <w:rPr>
          <w:rFonts w:hint="eastAsia" w:ascii="宋体" w:hAnsi="宋体" w:cs="宋体"/>
          <w:color w:val="auto"/>
          <w:szCs w:val="21"/>
          <w:highlight w:val="none"/>
          <w:lang w:val="en-US" w:eastAsia="zh-CN"/>
        </w:rPr>
        <w:t>投标产品若属于医疗器械，则须符合《医疗器械监督管理条例》（国务院令第 739号）相关规定，取得医疗器械产品注册证或产品备案凭证；若投标若投标产品不属于医疗器械应提供相应的证明资料或情况说明。</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szCs w:val="21"/>
          <w:highlight w:val="none"/>
          <w:lang w:eastAsia="zh-CN"/>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rPr>
        <w:t>为境内生产商</w:t>
      </w:r>
      <w:r>
        <w:rPr>
          <w:rFonts w:hint="eastAsia" w:ascii="宋体" w:hAnsi="宋体" w:cs="宋体"/>
          <w:color w:val="auto"/>
          <w:szCs w:val="21"/>
          <w:highlight w:val="none"/>
          <w:lang w:eastAsia="zh-CN"/>
        </w:rPr>
        <w:t>的</w:t>
      </w:r>
      <w:r>
        <w:rPr>
          <w:rFonts w:hint="eastAsia" w:ascii="宋体" w:hAnsi="宋体" w:cs="宋体"/>
          <w:color w:val="auto"/>
          <w:szCs w:val="21"/>
          <w:highlight w:val="none"/>
        </w:rPr>
        <w:t>应具有符合《医疗器械监督管理条例》（国务院令第739 号）相适应的生产资格（投标产品属于第二类或第三类医疗器械：具有有效的医疗器械生产许可证；投标产品属于第一类医疗器械：具有有效的医疗器械生产备案凭证）</w:t>
      </w:r>
      <w:r>
        <w:rPr>
          <w:rFonts w:hint="eastAsia" w:ascii="宋体" w:hAnsi="宋体" w:cs="宋体"/>
          <w:color w:val="auto"/>
          <w:szCs w:val="21"/>
          <w:highlight w:val="none"/>
          <w:lang w:eastAsia="zh-CN"/>
        </w:rPr>
        <w:t>；若投标产品不属于医疗器械应提供相应的证明资料或情况说明。</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供应商为代理商的应具有符合《医疗器械监督管理条例》（国务院令第 739 号）相适应的经营资格（投标产品属于第二类医疗器械：具有有效的医疗器械经营备案凭证；投标产品属于第三类医疗器械：具有有效的医疗器械经营许可证）；若投标产品属于第一类医疗器械或投标产品不属于医疗器械应提供相应的证明资料或情况说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
          <w:bCs/>
          <w:color w:val="auto"/>
          <w:kern w:val="0"/>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 xml:space="preserve"> </w:t>
      </w:r>
      <w:r>
        <w:rPr>
          <w:rFonts w:hint="eastAsia"/>
          <w:lang w:val="en-US" w:eastAsia="zh-CN"/>
        </w:rPr>
        <w:t>根据《关于在政府采购活动中查询及使用信用记录有关问题的通知》（财库【2016】125号）的规定，对列入失信被执行人、重大税收违法案件当事人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16.2、技术响应表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16.3、商务响应表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16.4、法定代表人身份证明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16.5、法定代表人授权书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16.6、证明文件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16.7、抵制商业贿赂承诺</w:t>
      </w:r>
    </w:p>
    <w:p>
      <w:pPr>
        <w:pStyle w:val="4"/>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16.8、投标人认为有必要的其他资料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w:t>
      </w:r>
      <w:r>
        <w:rPr>
          <w:rFonts w:hint="eastAsia" w:ascii="宋体" w:hAnsi="宋体" w:cs="宋体"/>
          <w:color w:val="auto"/>
          <w:kern w:val="0"/>
          <w:szCs w:val="21"/>
          <w:highlight w:val="none"/>
          <w:lang w:eastAsia="zh-CN"/>
        </w:rPr>
        <w:t>交货</w:t>
      </w:r>
      <w:r>
        <w:rPr>
          <w:rFonts w:hint="eastAsia" w:ascii="宋体" w:hAnsi="宋体" w:eastAsia="宋体" w:cs="宋体"/>
          <w:color w:val="auto"/>
          <w:kern w:val="0"/>
          <w:szCs w:val="21"/>
          <w:highlight w:val="none"/>
        </w:rPr>
        <w:t>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lang w:eastAsia="zh-CN"/>
        </w:rPr>
      </w:pPr>
      <w:r>
        <w:rPr>
          <w:rFonts w:hint="eastAsia"/>
          <w:lang w:eastAsia="zh-CN"/>
        </w:rPr>
        <w:t>2</w:t>
      </w:r>
      <w:r>
        <w:rPr>
          <w:rFonts w:hint="eastAsia"/>
          <w:lang w:val="en-US" w:eastAsia="zh-CN"/>
        </w:rPr>
        <w:t>1</w:t>
      </w:r>
      <w:r>
        <w:rPr>
          <w:rFonts w:hint="eastAsia"/>
          <w:lang w:eastAsia="zh-CN"/>
        </w:rPr>
        <w:t>.3 未按本章第2</w:t>
      </w:r>
      <w:r>
        <w:rPr>
          <w:rFonts w:hint="eastAsia"/>
          <w:lang w:val="en-US" w:eastAsia="zh-CN"/>
        </w:rPr>
        <w:t>1</w:t>
      </w:r>
      <w:r>
        <w:rPr>
          <w:rFonts w:hint="eastAsia"/>
          <w:lang w:eastAsia="zh-CN"/>
        </w:rPr>
        <w:t>.1项或第2</w:t>
      </w:r>
      <w:r>
        <w:rPr>
          <w:rFonts w:hint="eastAsia"/>
          <w:lang w:val="en-US" w:eastAsia="zh-CN"/>
        </w:rPr>
        <w:t>1</w:t>
      </w:r>
      <w:r>
        <w:rPr>
          <w:rFonts w:hint="eastAsia"/>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3"/>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4"/>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产品质量（30分）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eastAsia="zh-CN"/>
              </w:rPr>
              <w:t>、技术参数、性能及产品功能等</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证书、资信等级、类似业绩、质保期、配件及其他优惠承诺等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(20分)</w:t>
            </w:r>
          </w:p>
        </w:tc>
        <w:tc>
          <w:tcPr>
            <w:tcW w:w="2140" w:type="dxa"/>
            <w:noWrap w:val="0"/>
            <w:vAlign w:val="center"/>
          </w:tcPr>
          <w:p>
            <w:pPr>
              <w:pStyle w:val="50"/>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482"/>
      <w:bookmarkStart w:id="47" w:name="_Toc1947"/>
      <w:bookmarkStart w:id="48" w:name="_Toc326786897"/>
      <w:bookmarkStart w:id="49" w:name="_Toc256519703"/>
    </w:p>
    <w:p>
      <w:pPr>
        <w:pStyle w:val="7"/>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2"/>
      </w:pPr>
    </w:p>
    <w:p>
      <w:pPr>
        <w:pStyle w:val="7"/>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snapToGrid w:val="0"/>
        <w:spacing w:line="360" w:lineRule="auto"/>
        <w:ind w:firstLine="480" w:firstLineChars="200"/>
        <w:rPr>
          <w:rFonts w:hint="eastAsia"/>
          <w:color w:val="auto"/>
          <w:sz w:val="24"/>
          <w:highlight w:val="none"/>
        </w:rPr>
      </w:pPr>
      <w:r>
        <w:rPr>
          <w:rFonts w:hint="eastAsia"/>
          <w:color w:val="auto"/>
          <w:sz w:val="24"/>
          <w:highlight w:val="none"/>
          <w:lang w:val="en-US" w:eastAsia="zh-CN"/>
        </w:rPr>
        <w:t xml:space="preserve">附件11 </w:t>
      </w:r>
      <w:r>
        <w:rPr>
          <w:rFonts w:hint="eastAsia"/>
          <w:color w:val="auto"/>
          <w:sz w:val="24"/>
          <w:highlight w:val="none"/>
        </w:rPr>
        <w:t>采购项目承诺书</w:t>
      </w:r>
    </w:p>
    <w:p>
      <w:pPr>
        <w:snapToGrid w:val="0"/>
        <w:spacing w:line="360" w:lineRule="auto"/>
        <w:ind w:firstLine="480" w:firstLineChars="200"/>
        <w:rPr>
          <w:rFonts w:hint="eastAsia"/>
          <w:color w:val="auto"/>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3"/>
        <w:rPr>
          <w:rFonts w:ascii="宋体" w:hAnsi="宋体" w:cs="宋体"/>
          <w:b/>
          <w:bCs/>
          <w:color w:val="auto"/>
          <w:kern w:val="0"/>
          <w:sz w:val="24"/>
          <w:highlight w:val="none"/>
        </w:rPr>
      </w:pPr>
    </w:p>
    <w:p>
      <w:pPr>
        <w:pStyle w:val="50"/>
        <w:rPr>
          <w:rFonts w:hAnsi="宋体"/>
          <w:b/>
          <w:bCs/>
          <w:color w:val="auto"/>
          <w:highlight w:val="none"/>
        </w:rPr>
      </w:pPr>
    </w:p>
    <w:p>
      <w:pPr>
        <w:pStyle w:val="50"/>
        <w:rPr>
          <w:rFonts w:hAnsi="宋体"/>
          <w:b/>
          <w:bCs/>
          <w:color w:val="auto"/>
          <w:highlight w:val="none"/>
        </w:rPr>
      </w:pPr>
    </w:p>
    <w:p>
      <w:pPr>
        <w:rPr>
          <w:color w:val="auto"/>
          <w:highlight w:val="none"/>
        </w:rPr>
      </w:pPr>
      <w:r>
        <w:rPr>
          <w:rFonts w:hint="eastAsia"/>
          <w:color w:val="auto"/>
          <w:highlight w:val="none"/>
        </w:rPr>
        <w:br w:type="page"/>
      </w:r>
    </w:p>
    <w:p>
      <w:pPr>
        <w:pStyle w:val="27"/>
        <w:rPr>
          <w:color w:val="auto"/>
          <w:highlight w:val="none"/>
        </w:rPr>
      </w:pPr>
    </w:p>
    <w:p>
      <w:pPr>
        <w:pStyle w:val="8"/>
        <w:rPr>
          <w:color w:val="auto"/>
          <w:highlight w:val="none"/>
        </w:rPr>
      </w:pPr>
      <w:bookmarkStart w:id="63" w:name="_Toc24743"/>
      <w:bookmarkStart w:id="64" w:name="_Toc31798"/>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cs="宋体"/>
          <w:b/>
          <w:snapToGrid w:val="0"/>
          <w:color w:val="auto"/>
          <w:spacing w:val="0"/>
          <w:kern w:val="0"/>
          <w:sz w:val="44"/>
          <w:szCs w:val="44"/>
          <w:highlight w:val="none"/>
          <w:u w:val="none"/>
          <w:lang w:val="en-US" w:eastAsia="zh-CN"/>
        </w:rPr>
        <w:t>神经内科实验室设备</w:t>
      </w:r>
      <w:r>
        <w:rPr>
          <w:rFonts w:hint="eastAsia" w:ascii="宋体" w:hAnsi="宋体" w:eastAsia="宋体" w:cs="宋体"/>
          <w:b/>
          <w:snapToGrid w:val="0"/>
          <w:color w:val="auto"/>
          <w:spacing w:val="0"/>
          <w:kern w:val="0"/>
          <w:sz w:val="44"/>
          <w:szCs w:val="44"/>
          <w:highlight w:val="none"/>
          <w:u w:val="none"/>
          <w:lang w:val="en-US" w:eastAsia="zh-CN"/>
        </w:rPr>
        <w:t>采购项目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50"/>
        <w:spacing w:line="360" w:lineRule="auto"/>
        <w:rPr>
          <w:rFonts w:hint="eastAsia" w:ascii="宋体" w:hAnsi="宋体" w:eastAsia="宋体" w:cs="宋体"/>
          <w:color w:val="auto"/>
          <w:highlight w:val="none"/>
        </w:rPr>
      </w:pPr>
    </w:p>
    <w:p>
      <w:pPr>
        <w:pStyle w:val="50"/>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3"/>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8"/>
        <w:rPr>
          <w:color w:val="auto"/>
          <w:highlight w:val="none"/>
        </w:rPr>
      </w:pPr>
      <w:bookmarkStart w:id="65" w:name="_Toc14560"/>
      <w:bookmarkStart w:id="66" w:name="_Toc8818"/>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8"/>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cs="宋体"/>
                <w:color w:val="auto"/>
                <w:kern w:val="0"/>
                <w:szCs w:val="21"/>
                <w:highlight w:val="none"/>
              </w:rPr>
            </w:pPr>
            <w:r>
              <w:rPr>
                <w:rFonts w:hint="eastAsia" w:ascii="宋体" w:hAnsi="宋体"/>
                <w:szCs w:val="21"/>
              </w:rPr>
              <w:t>合同履行期限</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0"/>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11620"/>
      <w:bookmarkStart w:id="69" w:name="_Toc20877"/>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625"/>
      <w:bookmarkStart w:id="71" w:name="_Toc12222"/>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1330"/>
      <w:bookmarkStart w:id="73" w:name="_Toc995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8"/>
        <w:spacing w:before="20" w:after="20"/>
        <w:rPr>
          <w:color w:val="auto"/>
          <w:highlight w:val="none"/>
        </w:rPr>
      </w:pPr>
      <w:bookmarkStart w:id="74" w:name="_Toc22004"/>
      <w:bookmarkStart w:id="75" w:name="_Toc24984"/>
      <w:r>
        <w:rPr>
          <w:rFonts w:hint="eastAsia"/>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2"/>
        <w:tblW w:w="8301"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8"/>
        <w:rPr>
          <w:color w:val="auto"/>
          <w:highlight w:val="none"/>
        </w:rPr>
      </w:pPr>
      <w:r>
        <w:rPr>
          <w:rFonts w:hint="eastAsia"/>
          <w:color w:val="auto"/>
          <w:highlight w:val="none"/>
        </w:rPr>
        <w:br w:type="page"/>
      </w:r>
      <w:bookmarkStart w:id="76" w:name="_Toc15804"/>
      <w:bookmarkStart w:id="77" w:name="_Toc226"/>
      <w:r>
        <w:rPr>
          <w:rFonts w:hint="eastAsia"/>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78" w:name="_Toc29960"/>
      <w:bookmarkStart w:id="79" w:name="_Toc20420"/>
      <w:r>
        <w:rPr>
          <w:rFonts w:hint="eastAsia" w:ascii="Arial" w:hAnsi="Arial" w:eastAsia="新宋体"/>
          <w:b/>
          <w:color w:val="auto"/>
          <w:sz w:val="28"/>
          <w:highlight w:val="none"/>
        </w:rPr>
        <w:t xml:space="preserve">附件6               </w:t>
      </w:r>
      <w:bookmarkEnd w:id="78"/>
      <w:bookmarkEnd w:id="79"/>
      <w:r>
        <w:rPr>
          <w:rFonts w:hint="eastAsia" w:ascii="Arial" w:hAnsi="Arial" w:eastAsia="新宋体"/>
          <w:b/>
          <w:color w:val="auto"/>
          <w:sz w:val="28"/>
          <w:highlight w:val="none"/>
        </w:rPr>
        <w:t>商务响应</w:t>
      </w:r>
    </w:p>
    <w:p>
      <w:pPr>
        <w:widowControl/>
        <w:wordWrap w:val="0"/>
        <w:snapToGrid w:val="0"/>
        <w:spacing w:before="50" w:afterLines="50"/>
        <w:jc w:val="left"/>
        <w:rPr>
          <w:rFonts w:cs="宋体"/>
          <w:color w:val="auto"/>
          <w:kern w:val="0"/>
          <w:sz w:val="24"/>
          <w:highlight w:val="none"/>
        </w:rPr>
      </w:pPr>
    </w:p>
    <w:p>
      <w:pPr>
        <w:widowControl/>
        <w:wordWrap w:val="0"/>
        <w:snapToGrid w:val="0"/>
        <w:spacing w:before="156" w:after="156"/>
        <w:jc w:val="both"/>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商务部分相关文件</w:t>
      </w:r>
    </w:p>
    <w:p>
      <w:pPr>
        <w:widowControl/>
        <w:wordWrap w:val="0"/>
        <w:spacing w:line="460" w:lineRule="exact"/>
        <w:jc w:val="left"/>
        <w:rPr>
          <w:rFonts w:cs="宋体"/>
          <w:b/>
          <w:color w:val="auto"/>
          <w:kern w:val="0"/>
          <w:sz w:val="24"/>
          <w:highlight w:val="none"/>
        </w:rPr>
      </w:pPr>
    </w:p>
    <w:p>
      <w:pPr>
        <w:rPr>
          <w:rFonts w:hint="eastAsia" w:ascii="宋体" w:hAnsi="宋体" w:cs="宋体"/>
          <w:b/>
          <w:color w:val="auto"/>
          <w:kern w:val="0"/>
          <w:sz w:val="24"/>
          <w:highlight w:val="none"/>
        </w:rPr>
      </w:pPr>
    </w:p>
    <w:p>
      <w:pPr>
        <w:rPr>
          <w:rFonts w:hint="eastAsia" w:ascii="宋体" w:hAnsi="宋体" w:cs="宋体"/>
          <w:b/>
          <w:color w:val="auto"/>
          <w:kern w:val="0"/>
          <w:sz w:val="24"/>
          <w:highlight w:val="none"/>
        </w:rPr>
      </w:pPr>
    </w:p>
    <w:p>
      <w:pPr>
        <w:rPr>
          <w:rFonts w:hint="eastAsia" w:ascii="宋体" w:hAnsi="宋体" w:cs="宋体"/>
          <w:b/>
          <w:color w:val="auto"/>
          <w:kern w:val="0"/>
          <w:sz w:val="24"/>
          <w:highlight w:val="none"/>
        </w:rPr>
      </w:pPr>
    </w:p>
    <w:p>
      <w:r>
        <w:rPr>
          <w:rFonts w:hint="eastAsia" w:ascii="宋体" w:hAnsi="宋体" w:cs="宋体"/>
          <w:b/>
          <w:color w:val="auto"/>
          <w:kern w:val="0"/>
          <w:sz w:val="24"/>
          <w:highlight w:val="none"/>
        </w:rPr>
        <w:br w:type="page"/>
      </w:r>
    </w:p>
    <w:p>
      <w:pPr>
        <w:widowControl/>
        <w:wordWrap w:val="0"/>
        <w:spacing w:line="460" w:lineRule="exact"/>
        <w:jc w:val="left"/>
        <w:outlineLvl w:val="0"/>
        <w:rPr>
          <w:rFonts w:ascii="Arial" w:hAnsi="Arial" w:eastAsia="新宋体"/>
          <w:b/>
          <w:color w:val="auto"/>
          <w:sz w:val="28"/>
          <w:highlight w:val="none"/>
        </w:rPr>
      </w:pPr>
      <w:bookmarkStart w:id="80" w:name="_Toc28621"/>
      <w:bookmarkStart w:id="81" w:name="_Toc31526"/>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30519"/>
      <w:bookmarkStart w:id="83" w:name="_Toc13976"/>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24693"/>
      <w:bookmarkStart w:id="85" w:name="_Toc18105"/>
      <w:r>
        <w:rPr>
          <w:rFonts w:hint="eastAsia" w:ascii="Arial" w:hAnsi="Arial" w:eastAsia="新宋体"/>
          <w:b/>
          <w:color w:val="auto"/>
          <w:sz w:val="28"/>
          <w:highlight w:val="none"/>
        </w:rPr>
        <w:t>附件9               证明文件</w:t>
      </w:r>
      <w:bookmarkEnd w:id="84"/>
      <w:bookmarkEnd w:id="85"/>
    </w:p>
    <w:p>
      <w:pPr>
        <w:pStyle w:val="12"/>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12"/>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12"/>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12"/>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12"/>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12"/>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3726"/>
      <w:bookmarkStart w:id="88" w:name="_Toc12888"/>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widowControl/>
        <w:snapToGrid w:val="0"/>
        <w:spacing w:before="156" w:after="156" w:line="360" w:lineRule="auto"/>
        <w:jc w:val="left"/>
        <w:outlineLvl w:val="0"/>
        <w:rPr>
          <w:rFonts w:hint="eastAsia" w:ascii="Arial" w:hAnsi="Arial" w:eastAsia="新宋体" w:cs="Times New Roman"/>
          <w:b/>
          <w:color w:val="auto"/>
          <w:sz w:val="28"/>
          <w:highlight w:val="none"/>
        </w:rPr>
      </w:pPr>
      <w:r>
        <w:rPr>
          <w:rFonts w:hint="eastAsia" w:ascii="Arial" w:hAnsi="Arial" w:eastAsia="新宋体" w:cs="Times New Roman"/>
          <w:b/>
          <w:color w:val="auto"/>
          <w:sz w:val="28"/>
          <w:highlight w:val="none"/>
        </w:rPr>
        <w:t>附件11                      采购项目承诺书</w:t>
      </w:r>
    </w:p>
    <w:p>
      <w:pPr>
        <w:spacing w:line="360" w:lineRule="auto"/>
        <w:rPr>
          <w:rFonts w:ascii="宋体" w:hAnsi="宋体" w:cs="宋体"/>
        </w:rPr>
      </w:pPr>
      <w:r>
        <w:rPr>
          <w:rFonts w:hint="eastAsia" w:ascii="宋体" w:hAnsi="宋体" w:cs="宋体"/>
        </w:rPr>
        <w:t>致：（采购人）</w:t>
      </w:r>
    </w:p>
    <w:p>
      <w:pPr>
        <w:spacing w:line="360" w:lineRule="auto"/>
        <w:ind w:firstLine="210" w:firstLineChars="100"/>
        <w:rPr>
          <w:rFonts w:ascii="宋体" w:hAnsi="宋体" w:cs="宋体"/>
        </w:rPr>
      </w:pPr>
      <w:r>
        <w:rPr>
          <w:rFonts w:hint="eastAsia" w:ascii="宋体" w:hAnsi="宋体" w:cs="宋体"/>
        </w:rPr>
        <w:t>本承诺书作为我方参加本次招标采购项目投标文件不可分割的一部分。我方参加本次投标特郑重做出如下承诺：</w:t>
      </w:r>
    </w:p>
    <w:p>
      <w:pPr>
        <w:spacing w:line="360" w:lineRule="auto"/>
        <w:ind w:firstLine="210" w:firstLineChars="100"/>
        <w:rPr>
          <w:rFonts w:ascii="宋体" w:hAnsi="宋体" w:cs="宋体"/>
        </w:rPr>
      </w:pPr>
      <w:r>
        <w:rPr>
          <w:rFonts w:hint="eastAsia" w:ascii="宋体" w:hAnsi="宋体" w:cs="宋体"/>
        </w:rPr>
        <w:t>1．我方已经过详细市场调查，本次所投报产品货源充足，保证不会出现无货、断货现象。</w:t>
      </w:r>
    </w:p>
    <w:p>
      <w:pPr>
        <w:spacing w:line="360" w:lineRule="auto"/>
        <w:ind w:firstLine="210" w:firstLineChars="100"/>
        <w:rPr>
          <w:rFonts w:ascii="宋体" w:hAnsi="宋体" w:cs="宋体"/>
        </w:rPr>
      </w:pPr>
      <w:r>
        <w:rPr>
          <w:rFonts w:hint="eastAsia" w:ascii="宋体" w:hAnsi="宋体" w:cs="宋体"/>
        </w:rPr>
        <w:t>2．我方将严格履行采购文件中规定的每一项要求，按所投产品的品牌、型号及约定的交货（完工）期保质、保量提供货物和相关服务，保证所提供的所有产品均符合国家相关标准规范或强制性规定，所供产品均为原厂生产的合格产品、符合采购文件各项技术参数要求的规定，绝不提供假冒伪劣产品，如需要我方可以提供相关出厂合格证明或测试报告；</w:t>
      </w:r>
    </w:p>
    <w:p>
      <w:pPr>
        <w:spacing w:line="360" w:lineRule="auto"/>
        <w:ind w:firstLine="210" w:firstLineChars="100"/>
        <w:rPr>
          <w:rFonts w:ascii="宋体" w:hAnsi="宋体" w:cs="宋体"/>
        </w:rPr>
      </w:pPr>
      <w:r>
        <w:rPr>
          <w:rFonts w:hint="eastAsia" w:ascii="宋体" w:hAnsi="宋体" w:cs="宋体"/>
        </w:rPr>
        <w:t>3．如无法按我方承诺期限如期供货，我方愿接受采购人扣除本项目履约保证金的处理,对采购人造成损失的,我方愿承担相应赔偿责任；</w:t>
      </w:r>
    </w:p>
    <w:p>
      <w:pPr>
        <w:spacing w:line="360" w:lineRule="auto"/>
        <w:ind w:firstLine="210" w:firstLineChars="100"/>
        <w:rPr>
          <w:rFonts w:ascii="宋体" w:hAnsi="宋体" w:cs="宋体"/>
        </w:rPr>
      </w:pPr>
      <w:r>
        <w:rPr>
          <w:rFonts w:hint="eastAsia" w:ascii="宋体" w:hAnsi="宋体" w:cs="宋体"/>
        </w:rPr>
        <w:t>4．采购人验收时如发现我方所供产品与投标文件中所承诺的产品型号、规格、技术参数要求不符的，我方将立即无条件更换。如因此造成交货期超出我方承诺期限的，我方接受采购人扣除履约保证金的处理，同时愿承担合同约定的违约责任；</w:t>
      </w:r>
    </w:p>
    <w:p>
      <w:pPr>
        <w:spacing w:line="360" w:lineRule="auto"/>
        <w:ind w:firstLine="210" w:firstLineChars="100"/>
        <w:rPr>
          <w:rFonts w:ascii="宋体" w:hAnsi="宋体" w:cs="宋体"/>
        </w:rPr>
      </w:pPr>
      <w:r>
        <w:rPr>
          <w:rFonts w:hint="eastAsia" w:ascii="宋体" w:hAnsi="宋体" w:cs="宋体"/>
        </w:rPr>
        <w:t>5．我方提供的产品如不能满足采购文件要求的，采购人有权拒绝接收；</w:t>
      </w:r>
    </w:p>
    <w:p>
      <w:pPr>
        <w:spacing w:line="360" w:lineRule="auto"/>
        <w:ind w:firstLine="210" w:firstLineChars="100"/>
        <w:rPr>
          <w:rFonts w:ascii="宋体" w:hAnsi="宋体" w:cs="宋体"/>
        </w:rPr>
      </w:pPr>
      <w:r>
        <w:rPr>
          <w:rFonts w:hint="eastAsia" w:ascii="宋体" w:hAnsi="宋体" w:cs="宋体"/>
        </w:rPr>
        <w:t>6．如评标委员会确定我方为本项目的中标（成交）候选人或中标人，在公示期内或领取中标（成交）通知书后，我方无正当理由（如自身报价失误、无法组织及时供货、资金不到位、账户无法正常使用等）放弃中标（成交）候选人资格或中标资格，我方愿接受财政部门做出的处罚决定；</w:t>
      </w:r>
    </w:p>
    <w:p>
      <w:pPr>
        <w:spacing w:line="360" w:lineRule="auto"/>
        <w:ind w:firstLine="210" w:firstLineChars="100"/>
        <w:rPr>
          <w:rFonts w:ascii="宋体" w:hAnsi="宋体" w:cs="宋体"/>
        </w:rPr>
      </w:pPr>
      <w:r>
        <w:rPr>
          <w:rFonts w:hint="eastAsia" w:ascii="宋体" w:hAnsi="宋体" w:cs="宋体"/>
        </w:rPr>
        <w:t>7．我方已详细阅读了本采购文件，保证可以完全响应采购文件中所有商务、技术要求，并理解你方或评标委员会对我方进行资格审查的权利，如在资格审查中发现我方存在有违规行为愿承担相应法律责任。</w:t>
      </w:r>
    </w:p>
    <w:p>
      <w:pPr>
        <w:autoSpaceDE w:val="0"/>
        <w:autoSpaceDN w:val="0"/>
        <w:spacing w:line="360" w:lineRule="auto"/>
        <w:rPr>
          <w:rFonts w:ascii="宋体" w:hAnsi="宋体" w:cs="宋体"/>
          <w:szCs w:val="21"/>
        </w:rPr>
      </w:pPr>
    </w:p>
    <w:p>
      <w:pPr>
        <w:topLinePunct/>
        <w:snapToGrid w:val="0"/>
        <w:spacing w:line="360" w:lineRule="auto"/>
        <w:rPr>
          <w:rFonts w:ascii="宋体" w:hAnsi="宋体" w:cs="宋体"/>
          <w:szCs w:val="21"/>
        </w:rPr>
      </w:pPr>
      <w:r>
        <w:rPr>
          <w:rFonts w:hint="eastAsia" w:ascii="宋体" w:hAnsi="宋体" w:cs="宋体"/>
          <w:szCs w:val="21"/>
        </w:rPr>
        <w:t>投标人：（盖章）</w:t>
      </w:r>
    </w:p>
    <w:p>
      <w:pPr>
        <w:topLinePunct/>
        <w:snapToGrid w:val="0"/>
        <w:spacing w:line="360" w:lineRule="auto"/>
        <w:rPr>
          <w:rFonts w:ascii="宋体" w:hAnsi="宋体" w:cs="宋体"/>
          <w:szCs w:val="21"/>
        </w:rPr>
      </w:pPr>
      <w:r>
        <w:rPr>
          <w:rFonts w:hint="eastAsia" w:ascii="宋体" w:hAnsi="宋体" w:cs="宋体"/>
          <w:szCs w:val="21"/>
        </w:rPr>
        <w:t>法定代表人：（盖章）</w:t>
      </w:r>
    </w:p>
    <w:p>
      <w:pPr>
        <w:spacing w:line="360" w:lineRule="auto"/>
        <w:rPr>
          <w:rFonts w:ascii="宋体" w:hAnsi="宋体" w:cs="宋体"/>
          <w:szCs w:val="21"/>
        </w:rPr>
      </w:pPr>
      <w:r>
        <w:rPr>
          <w:rFonts w:hint="eastAsia" w:ascii="宋体" w:hAnsi="宋体" w:cs="宋体"/>
          <w:szCs w:val="21"/>
        </w:rPr>
        <w:t>日期：     年     月     日</w:t>
      </w:r>
    </w:p>
    <w:p>
      <w:pPr>
        <w:spacing w:line="360" w:lineRule="auto"/>
        <w:ind w:left="370" w:leftChars="176"/>
        <w:rPr>
          <w:rFonts w:ascii="宋体" w:hAnsi="宋体" w:cs="宋体"/>
          <w:b/>
          <w:szCs w:val="21"/>
        </w:rPr>
      </w:pPr>
    </w:p>
    <w:p>
      <w:pPr>
        <w:pStyle w:val="2"/>
        <w:rPr>
          <w:rFonts w:ascii="宋体" w:hAnsi="宋体" w:cs="宋体"/>
          <w:b/>
          <w:szCs w:val="21"/>
        </w:rPr>
      </w:pPr>
    </w:p>
    <w:p>
      <w:pPr>
        <w:pStyle w:val="4"/>
      </w:pPr>
    </w:p>
    <w:p>
      <w:pPr>
        <w:pStyle w:val="48"/>
      </w:pPr>
    </w:p>
    <w:p>
      <w:pPr>
        <w:widowControl/>
        <w:snapToGrid w:val="0"/>
        <w:spacing w:line="360" w:lineRule="auto"/>
        <w:jc w:val="center"/>
        <w:outlineLvl w:val="0"/>
        <w:rPr>
          <w:rFonts w:ascii="宋体" w:hAnsi="宋体" w:cs="Lucida Sans Unicode"/>
          <w:b/>
          <w:color w:val="auto"/>
          <w:kern w:val="0"/>
          <w:sz w:val="24"/>
          <w:highlight w:val="none"/>
        </w:rPr>
      </w:pPr>
      <w:bookmarkStart w:id="89" w:name="_Toc23394"/>
      <w:bookmarkStart w:id="90" w:name="_Toc250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12"/>
        <w:spacing w:beforeAutospacing="0" w:afterAutospacing="0" w:line="460" w:lineRule="atLeast"/>
        <w:jc w:val="center"/>
        <w:rPr>
          <w:b/>
          <w:bCs/>
          <w:color w:val="auto"/>
          <w:sz w:val="28"/>
          <w:szCs w:val="28"/>
          <w:highlight w:val="none"/>
        </w:rPr>
      </w:pPr>
    </w:p>
    <w:p>
      <w:pPr>
        <w:pStyle w:val="12"/>
        <w:spacing w:beforeAutospacing="0" w:afterAutospacing="0" w:line="460" w:lineRule="atLeast"/>
        <w:jc w:val="center"/>
        <w:rPr>
          <w:b/>
          <w:bCs/>
          <w:color w:val="auto"/>
          <w:sz w:val="28"/>
          <w:szCs w:val="28"/>
          <w:highlight w:val="none"/>
        </w:rPr>
      </w:pPr>
    </w:p>
    <w:p>
      <w:pPr>
        <w:pStyle w:val="12"/>
        <w:spacing w:beforeAutospacing="0" w:afterAutospacing="0" w:line="460" w:lineRule="atLeast"/>
        <w:jc w:val="center"/>
        <w:rPr>
          <w:b/>
          <w:bCs/>
          <w:color w:val="auto"/>
          <w:sz w:val="28"/>
          <w:szCs w:val="28"/>
          <w:highlight w:val="none"/>
        </w:rPr>
      </w:pPr>
    </w:p>
    <w:p>
      <w:pPr>
        <w:pStyle w:val="12"/>
        <w:spacing w:beforeAutospacing="0" w:afterAutospacing="0" w:line="460" w:lineRule="atLeast"/>
        <w:jc w:val="center"/>
        <w:rPr>
          <w:b/>
          <w:bCs/>
          <w:color w:val="auto"/>
          <w:sz w:val="28"/>
          <w:szCs w:val="28"/>
          <w:highlight w:val="none"/>
        </w:rPr>
      </w:pPr>
    </w:p>
    <w:p>
      <w:pPr>
        <w:pStyle w:val="12"/>
        <w:spacing w:beforeAutospacing="0" w:afterAutospacing="0" w:line="460" w:lineRule="atLeast"/>
        <w:jc w:val="center"/>
        <w:rPr>
          <w:b/>
          <w:bCs/>
          <w:color w:val="auto"/>
          <w:sz w:val="28"/>
          <w:szCs w:val="28"/>
          <w:highlight w:val="none"/>
        </w:rPr>
      </w:pPr>
    </w:p>
    <w:p>
      <w:pPr>
        <w:pStyle w:val="12"/>
        <w:spacing w:beforeAutospacing="0" w:afterAutospacing="0" w:line="460" w:lineRule="atLeast"/>
        <w:jc w:val="center"/>
        <w:rPr>
          <w:b/>
          <w:bCs/>
          <w:color w:val="auto"/>
          <w:sz w:val="28"/>
          <w:szCs w:val="28"/>
          <w:highlight w:val="none"/>
        </w:rPr>
      </w:pPr>
    </w:p>
    <w:p>
      <w:pPr>
        <w:pStyle w:val="12"/>
        <w:spacing w:beforeAutospacing="0" w:afterAutospacing="0" w:line="460" w:lineRule="atLeast"/>
        <w:jc w:val="center"/>
        <w:rPr>
          <w:b/>
          <w:bCs/>
          <w:color w:val="auto"/>
          <w:sz w:val="28"/>
          <w:szCs w:val="28"/>
          <w:highlight w:val="none"/>
        </w:rPr>
      </w:pPr>
    </w:p>
    <w:p>
      <w:pPr>
        <w:pStyle w:val="12"/>
        <w:spacing w:beforeAutospacing="0" w:afterAutospacing="0" w:line="460" w:lineRule="atLeast"/>
        <w:jc w:val="center"/>
        <w:rPr>
          <w:b/>
          <w:bCs/>
          <w:color w:val="auto"/>
          <w:sz w:val="28"/>
          <w:szCs w:val="28"/>
          <w:highlight w:val="none"/>
        </w:rPr>
      </w:pPr>
    </w:p>
    <w:p>
      <w:pPr>
        <w:pStyle w:val="12"/>
        <w:spacing w:beforeAutospacing="0" w:afterAutospacing="0" w:line="460" w:lineRule="atLeast"/>
        <w:jc w:val="center"/>
        <w:rPr>
          <w:b/>
          <w:bCs/>
          <w:color w:val="auto"/>
          <w:sz w:val="28"/>
          <w:szCs w:val="28"/>
          <w:highlight w:val="none"/>
        </w:rPr>
      </w:pPr>
    </w:p>
    <w:p>
      <w:pPr>
        <w:pStyle w:val="12"/>
        <w:spacing w:beforeAutospacing="0" w:afterAutospacing="0" w:line="460" w:lineRule="atLeast"/>
        <w:jc w:val="center"/>
        <w:rPr>
          <w:b/>
          <w:bCs/>
          <w:color w:val="auto"/>
          <w:sz w:val="28"/>
          <w:szCs w:val="28"/>
          <w:highlight w:val="none"/>
        </w:rPr>
      </w:pPr>
    </w:p>
    <w:p>
      <w:pPr>
        <w:pStyle w:val="12"/>
        <w:spacing w:beforeAutospacing="0" w:afterAutospacing="0" w:line="460" w:lineRule="atLeast"/>
        <w:jc w:val="center"/>
        <w:rPr>
          <w:b/>
          <w:bCs/>
          <w:color w:val="auto"/>
          <w:sz w:val="28"/>
          <w:szCs w:val="28"/>
          <w:highlight w:val="none"/>
        </w:rPr>
      </w:pPr>
    </w:p>
    <w:p>
      <w:pPr>
        <w:pStyle w:val="12"/>
        <w:spacing w:beforeAutospacing="0" w:afterAutospacing="0" w:line="460" w:lineRule="atLeast"/>
        <w:jc w:val="center"/>
        <w:rPr>
          <w:b/>
          <w:bCs/>
          <w:color w:val="auto"/>
          <w:sz w:val="28"/>
          <w:szCs w:val="28"/>
          <w:highlight w:val="none"/>
        </w:rPr>
      </w:pPr>
    </w:p>
    <w:p>
      <w:pPr>
        <w:pStyle w:val="12"/>
        <w:spacing w:beforeAutospacing="0" w:afterAutospacing="0" w:line="460" w:lineRule="atLeast"/>
        <w:jc w:val="center"/>
        <w:rPr>
          <w:b/>
          <w:bCs/>
          <w:color w:val="auto"/>
          <w:sz w:val="28"/>
          <w:szCs w:val="28"/>
          <w:highlight w:val="none"/>
        </w:rPr>
      </w:pPr>
    </w:p>
    <w:p>
      <w:pPr>
        <w:pStyle w:val="12"/>
        <w:spacing w:beforeAutospacing="0" w:afterAutospacing="0" w:line="460" w:lineRule="atLeast"/>
        <w:jc w:val="center"/>
        <w:rPr>
          <w:b/>
          <w:bCs/>
          <w:color w:val="auto"/>
          <w:sz w:val="28"/>
          <w:szCs w:val="28"/>
          <w:highlight w:val="none"/>
        </w:rPr>
      </w:pPr>
    </w:p>
    <w:p>
      <w:pPr>
        <w:pStyle w:val="12"/>
        <w:spacing w:beforeAutospacing="0" w:afterAutospacing="0" w:line="460" w:lineRule="atLeast"/>
        <w:jc w:val="center"/>
        <w:rPr>
          <w:b/>
          <w:bCs/>
          <w:color w:val="auto"/>
          <w:sz w:val="28"/>
          <w:szCs w:val="28"/>
          <w:highlight w:val="none"/>
        </w:rPr>
      </w:pPr>
    </w:p>
    <w:p>
      <w:pPr>
        <w:pStyle w:val="12"/>
        <w:spacing w:beforeAutospacing="0" w:afterAutospacing="0" w:line="460" w:lineRule="atLeast"/>
        <w:jc w:val="center"/>
        <w:rPr>
          <w:b/>
          <w:bCs/>
          <w:color w:val="auto"/>
          <w:sz w:val="28"/>
          <w:szCs w:val="28"/>
          <w:highlight w:val="none"/>
        </w:rPr>
      </w:pPr>
    </w:p>
    <w:p>
      <w:pPr>
        <w:pStyle w:val="12"/>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r>
      <w:rPr>
        <w:rFonts w:hint="eastAsia"/>
      </w:rPr>
      <w:t xml:space="preserve"> 驻马店市中心医院</w:t>
    </w:r>
    <w:r>
      <w:rPr>
        <w:rFonts w:hint="eastAsia"/>
        <w:lang w:val="en-US" w:eastAsia="zh-CN"/>
      </w:rPr>
      <w:t>神经内科实验室设备采购项目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hint="eastAsia" w:eastAsia="宋体"/>
        <w:lang w:val="en-US" w:eastAsia="zh-CN"/>
      </w:rPr>
    </w:pPr>
    <w:r>
      <w:rPr>
        <w:rFonts w:hint="eastAsia"/>
      </w:rPr>
      <w:t xml:space="preserve">                           驻马店市中心医院</w:t>
    </w:r>
    <w:r>
      <w:rPr>
        <w:rFonts w:hint="eastAsia"/>
        <w:lang w:val="en-US" w:eastAsia="zh-CN"/>
      </w:rPr>
      <w:t>神经内科实验室设备采购项目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4790813B"/>
    <w:multiLevelType w:val="singleLevel"/>
    <w:tmpl w:val="4790813B"/>
    <w:lvl w:ilvl="0" w:tentative="0">
      <w:start w:val="2"/>
      <w:numFmt w:val="decimal"/>
      <w:suff w:val="nothing"/>
      <w:lvlText w:val="%1、"/>
      <w:lvlJc w:val="left"/>
    </w:lvl>
  </w:abstractNum>
  <w:abstractNum w:abstractNumId="3">
    <w:nsid w:val="59B6410A"/>
    <w:multiLevelType w:val="singleLevel"/>
    <w:tmpl w:val="59B6410A"/>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070D64"/>
    <w:rsid w:val="04416C20"/>
    <w:rsid w:val="047968B1"/>
    <w:rsid w:val="04870542"/>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253138"/>
    <w:rsid w:val="074A5B92"/>
    <w:rsid w:val="075E3193"/>
    <w:rsid w:val="078E18EB"/>
    <w:rsid w:val="07B10EA5"/>
    <w:rsid w:val="07CE3FA1"/>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D206F0"/>
    <w:rsid w:val="0A321AC2"/>
    <w:rsid w:val="0A343D4E"/>
    <w:rsid w:val="0A3E6D2E"/>
    <w:rsid w:val="0AD13A85"/>
    <w:rsid w:val="0B091954"/>
    <w:rsid w:val="0B637D77"/>
    <w:rsid w:val="0B6E5EAC"/>
    <w:rsid w:val="0BAC324F"/>
    <w:rsid w:val="0BF72F1E"/>
    <w:rsid w:val="0C3957A5"/>
    <w:rsid w:val="0C626DA7"/>
    <w:rsid w:val="0C6876AE"/>
    <w:rsid w:val="0C720EC8"/>
    <w:rsid w:val="0C942042"/>
    <w:rsid w:val="0C9D50DC"/>
    <w:rsid w:val="0CA5271D"/>
    <w:rsid w:val="0CAC4D10"/>
    <w:rsid w:val="0CC72121"/>
    <w:rsid w:val="0CEE5A21"/>
    <w:rsid w:val="0D0646E7"/>
    <w:rsid w:val="0D0C38CA"/>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D59C9"/>
    <w:rsid w:val="0F516D5A"/>
    <w:rsid w:val="0F565B36"/>
    <w:rsid w:val="0F821E7D"/>
    <w:rsid w:val="0FE7592C"/>
    <w:rsid w:val="0FF53B71"/>
    <w:rsid w:val="0FFD20F0"/>
    <w:rsid w:val="103E6E57"/>
    <w:rsid w:val="1041497B"/>
    <w:rsid w:val="10425FF6"/>
    <w:rsid w:val="10694D6D"/>
    <w:rsid w:val="109010E6"/>
    <w:rsid w:val="10B271F4"/>
    <w:rsid w:val="10C8275C"/>
    <w:rsid w:val="10E03539"/>
    <w:rsid w:val="10E82D1F"/>
    <w:rsid w:val="10EE5C94"/>
    <w:rsid w:val="110272F8"/>
    <w:rsid w:val="113329E7"/>
    <w:rsid w:val="113F294C"/>
    <w:rsid w:val="11437C85"/>
    <w:rsid w:val="1166372C"/>
    <w:rsid w:val="11700D10"/>
    <w:rsid w:val="1178125A"/>
    <w:rsid w:val="1196056D"/>
    <w:rsid w:val="11D34654"/>
    <w:rsid w:val="11DE0FD1"/>
    <w:rsid w:val="12010480"/>
    <w:rsid w:val="120E707F"/>
    <w:rsid w:val="127A7D1C"/>
    <w:rsid w:val="12836D8B"/>
    <w:rsid w:val="12AB0349"/>
    <w:rsid w:val="12CD57F1"/>
    <w:rsid w:val="12CE7AFA"/>
    <w:rsid w:val="12D67466"/>
    <w:rsid w:val="13272A5D"/>
    <w:rsid w:val="13493108"/>
    <w:rsid w:val="137339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510F12"/>
    <w:rsid w:val="166448F9"/>
    <w:rsid w:val="1677211D"/>
    <w:rsid w:val="167954F9"/>
    <w:rsid w:val="16A060BA"/>
    <w:rsid w:val="16A57EAF"/>
    <w:rsid w:val="16AC6E3F"/>
    <w:rsid w:val="16C872D5"/>
    <w:rsid w:val="16D54FA3"/>
    <w:rsid w:val="16D84D9F"/>
    <w:rsid w:val="16E94D3E"/>
    <w:rsid w:val="170D06E0"/>
    <w:rsid w:val="17332185"/>
    <w:rsid w:val="17475951"/>
    <w:rsid w:val="179F2E61"/>
    <w:rsid w:val="17C227C0"/>
    <w:rsid w:val="18097740"/>
    <w:rsid w:val="185D3C42"/>
    <w:rsid w:val="185F38AF"/>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A125525"/>
    <w:rsid w:val="1A5F4342"/>
    <w:rsid w:val="1A615B06"/>
    <w:rsid w:val="1A8C5D82"/>
    <w:rsid w:val="1A994988"/>
    <w:rsid w:val="1A9B546C"/>
    <w:rsid w:val="1AA3511F"/>
    <w:rsid w:val="1AAE3B54"/>
    <w:rsid w:val="1AC10987"/>
    <w:rsid w:val="1B0C5B32"/>
    <w:rsid w:val="1B0D3E82"/>
    <w:rsid w:val="1B1652AB"/>
    <w:rsid w:val="1B181CD5"/>
    <w:rsid w:val="1B1C4D59"/>
    <w:rsid w:val="1B265306"/>
    <w:rsid w:val="1B4F2450"/>
    <w:rsid w:val="1B8C18B7"/>
    <w:rsid w:val="1BB73AE1"/>
    <w:rsid w:val="1BD2101B"/>
    <w:rsid w:val="1BDA6D68"/>
    <w:rsid w:val="1C555978"/>
    <w:rsid w:val="1C6554A1"/>
    <w:rsid w:val="1C7971B7"/>
    <w:rsid w:val="1CD402EC"/>
    <w:rsid w:val="1CF02333"/>
    <w:rsid w:val="1D0C33A2"/>
    <w:rsid w:val="1D113E6E"/>
    <w:rsid w:val="1D114E5E"/>
    <w:rsid w:val="1D1F0050"/>
    <w:rsid w:val="1D2222DC"/>
    <w:rsid w:val="1D5B3CDE"/>
    <w:rsid w:val="1D6E2950"/>
    <w:rsid w:val="1D98209B"/>
    <w:rsid w:val="1DA23746"/>
    <w:rsid w:val="1DAA14B9"/>
    <w:rsid w:val="1DD04513"/>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0B9460A"/>
    <w:rsid w:val="210F579E"/>
    <w:rsid w:val="212550B5"/>
    <w:rsid w:val="21592B62"/>
    <w:rsid w:val="21747CD2"/>
    <w:rsid w:val="219E5782"/>
    <w:rsid w:val="21E72B0B"/>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4B0BA4"/>
    <w:rsid w:val="26526108"/>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9D06C5"/>
    <w:rsid w:val="27A34941"/>
    <w:rsid w:val="283C23DF"/>
    <w:rsid w:val="284C16F5"/>
    <w:rsid w:val="284E31A4"/>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0B7C95"/>
    <w:rsid w:val="2B100BA9"/>
    <w:rsid w:val="2B1E3AFC"/>
    <w:rsid w:val="2B522706"/>
    <w:rsid w:val="2B9E4F56"/>
    <w:rsid w:val="2BDB5A88"/>
    <w:rsid w:val="2BE91C37"/>
    <w:rsid w:val="2BEC3F72"/>
    <w:rsid w:val="2C083572"/>
    <w:rsid w:val="2C185F94"/>
    <w:rsid w:val="2C1F1AC4"/>
    <w:rsid w:val="2C3F3A41"/>
    <w:rsid w:val="2C4431C4"/>
    <w:rsid w:val="2C62059F"/>
    <w:rsid w:val="2C6634FA"/>
    <w:rsid w:val="2CAC022C"/>
    <w:rsid w:val="2CC11807"/>
    <w:rsid w:val="2CF14D04"/>
    <w:rsid w:val="2CF16074"/>
    <w:rsid w:val="2CF81D1B"/>
    <w:rsid w:val="2D3F2453"/>
    <w:rsid w:val="2D835174"/>
    <w:rsid w:val="2DD90B7B"/>
    <w:rsid w:val="2DDD3FC1"/>
    <w:rsid w:val="2DF701D8"/>
    <w:rsid w:val="2DF970A1"/>
    <w:rsid w:val="2E085834"/>
    <w:rsid w:val="2E1034F8"/>
    <w:rsid w:val="2E505773"/>
    <w:rsid w:val="2E742F70"/>
    <w:rsid w:val="2EDC2A13"/>
    <w:rsid w:val="2EFD7DB9"/>
    <w:rsid w:val="2F1A081D"/>
    <w:rsid w:val="2F1E3DC0"/>
    <w:rsid w:val="2F3112DE"/>
    <w:rsid w:val="2F3B6922"/>
    <w:rsid w:val="2F506C6D"/>
    <w:rsid w:val="2F51291F"/>
    <w:rsid w:val="2F55758A"/>
    <w:rsid w:val="2F7F15AE"/>
    <w:rsid w:val="2FA54796"/>
    <w:rsid w:val="2FA674E2"/>
    <w:rsid w:val="2FFE7D49"/>
    <w:rsid w:val="302A5C42"/>
    <w:rsid w:val="30BF439A"/>
    <w:rsid w:val="30CB1B61"/>
    <w:rsid w:val="30CF6A37"/>
    <w:rsid w:val="30D250CF"/>
    <w:rsid w:val="31002970"/>
    <w:rsid w:val="31046251"/>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B943EC"/>
    <w:rsid w:val="32D37F7C"/>
    <w:rsid w:val="32DC63A0"/>
    <w:rsid w:val="32E429C1"/>
    <w:rsid w:val="334A3B2A"/>
    <w:rsid w:val="3365592E"/>
    <w:rsid w:val="336F6533"/>
    <w:rsid w:val="337E5E2F"/>
    <w:rsid w:val="3384610D"/>
    <w:rsid w:val="33AA5979"/>
    <w:rsid w:val="33C03E90"/>
    <w:rsid w:val="33C96649"/>
    <w:rsid w:val="33CC3D88"/>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69B4CF0"/>
    <w:rsid w:val="36D62629"/>
    <w:rsid w:val="36D76172"/>
    <w:rsid w:val="36E833BB"/>
    <w:rsid w:val="36EB1E1B"/>
    <w:rsid w:val="36F17F0D"/>
    <w:rsid w:val="3735197D"/>
    <w:rsid w:val="373756A2"/>
    <w:rsid w:val="374F7432"/>
    <w:rsid w:val="375E0DA6"/>
    <w:rsid w:val="376A2990"/>
    <w:rsid w:val="378B61A6"/>
    <w:rsid w:val="37CD3F98"/>
    <w:rsid w:val="37DF75BA"/>
    <w:rsid w:val="37E148E2"/>
    <w:rsid w:val="38304889"/>
    <w:rsid w:val="38382675"/>
    <w:rsid w:val="3851700B"/>
    <w:rsid w:val="385246B6"/>
    <w:rsid w:val="38635F53"/>
    <w:rsid w:val="38A53DB7"/>
    <w:rsid w:val="38BF3388"/>
    <w:rsid w:val="38CC268D"/>
    <w:rsid w:val="38EC2960"/>
    <w:rsid w:val="392536E2"/>
    <w:rsid w:val="39465F15"/>
    <w:rsid w:val="396453C5"/>
    <w:rsid w:val="39922CCF"/>
    <w:rsid w:val="39A65327"/>
    <w:rsid w:val="39A65C9B"/>
    <w:rsid w:val="39BC5ED6"/>
    <w:rsid w:val="39EB39E0"/>
    <w:rsid w:val="39EF02D4"/>
    <w:rsid w:val="3A05667B"/>
    <w:rsid w:val="3A11342A"/>
    <w:rsid w:val="3A153110"/>
    <w:rsid w:val="3A2507C0"/>
    <w:rsid w:val="3A297E52"/>
    <w:rsid w:val="3A393FA7"/>
    <w:rsid w:val="3A64203E"/>
    <w:rsid w:val="3A663D00"/>
    <w:rsid w:val="3A7428D0"/>
    <w:rsid w:val="3A923AE4"/>
    <w:rsid w:val="3AA50E25"/>
    <w:rsid w:val="3AC566E3"/>
    <w:rsid w:val="3AD6747A"/>
    <w:rsid w:val="3B3D0FF2"/>
    <w:rsid w:val="3B521A18"/>
    <w:rsid w:val="3B923660"/>
    <w:rsid w:val="3BCA44BE"/>
    <w:rsid w:val="3C061F3A"/>
    <w:rsid w:val="3C244FFA"/>
    <w:rsid w:val="3C495480"/>
    <w:rsid w:val="3C6F0167"/>
    <w:rsid w:val="3C71667B"/>
    <w:rsid w:val="3C914F3B"/>
    <w:rsid w:val="3CA72347"/>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1A106E"/>
    <w:rsid w:val="3E36303B"/>
    <w:rsid w:val="3E526044"/>
    <w:rsid w:val="3E8C5311"/>
    <w:rsid w:val="3E8E7E55"/>
    <w:rsid w:val="3EB61473"/>
    <w:rsid w:val="3ED25E0B"/>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F2DE9"/>
    <w:rsid w:val="40991379"/>
    <w:rsid w:val="409B3C3D"/>
    <w:rsid w:val="40F701DF"/>
    <w:rsid w:val="40FD480A"/>
    <w:rsid w:val="412A32F8"/>
    <w:rsid w:val="417F433E"/>
    <w:rsid w:val="41B7239D"/>
    <w:rsid w:val="41E47AD6"/>
    <w:rsid w:val="41FF3845"/>
    <w:rsid w:val="421104A9"/>
    <w:rsid w:val="42143B88"/>
    <w:rsid w:val="42164586"/>
    <w:rsid w:val="425B5DD1"/>
    <w:rsid w:val="4260300C"/>
    <w:rsid w:val="42800B9B"/>
    <w:rsid w:val="42A06B6C"/>
    <w:rsid w:val="42EA5650"/>
    <w:rsid w:val="42F0313A"/>
    <w:rsid w:val="431408DA"/>
    <w:rsid w:val="4331401E"/>
    <w:rsid w:val="435A0DF2"/>
    <w:rsid w:val="436C42E1"/>
    <w:rsid w:val="437C210F"/>
    <w:rsid w:val="43847F02"/>
    <w:rsid w:val="438F113C"/>
    <w:rsid w:val="439E7EFB"/>
    <w:rsid w:val="43B1568A"/>
    <w:rsid w:val="43D43ECA"/>
    <w:rsid w:val="43DD452F"/>
    <w:rsid w:val="43DE6CD4"/>
    <w:rsid w:val="43E51150"/>
    <w:rsid w:val="43EF28BB"/>
    <w:rsid w:val="43EF56D3"/>
    <w:rsid w:val="440A6FD2"/>
    <w:rsid w:val="441E3304"/>
    <w:rsid w:val="444946CA"/>
    <w:rsid w:val="444B3F54"/>
    <w:rsid w:val="4476661F"/>
    <w:rsid w:val="447E3AC5"/>
    <w:rsid w:val="44A90BAA"/>
    <w:rsid w:val="44B24A20"/>
    <w:rsid w:val="44BC0BEE"/>
    <w:rsid w:val="44FB1C9C"/>
    <w:rsid w:val="454F1836"/>
    <w:rsid w:val="45887B45"/>
    <w:rsid w:val="458B66DF"/>
    <w:rsid w:val="45940F0E"/>
    <w:rsid w:val="45AC5DBA"/>
    <w:rsid w:val="45C647AF"/>
    <w:rsid w:val="45DD529D"/>
    <w:rsid w:val="45E57886"/>
    <w:rsid w:val="46003076"/>
    <w:rsid w:val="46177E29"/>
    <w:rsid w:val="46205B7F"/>
    <w:rsid w:val="465D501C"/>
    <w:rsid w:val="466367DB"/>
    <w:rsid w:val="46686D18"/>
    <w:rsid w:val="46C3037C"/>
    <w:rsid w:val="46FF15E0"/>
    <w:rsid w:val="4700581C"/>
    <w:rsid w:val="4702516A"/>
    <w:rsid w:val="474A4B33"/>
    <w:rsid w:val="47665A15"/>
    <w:rsid w:val="47677941"/>
    <w:rsid w:val="477912EF"/>
    <w:rsid w:val="477F1660"/>
    <w:rsid w:val="4788232A"/>
    <w:rsid w:val="478B0398"/>
    <w:rsid w:val="478F5D0B"/>
    <w:rsid w:val="47B8724E"/>
    <w:rsid w:val="47ED7BCA"/>
    <w:rsid w:val="48016F34"/>
    <w:rsid w:val="480556DB"/>
    <w:rsid w:val="48185C56"/>
    <w:rsid w:val="4832531E"/>
    <w:rsid w:val="48450F81"/>
    <w:rsid w:val="484E729D"/>
    <w:rsid w:val="485A23C2"/>
    <w:rsid w:val="48A16B62"/>
    <w:rsid w:val="48BC6222"/>
    <w:rsid w:val="48C245E9"/>
    <w:rsid w:val="48DB312A"/>
    <w:rsid w:val="48DF49D9"/>
    <w:rsid w:val="492108CC"/>
    <w:rsid w:val="49E669E4"/>
    <w:rsid w:val="4A05334F"/>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E9350A"/>
    <w:rsid w:val="4CF632F0"/>
    <w:rsid w:val="4D0538CD"/>
    <w:rsid w:val="4D297BF3"/>
    <w:rsid w:val="4D2D0EAF"/>
    <w:rsid w:val="4D7F0082"/>
    <w:rsid w:val="4D952FD9"/>
    <w:rsid w:val="4D970662"/>
    <w:rsid w:val="4DB33393"/>
    <w:rsid w:val="4DCF1E0D"/>
    <w:rsid w:val="4DD632D9"/>
    <w:rsid w:val="4DE05DF9"/>
    <w:rsid w:val="4DE24AA5"/>
    <w:rsid w:val="4DE44800"/>
    <w:rsid w:val="4DEE0709"/>
    <w:rsid w:val="4DFC14EA"/>
    <w:rsid w:val="4DFF6815"/>
    <w:rsid w:val="4E0A3427"/>
    <w:rsid w:val="4E304B5D"/>
    <w:rsid w:val="4E682F8C"/>
    <w:rsid w:val="4E6A7BB7"/>
    <w:rsid w:val="4F0773B4"/>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47390"/>
    <w:rsid w:val="545E1D01"/>
    <w:rsid w:val="54935B8F"/>
    <w:rsid w:val="54CC6227"/>
    <w:rsid w:val="54D10F9B"/>
    <w:rsid w:val="551D586C"/>
    <w:rsid w:val="55200298"/>
    <w:rsid w:val="55313209"/>
    <w:rsid w:val="55335E1B"/>
    <w:rsid w:val="554B7EF0"/>
    <w:rsid w:val="556F3D99"/>
    <w:rsid w:val="55860894"/>
    <w:rsid w:val="55B02DF1"/>
    <w:rsid w:val="55DC290C"/>
    <w:rsid w:val="55F01FA1"/>
    <w:rsid w:val="56990B7C"/>
    <w:rsid w:val="569E1126"/>
    <w:rsid w:val="56B80DEB"/>
    <w:rsid w:val="56E06E61"/>
    <w:rsid w:val="56F653FE"/>
    <w:rsid w:val="575B7AFD"/>
    <w:rsid w:val="57660D3F"/>
    <w:rsid w:val="57706F91"/>
    <w:rsid w:val="57D1153D"/>
    <w:rsid w:val="57FA3774"/>
    <w:rsid w:val="58084A3C"/>
    <w:rsid w:val="585D2975"/>
    <w:rsid w:val="587E3341"/>
    <w:rsid w:val="58CF56D8"/>
    <w:rsid w:val="58D31010"/>
    <w:rsid w:val="58D6741E"/>
    <w:rsid w:val="58EA3D0E"/>
    <w:rsid w:val="58F71269"/>
    <w:rsid w:val="58FE045E"/>
    <w:rsid w:val="59561946"/>
    <w:rsid w:val="59670F51"/>
    <w:rsid w:val="596A44F9"/>
    <w:rsid w:val="596C19BB"/>
    <w:rsid w:val="59790BDB"/>
    <w:rsid w:val="598653AC"/>
    <w:rsid w:val="59AC3C86"/>
    <w:rsid w:val="59D42FDA"/>
    <w:rsid w:val="59DA4E01"/>
    <w:rsid w:val="59F64E82"/>
    <w:rsid w:val="5A10435C"/>
    <w:rsid w:val="5A2654CC"/>
    <w:rsid w:val="5A323A44"/>
    <w:rsid w:val="5A395E66"/>
    <w:rsid w:val="5A484352"/>
    <w:rsid w:val="5A5321A5"/>
    <w:rsid w:val="5A8734A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F03D58"/>
    <w:rsid w:val="5C1A6BB2"/>
    <w:rsid w:val="5C5355FE"/>
    <w:rsid w:val="5C6F4105"/>
    <w:rsid w:val="5C7A4EE2"/>
    <w:rsid w:val="5CBB7F6F"/>
    <w:rsid w:val="5D7C3F11"/>
    <w:rsid w:val="5D9D49E0"/>
    <w:rsid w:val="5DDF1821"/>
    <w:rsid w:val="5DE057AA"/>
    <w:rsid w:val="5DEA2F91"/>
    <w:rsid w:val="5E3146A3"/>
    <w:rsid w:val="5E442F62"/>
    <w:rsid w:val="5E6C2C5B"/>
    <w:rsid w:val="5E7251A2"/>
    <w:rsid w:val="5E7C3591"/>
    <w:rsid w:val="5E9D0E18"/>
    <w:rsid w:val="5EA2144B"/>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A3757A"/>
    <w:rsid w:val="60C2109A"/>
    <w:rsid w:val="60FF21D9"/>
    <w:rsid w:val="610671B8"/>
    <w:rsid w:val="613253FD"/>
    <w:rsid w:val="61421F29"/>
    <w:rsid w:val="61712185"/>
    <w:rsid w:val="61970898"/>
    <w:rsid w:val="61A90D68"/>
    <w:rsid w:val="621775E2"/>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EE4692"/>
    <w:rsid w:val="63FD622D"/>
    <w:rsid w:val="643F32F9"/>
    <w:rsid w:val="64582686"/>
    <w:rsid w:val="64673C87"/>
    <w:rsid w:val="64A251DD"/>
    <w:rsid w:val="64C63491"/>
    <w:rsid w:val="64DB63AB"/>
    <w:rsid w:val="64EA6C44"/>
    <w:rsid w:val="650242F0"/>
    <w:rsid w:val="65542778"/>
    <w:rsid w:val="655829AF"/>
    <w:rsid w:val="656B70C3"/>
    <w:rsid w:val="658F4798"/>
    <w:rsid w:val="659B1EBA"/>
    <w:rsid w:val="65B461E9"/>
    <w:rsid w:val="65BE39A8"/>
    <w:rsid w:val="65FB3FBE"/>
    <w:rsid w:val="66247D11"/>
    <w:rsid w:val="66736112"/>
    <w:rsid w:val="667F5B5B"/>
    <w:rsid w:val="6694262A"/>
    <w:rsid w:val="66990381"/>
    <w:rsid w:val="66B31B01"/>
    <w:rsid w:val="66CE1E80"/>
    <w:rsid w:val="66E362F9"/>
    <w:rsid w:val="66E47FD9"/>
    <w:rsid w:val="67071922"/>
    <w:rsid w:val="673B73C0"/>
    <w:rsid w:val="675608B6"/>
    <w:rsid w:val="67754402"/>
    <w:rsid w:val="677D54ED"/>
    <w:rsid w:val="67B25E27"/>
    <w:rsid w:val="67C4383B"/>
    <w:rsid w:val="67D35E1A"/>
    <w:rsid w:val="67F35317"/>
    <w:rsid w:val="680201B7"/>
    <w:rsid w:val="68362BFB"/>
    <w:rsid w:val="683F1130"/>
    <w:rsid w:val="684456A1"/>
    <w:rsid w:val="685E1363"/>
    <w:rsid w:val="688E1089"/>
    <w:rsid w:val="68A026F3"/>
    <w:rsid w:val="68AF6C13"/>
    <w:rsid w:val="690C026E"/>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C234DED"/>
    <w:rsid w:val="6C29198B"/>
    <w:rsid w:val="6C3A67D1"/>
    <w:rsid w:val="6C3D2D5C"/>
    <w:rsid w:val="6C4800AA"/>
    <w:rsid w:val="6C4D28F8"/>
    <w:rsid w:val="6C5101CA"/>
    <w:rsid w:val="6C5336C7"/>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6FD92F65"/>
    <w:rsid w:val="7024611F"/>
    <w:rsid w:val="70637B96"/>
    <w:rsid w:val="70797317"/>
    <w:rsid w:val="7099044B"/>
    <w:rsid w:val="709D518F"/>
    <w:rsid w:val="70C759D3"/>
    <w:rsid w:val="70CF2B23"/>
    <w:rsid w:val="710952C1"/>
    <w:rsid w:val="71452CD8"/>
    <w:rsid w:val="7158683A"/>
    <w:rsid w:val="715B2F52"/>
    <w:rsid w:val="71764F23"/>
    <w:rsid w:val="71946576"/>
    <w:rsid w:val="71967E84"/>
    <w:rsid w:val="71A61873"/>
    <w:rsid w:val="71AF4936"/>
    <w:rsid w:val="71D75D0F"/>
    <w:rsid w:val="721919B3"/>
    <w:rsid w:val="721A6098"/>
    <w:rsid w:val="72310D1A"/>
    <w:rsid w:val="725D6B54"/>
    <w:rsid w:val="726F4F19"/>
    <w:rsid w:val="72A17C99"/>
    <w:rsid w:val="72AF6F7E"/>
    <w:rsid w:val="72D975AD"/>
    <w:rsid w:val="72DF5BFA"/>
    <w:rsid w:val="73047904"/>
    <w:rsid w:val="734C1A6A"/>
    <w:rsid w:val="735C5949"/>
    <w:rsid w:val="73737DA5"/>
    <w:rsid w:val="73887B3E"/>
    <w:rsid w:val="73892412"/>
    <w:rsid w:val="73E96BCA"/>
    <w:rsid w:val="73EE4A6E"/>
    <w:rsid w:val="741048BC"/>
    <w:rsid w:val="742E78D4"/>
    <w:rsid w:val="74676A28"/>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9B4A80"/>
    <w:rsid w:val="76BB1CAB"/>
    <w:rsid w:val="76C04050"/>
    <w:rsid w:val="76E65049"/>
    <w:rsid w:val="77076007"/>
    <w:rsid w:val="77413F7E"/>
    <w:rsid w:val="77835654"/>
    <w:rsid w:val="7797109C"/>
    <w:rsid w:val="779A2A38"/>
    <w:rsid w:val="77B4450A"/>
    <w:rsid w:val="77B46E73"/>
    <w:rsid w:val="77B550CB"/>
    <w:rsid w:val="77E37A12"/>
    <w:rsid w:val="77FE3468"/>
    <w:rsid w:val="78546F0C"/>
    <w:rsid w:val="78EE1C79"/>
    <w:rsid w:val="796D27FC"/>
    <w:rsid w:val="797239CC"/>
    <w:rsid w:val="79831473"/>
    <w:rsid w:val="7999527A"/>
    <w:rsid w:val="79AF76C5"/>
    <w:rsid w:val="79C25EE1"/>
    <w:rsid w:val="79CE2967"/>
    <w:rsid w:val="79EA664C"/>
    <w:rsid w:val="7A2F459A"/>
    <w:rsid w:val="7A517022"/>
    <w:rsid w:val="7A6F5001"/>
    <w:rsid w:val="7AA2343E"/>
    <w:rsid w:val="7ADA73A4"/>
    <w:rsid w:val="7AE66B99"/>
    <w:rsid w:val="7B0A3BCA"/>
    <w:rsid w:val="7B392C93"/>
    <w:rsid w:val="7B4048C1"/>
    <w:rsid w:val="7B73082F"/>
    <w:rsid w:val="7BC62E00"/>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843CCE"/>
    <w:rsid w:val="7D9005BC"/>
    <w:rsid w:val="7D9F0AD0"/>
    <w:rsid w:val="7DD12BB7"/>
    <w:rsid w:val="7DFF0955"/>
    <w:rsid w:val="7E0B750E"/>
    <w:rsid w:val="7E2822EA"/>
    <w:rsid w:val="7E355A7B"/>
    <w:rsid w:val="7E6E3E85"/>
    <w:rsid w:val="7E9C184B"/>
    <w:rsid w:val="7EA72948"/>
    <w:rsid w:val="7EB31EDB"/>
    <w:rsid w:val="7EE70CC0"/>
    <w:rsid w:val="7EEB48DB"/>
    <w:rsid w:val="7EF27444"/>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qFormat/>
    <w:uiPriority w:val="0"/>
    <w:pPr>
      <w:keepNext/>
      <w:keepLines/>
      <w:spacing w:before="340" w:after="330" w:line="576" w:lineRule="auto"/>
      <w:outlineLvl w:val="0"/>
    </w:pPr>
    <w:rPr>
      <w:b/>
      <w:bCs/>
      <w:kern w:val="44"/>
      <w:sz w:val="44"/>
      <w:szCs w:val="44"/>
    </w:rPr>
  </w:style>
  <w:style w:type="paragraph" w:styleId="8">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9">
    <w:name w:val="heading 3"/>
    <w:basedOn w:val="1"/>
    <w:next w:val="1"/>
    <w:qFormat/>
    <w:uiPriority w:val="0"/>
    <w:pPr>
      <w:keepNext/>
      <w:keepLines/>
      <w:spacing w:before="260" w:after="260" w:line="416" w:lineRule="auto"/>
      <w:outlineLvl w:val="2"/>
    </w:pPr>
    <w:rPr>
      <w:b/>
      <w:bCs/>
      <w:sz w:val="32"/>
      <w:szCs w:val="32"/>
    </w:rPr>
  </w:style>
  <w:style w:type="paragraph" w:styleId="10">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spacing w:line="360" w:lineRule="auto"/>
      <w:ind w:firstLine="420" w:firstLineChars="100"/>
    </w:pPr>
    <w:rPr>
      <w:szCs w:val="21"/>
    </w:rPr>
  </w:style>
  <w:style w:type="paragraph" w:styleId="3">
    <w:name w:val="Body Text"/>
    <w:basedOn w:val="1"/>
    <w:next w:val="1"/>
    <w:link w:val="73"/>
    <w:qFormat/>
    <w:uiPriority w:val="0"/>
  </w:style>
  <w:style w:type="paragraph" w:styleId="4">
    <w:name w:val="Body Text First Indent 2"/>
    <w:basedOn w:val="5"/>
    <w:next w:val="1"/>
    <w:qFormat/>
    <w:uiPriority w:val="0"/>
    <w:pPr>
      <w:ind w:firstLine="420" w:firstLineChars="200"/>
    </w:pPr>
  </w:style>
  <w:style w:type="paragraph" w:styleId="5">
    <w:name w:val="Body Text Indent"/>
    <w:basedOn w:val="1"/>
    <w:next w:val="6"/>
    <w:qFormat/>
    <w:uiPriority w:val="0"/>
    <w:pPr>
      <w:widowControl/>
      <w:spacing w:beforeAutospacing="1" w:afterAutospacing="1"/>
      <w:jc w:val="left"/>
    </w:pPr>
    <w:rPr>
      <w:rFonts w:ascii="宋体" w:hAnsi="宋体" w:cs="宋体"/>
      <w:kern w:val="0"/>
      <w:sz w:val="24"/>
    </w:rPr>
  </w:style>
  <w:style w:type="paragraph" w:customStyle="1" w:styleId="6">
    <w:name w:val="目录 51"/>
    <w:next w:val="1"/>
    <w:qFormat/>
    <w:uiPriority w:val="0"/>
    <w:pPr>
      <w:wordWrap w:val="0"/>
      <w:ind w:left="1700"/>
      <w:jc w:val="both"/>
    </w:pPr>
    <w:rPr>
      <w:rFonts w:ascii="Times New Roman" w:hAnsi="Times New Roman" w:eastAsia="Calibri" w:cs="Times New Roman"/>
      <w:sz w:val="21"/>
      <w:lang w:val="en-US" w:eastAsia="zh-CN" w:bidi="ar-SA"/>
    </w:rPr>
  </w:style>
  <w:style w:type="paragraph" w:styleId="11">
    <w:name w:val="List Number"/>
    <w:basedOn w:val="1"/>
    <w:qFormat/>
    <w:uiPriority w:val="0"/>
    <w:pPr>
      <w:widowControl/>
      <w:spacing w:beforeAutospacing="1" w:afterAutospacing="1"/>
      <w:jc w:val="left"/>
    </w:pPr>
    <w:rPr>
      <w:rFonts w:ascii="宋体" w:hAnsi="宋体" w:cs="宋体"/>
      <w:kern w:val="0"/>
      <w:sz w:val="24"/>
    </w:rPr>
  </w:style>
  <w:style w:type="paragraph" w:styleId="12">
    <w:name w:val="Normal Indent"/>
    <w:basedOn w:val="1"/>
    <w:qFormat/>
    <w:uiPriority w:val="0"/>
    <w:pPr>
      <w:widowControl/>
      <w:spacing w:beforeAutospacing="1" w:afterAutospacing="1"/>
      <w:jc w:val="left"/>
    </w:pPr>
    <w:rPr>
      <w:rFonts w:ascii="宋体" w:hAnsi="宋体" w:cs="宋体"/>
      <w:kern w:val="0"/>
      <w:sz w:val="24"/>
    </w:rPr>
  </w:style>
  <w:style w:type="paragraph" w:styleId="13">
    <w:name w:val="Document Map"/>
    <w:basedOn w:val="1"/>
    <w:link w:val="75"/>
    <w:qFormat/>
    <w:uiPriority w:val="0"/>
    <w:rPr>
      <w:rFonts w:ascii="宋体" w:hAnsi="Calibri"/>
      <w:sz w:val="18"/>
      <w:szCs w:val="18"/>
    </w:rPr>
  </w:style>
  <w:style w:type="paragraph" w:styleId="14">
    <w:name w:val="annotation text"/>
    <w:basedOn w:val="1"/>
    <w:qFormat/>
    <w:uiPriority w:val="0"/>
    <w:pPr>
      <w:jc w:val="left"/>
    </w:pPr>
  </w:style>
  <w:style w:type="paragraph" w:styleId="15">
    <w:name w:val="Body Text 3"/>
    <w:basedOn w:val="1"/>
    <w:qFormat/>
    <w:uiPriority w:val="0"/>
    <w:rPr>
      <w:sz w:val="16"/>
      <w:szCs w:val="16"/>
    </w:rPr>
  </w:style>
  <w:style w:type="paragraph" w:styleId="16">
    <w:name w:val="List 2"/>
    <w:basedOn w:val="1"/>
    <w:qFormat/>
    <w:uiPriority w:val="0"/>
    <w:pPr>
      <w:ind w:left="100" w:leftChars="200" w:hanging="200" w:hangingChars="200"/>
    </w:pPr>
  </w:style>
  <w:style w:type="paragraph" w:styleId="17">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8">
    <w:name w:val="toc 3"/>
    <w:basedOn w:val="1"/>
    <w:next w:val="1"/>
    <w:qFormat/>
    <w:uiPriority w:val="0"/>
    <w:pPr>
      <w:tabs>
        <w:tab w:val="left" w:pos="709"/>
        <w:tab w:val="right" w:leader="dot" w:pos="8789"/>
      </w:tabs>
      <w:spacing w:line="400" w:lineRule="atLeast"/>
    </w:pPr>
    <w:rPr>
      <w:rFonts w:ascii="宋体"/>
      <w:kern w:val="0"/>
      <w:szCs w:val="20"/>
    </w:rPr>
  </w:style>
  <w:style w:type="paragraph" w:styleId="19">
    <w:name w:val="Plain Text"/>
    <w:basedOn w:val="1"/>
    <w:qFormat/>
    <w:uiPriority w:val="0"/>
    <w:pPr>
      <w:widowControl/>
      <w:spacing w:beforeAutospacing="1" w:afterAutospacing="1"/>
      <w:jc w:val="left"/>
    </w:pPr>
    <w:rPr>
      <w:rFonts w:ascii="宋体" w:hAnsi="宋体" w:cs="宋体"/>
      <w:kern w:val="0"/>
      <w:sz w:val="24"/>
    </w:rPr>
  </w:style>
  <w:style w:type="paragraph" w:styleId="20">
    <w:name w:val="Date"/>
    <w:basedOn w:val="1"/>
    <w:next w:val="1"/>
    <w:qFormat/>
    <w:uiPriority w:val="0"/>
    <w:pPr>
      <w:ind w:left="100" w:leftChars="2500"/>
    </w:pPr>
    <w:rPr>
      <w:rFonts w:ascii="宋体" w:hAnsi="宋体"/>
      <w:sz w:val="28"/>
    </w:rPr>
  </w:style>
  <w:style w:type="paragraph" w:styleId="21">
    <w:name w:val="Body Text Indent 2"/>
    <w:basedOn w:val="1"/>
    <w:qFormat/>
    <w:uiPriority w:val="0"/>
    <w:pPr>
      <w:spacing w:line="480" w:lineRule="auto"/>
      <w:ind w:left="420" w:leftChars="200"/>
    </w:pPr>
  </w:style>
  <w:style w:type="paragraph" w:styleId="22">
    <w:name w:val="footer"/>
    <w:basedOn w:val="1"/>
    <w:qFormat/>
    <w:uiPriority w:val="0"/>
    <w:pPr>
      <w:tabs>
        <w:tab w:val="center" w:pos="4153"/>
        <w:tab w:val="right" w:pos="8306"/>
      </w:tabs>
      <w:snapToGrid w:val="0"/>
      <w:jc w:val="left"/>
    </w:pPr>
    <w:rPr>
      <w:sz w:val="18"/>
      <w:szCs w:val="18"/>
    </w:rPr>
  </w:style>
  <w:style w:type="paragraph" w:styleId="23">
    <w:name w:val="envelope return"/>
    <w:basedOn w:val="1"/>
    <w:unhideWhenUsed/>
    <w:qFormat/>
    <w:uiPriority w:val="99"/>
    <w:pPr>
      <w:snapToGrid w:val="0"/>
    </w:pPr>
    <w:rPr>
      <w:rFonts w:ascii="Arial" w:hAnsi="Arial"/>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style>
  <w:style w:type="paragraph" w:styleId="26">
    <w:name w:val="List"/>
    <w:basedOn w:val="1"/>
    <w:qFormat/>
    <w:uiPriority w:val="0"/>
    <w:pPr>
      <w:ind w:left="200" w:hanging="200" w:hangingChars="200"/>
    </w:pPr>
  </w:style>
  <w:style w:type="paragraph" w:styleId="27">
    <w:name w:val="Body Text 2"/>
    <w:basedOn w:val="1"/>
    <w:next w:val="3"/>
    <w:qFormat/>
    <w:uiPriority w:val="0"/>
    <w:pPr>
      <w:spacing w:line="480" w:lineRule="auto"/>
    </w:pPr>
  </w:style>
  <w:style w:type="paragraph" w:styleId="28">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0">
    <w:name w:val="Normal (Web)"/>
    <w:basedOn w:val="1"/>
    <w:qFormat/>
    <w:uiPriority w:val="99"/>
    <w:pPr>
      <w:spacing w:before="100" w:beforeAutospacing="1" w:after="100" w:afterAutospacing="1"/>
      <w:jc w:val="left"/>
    </w:pPr>
    <w:rPr>
      <w:kern w:val="0"/>
      <w:sz w:val="24"/>
    </w:rPr>
  </w:style>
  <w:style w:type="paragraph" w:styleId="31">
    <w:name w:val="Title"/>
    <w:basedOn w:val="1"/>
    <w:qFormat/>
    <w:uiPriority w:val="0"/>
    <w:pPr>
      <w:jc w:val="center"/>
      <w:outlineLvl w:val="0"/>
    </w:pPr>
    <w:rPr>
      <w:rFonts w:ascii="Arial" w:hAnsi="Arial" w:cs="Arial"/>
      <w:b/>
      <w:bCs/>
      <w:sz w:val="32"/>
      <w:szCs w:val="32"/>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49">
    <w:name w:val="No Spacing1"/>
    <w:basedOn w:val="1"/>
    <w:qFormat/>
    <w:uiPriority w:val="0"/>
    <w:pPr>
      <w:spacing w:line="400" w:lineRule="exact"/>
    </w:pPr>
    <w:rPr>
      <w:sz w:val="24"/>
    </w:rPr>
  </w:style>
  <w:style w:type="paragraph" w:customStyle="1" w:styleId="50">
    <w:name w:val="Default"/>
    <w:next w:val="5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1">
    <w:name w:val="大标题"/>
    <w:basedOn w:val="1"/>
    <w:next w:val="4"/>
    <w:qFormat/>
    <w:uiPriority w:val="0"/>
    <w:pPr>
      <w:jc w:val="center"/>
    </w:pPr>
    <w:rPr>
      <w:rFonts w:ascii="Arial" w:hAnsi="Arial"/>
      <w:b/>
      <w:sz w:val="28"/>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3"/>
    <w:qFormat/>
    <w:uiPriority w:val="0"/>
  </w:style>
  <w:style w:type="character" w:customStyle="1" w:styleId="74">
    <w:name w:val="apple-converted-space"/>
    <w:basedOn w:val="34"/>
    <w:qFormat/>
    <w:uiPriority w:val="0"/>
  </w:style>
  <w:style w:type="character" w:customStyle="1" w:styleId="75">
    <w:name w:val="文档结构图 Char"/>
    <w:link w:val="13"/>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3"/>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36</Pages>
  <Words>17016</Words>
  <Characters>18052</Characters>
  <Lines>50</Lines>
  <Paragraphs>68</Paragraphs>
  <TotalTime>7</TotalTime>
  <ScaleCrop>false</ScaleCrop>
  <LinksUpToDate>false</LinksUpToDate>
  <CharactersWithSpaces>19022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admin</cp:lastModifiedBy>
  <cp:lastPrinted>2021-09-30T00:46:00Z</cp:lastPrinted>
  <dcterms:modified xsi:type="dcterms:W3CDTF">2022-06-29T01:16:44Z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562A285641654D2EA086C4325B3B203C</vt:lpwstr>
  </property>
</Properties>
</file>