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sz w:val="48"/>
          <w:szCs w:val="48"/>
          <w:lang w:val="en-US" w:eastAsia="zh-CN"/>
        </w:rPr>
      </w:pPr>
      <w:bookmarkStart w:id="0" w:name="_Toc22804073"/>
      <w:bookmarkEnd w:id="0"/>
      <w:bookmarkStart w:id="1" w:name="_Toc22953395"/>
      <w:bookmarkEnd w:id="1"/>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default" w:ascii="宋体" w:hAnsi="宋体" w:eastAsia="宋体" w:cs="宋体"/>
          <w:b/>
          <w:bCs/>
          <w:sz w:val="48"/>
          <w:szCs w:val="48"/>
          <w:lang w:val="en-US"/>
        </w:rPr>
      </w:pPr>
      <w:r>
        <w:rPr>
          <w:rFonts w:hint="eastAsia" w:cs="宋体"/>
          <w:b/>
          <w:bCs/>
          <w:sz w:val="48"/>
          <w:szCs w:val="48"/>
          <w:lang w:val="en-US" w:eastAsia="zh-CN"/>
        </w:rPr>
        <w:t>驻马店市中心医院放射工作人员个人剂量监测服务项目</w:t>
      </w:r>
    </w:p>
    <w:p>
      <w:pPr>
        <w:pStyle w:val="18"/>
        <w:bidi w:val="0"/>
        <w:jc w:val="center"/>
        <w:rPr>
          <w:rStyle w:val="45"/>
          <w:rFonts w:hint="eastAsia" w:ascii="宋体" w:hAnsi="宋体" w:eastAsia="宋体" w:cs="宋体"/>
          <w:b/>
          <w:bCs/>
          <w:color w:val="auto"/>
          <w:sz w:val="48"/>
          <w:szCs w:val="48"/>
        </w:rPr>
      </w:pPr>
    </w:p>
    <w:p>
      <w:pPr>
        <w:pStyle w:val="18"/>
        <w:bidi w:val="0"/>
        <w:jc w:val="center"/>
        <w:rPr>
          <w:rStyle w:val="45"/>
          <w:rFonts w:hint="eastAsia" w:ascii="宋体" w:hAnsi="宋体" w:eastAsia="宋体" w:cs="宋体"/>
          <w:b/>
          <w:bCs/>
          <w:color w:val="auto"/>
          <w:sz w:val="48"/>
          <w:szCs w:val="48"/>
        </w:rPr>
      </w:pPr>
    </w:p>
    <w:p>
      <w:pPr>
        <w:pStyle w:val="18"/>
        <w:bidi w:val="0"/>
        <w:jc w:val="center"/>
        <w:rPr>
          <w:rStyle w:val="45"/>
          <w:rFonts w:hint="eastAsia" w:ascii="宋体" w:hAnsi="宋体" w:eastAsia="宋体" w:cs="宋体"/>
          <w:b/>
          <w:bCs/>
          <w:color w:val="auto"/>
          <w:sz w:val="48"/>
          <w:szCs w:val="48"/>
        </w:rPr>
      </w:pPr>
    </w:p>
    <w:p>
      <w:pPr>
        <w:pStyle w:val="18"/>
        <w:bidi w:val="0"/>
        <w:jc w:val="center"/>
        <w:rPr>
          <w:rStyle w:val="45"/>
          <w:rFonts w:hint="eastAsia" w:ascii="宋体" w:hAnsi="宋体" w:eastAsia="宋体" w:cs="宋体"/>
          <w:b/>
          <w:bCs/>
          <w:color w:val="auto"/>
          <w:sz w:val="48"/>
          <w:szCs w:val="48"/>
        </w:rPr>
      </w:pPr>
    </w:p>
    <w:p>
      <w:pPr>
        <w:pStyle w:val="18"/>
        <w:bidi w:val="0"/>
        <w:jc w:val="center"/>
        <w:rPr>
          <w:rStyle w:val="45"/>
          <w:rFonts w:hint="eastAsia" w:ascii="宋体" w:hAnsi="宋体" w:eastAsia="宋体" w:cs="宋体"/>
          <w:b/>
          <w:bCs/>
          <w:color w:val="auto"/>
          <w:szCs w:val="44"/>
        </w:rPr>
      </w:pPr>
      <w:r>
        <w:rPr>
          <w:rStyle w:val="45"/>
          <w:rFonts w:hint="eastAsia" w:cs="宋体"/>
          <w:b/>
          <w:bCs/>
          <w:color w:val="auto"/>
          <w:sz w:val="72"/>
          <w:szCs w:val="72"/>
          <w:lang w:val="en-US" w:eastAsia="zh-CN"/>
        </w:rPr>
        <w:t>采购</w:t>
      </w:r>
      <w:r>
        <w:rPr>
          <w:rStyle w:val="45"/>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spacing w:val="-10"/>
          <w:sz w:val="34"/>
          <w:szCs w:val="34"/>
          <w:lang w:val="en-US" w:eastAsia="zh-CN"/>
        </w:rPr>
      </w:pPr>
    </w:p>
    <w:p>
      <w:pPr>
        <w:snapToGrid w:val="0"/>
        <w:spacing w:line="380" w:lineRule="exact"/>
        <w:jc w:val="center"/>
        <w:rPr>
          <w:rFonts w:hint="eastAsia" w:ascii="宋体" w:hAnsi="宋体" w:eastAsia="宋体" w:cs="宋体"/>
          <w:b/>
          <w:sz w:val="32"/>
          <w:szCs w:val="32"/>
        </w:rPr>
      </w:pPr>
    </w:p>
    <w:p>
      <w:pPr>
        <w:pStyle w:val="31"/>
        <w:rPr>
          <w:rFonts w:hint="eastAsia"/>
        </w:rPr>
      </w:pPr>
    </w:p>
    <w:p>
      <w:pPr>
        <w:pStyle w:val="58"/>
        <w:rPr>
          <w:rFonts w:hint="eastAsia" w:ascii="宋体" w:hAnsi="宋体" w:eastAsia="宋体" w:cs="宋体"/>
          <w:bCs/>
          <w:sz w:val="2"/>
          <w:szCs w:val="2"/>
        </w:rPr>
      </w:pPr>
    </w:p>
    <w:p>
      <w:pPr>
        <w:rPr>
          <w:rFonts w:hint="eastAsia" w:ascii="宋体" w:hAnsi="宋体" w:eastAsia="宋体" w:cs="宋体"/>
          <w:bCs/>
          <w:sz w:val="2"/>
          <w:szCs w:val="2"/>
        </w:rPr>
      </w:pPr>
    </w:p>
    <w:p>
      <w:pPr>
        <w:spacing w:line="20" w:lineRule="exact"/>
        <w:rPr>
          <w:rFonts w:hint="eastAsia" w:ascii="宋体" w:hAnsi="宋体" w:eastAsia="宋体" w:cs="宋体"/>
          <w:bCs/>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spacing w:val="80"/>
          <w:sz w:val="34"/>
          <w:szCs w:val="34"/>
        </w:rPr>
      </w:pPr>
      <w:r>
        <w:rPr>
          <w:rFonts w:hint="eastAsia" w:ascii="宋体" w:hAnsi="宋体" w:eastAsia="宋体" w:cs="宋体"/>
          <w:b/>
          <w:bCs/>
          <w:spacing w:val="-10"/>
          <w:sz w:val="34"/>
          <w:szCs w:val="34"/>
          <w:lang w:val="en-US" w:eastAsia="zh-CN"/>
        </w:rPr>
        <w:t>采 购</w:t>
      </w:r>
      <w:r>
        <w:rPr>
          <w:rFonts w:hint="eastAsia" w:ascii="宋体" w:hAnsi="宋体" w:eastAsia="宋体" w:cs="宋体"/>
          <w:b/>
          <w:bCs/>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spacing w:val="40"/>
          <w:sz w:val="34"/>
          <w:szCs w:val="34"/>
          <w:lang w:val="en-US" w:eastAsia="zh-CN"/>
        </w:rPr>
        <w:t>2022</w:t>
      </w:r>
      <w:r>
        <w:rPr>
          <w:rFonts w:hint="eastAsia" w:ascii="宋体" w:hAnsi="宋体" w:eastAsia="宋体" w:cs="宋体"/>
          <w:b/>
          <w:bCs/>
          <w:spacing w:val="40"/>
          <w:sz w:val="34"/>
          <w:szCs w:val="34"/>
        </w:rPr>
        <w:t>年</w:t>
      </w:r>
      <w:r>
        <w:rPr>
          <w:rFonts w:hint="eastAsia" w:ascii="宋体" w:hAnsi="宋体" w:cs="宋体"/>
          <w:b/>
          <w:bCs/>
          <w:color w:val="FF0000"/>
          <w:spacing w:val="40"/>
          <w:sz w:val="34"/>
          <w:szCs w:val="34"/>
          <w:lang w:val="en-US" w:eastAsia="zh-CN"/>
        </w:rPr>
        <w:t>06</w:t>
      </w:r>
      <w:r>
        <w:rPr>
          <w:rFonts w:hint="eastAsia" w:ascii="宋体" w:hAnsi="宋体" w:eastAsia="宋体" w:cs="宋体"/>
          <w:b/>
          <w:bCs/>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2"/>
        <w:rPr>
          <w:color w:val="auto"/>
          <w:highlight w:val="none"/>
        </w:rPr>
      </w:pPr>
    </w:p>
    <w:p>
      <w:pPr>
        <w:pStyle w:val="24"/>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16</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4"/>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2"/>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Autospacing="0" w:line="360" w:lineRule="auto"/>
        <w:jc w:val="center"/>
        <w:textAlignment w:val="auto"/>
        <w:rPr>
          <w:rFonts w:hint="eastAsia" w:ascii="黑体" w:hAnsi="黑体" w:eastAsia="黑体" w:cs="宋体"/>
          <w:bCs/>
          <w:color w:val="auto"/>
          <w:kern w:val="0"/>
          <w:sz w:val="28"/>
          <w:szCs w:val="28"/>
          <w:u w:val="none"/>
          <w:lang w:val="en-US" w:eastAsia="zh-CN"/>
        </w:rPr>
      </w:pPr>
      <w:r>
        <w:rPr>
          <w:rFonts w:hint="eastAsia" w:ascii="黑体" w:hAnsi="黑体" w:eastAsia="黑体" w:cs="宋体"/>
          <w:bCs/>
          <w:color w:val="auto"/>
          <w:kern w:val="0"/>
          <w:sz w:val="28"/>
          <w:szCs w:val="28"/>
          <w:u w:val="none"/>
          <w:lang w:val="en-US" w:eastAsia="zh-CN"/>
        </w:rPr>
        <w:t>驻马店市中心医院放射工作人员个人剂量监测服务项目</w:t>
      </w:r>
    </w:p>
    <w:p>
      <w:pPr>
        <w:keepNext w:val="0"/>
        <w:keepLines w:val="0"/>
        <w:pageBreakBefore w:val="0"/>
        <w:widowControl/>
        <w:kinsoku/>
        <w:wordWrap/>
        <w:overflowPunct/>
        <w:topLinePunct w:val="0"/>
        <w:autoSpaceDE/>
        <w:autoSpaceDN/>
        <w:bidi w:val="0"/>
        <w:adjustRightInd w:val="0"/>
        <w:snapToGrid w:val="0"/>
        <w:spacing w:beforeAutospacing="0" w:after="157" w:afterLines="5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keepNext w:val="0"/>
        <w:keepLines w:val="0"/>
        <w:pageBreakBefore w:val="0"/>
        <w:widowControl w:val="0"/>
        <w:kinsoku/>
        <w:wordWrap/>
        <w:overflowPunct/>
        <w:topLinePunct w:val="0"/>
        <w:autoSpaceDE/>
        <w:autoSpaceDN/>
        <w:bidi w:val="0"/>
        <w:adjustRightInd/>
        <w:snapToGrid/>
        <w:spacing w:line="440" w:lineRule="exact"/>
        <w:ind w:left="0" w:firstLine="420" w:firstLineChars="200"/>
        <w:textAlignment w:val="auto"/>
        <w:rPr>
          <w:rFonts w:hint="eastAsia" w:ascii="宋体" w:hAnsi="宋体" w:eastAsia="宋体" w:cs="宋体"/>
        </w:rPr>
      </w:pPr>
      <w:r>
        <w:rPr>
          <w:rFonts w:hint="eastAsia" w:ascii="宋体" w:hAnsi="宋体" w:eastAsia="宋体" w:cs="宋体"/>
        </w:rPr>
        <w:t>驻马店市中心医院现对</w:t>
      </w:r>
      <w:r>
        <w:rPr>
          <w:rFonts w:hint="eastAsia" w:ascii="宋体" w:hAnsi="宋体" w:cs="宋体"/>
          <w:u w:val="single"/>
          <w:lang w:eastAsia="zh-CN"/>
        </w:rPr>
        <w:t>放射工作人员个人剂量监测服务项目</w:t>
      </w:r>
      <w:r>
        <w:rPr>
          <w:rFonts w:hint="eastAsia" w:ascii="宋体" w:hAnsi="宋体" w:eastAsia="宋体" w:cs="宋体"/>
        </w:rPr>
        <w:t>进行院内</w:t>
      </w:r>
      <w:r>
        <w:rPr>
          <w:rFonts w:hint="eastAsia" w:ascii="宋体" w:hAnsi="宋体" w:eastAsia="宋体" w:cs="宋体"/>
          <w:lang w:val="en-US" w:eastAsia="zh-CN"/>
        </w:rPr>
        <w:t>竞争性磋商采购</w:t>
      </w:r>
      <w:r>
        <w:rPr>
          <w:rFonts w:hint="eastAsia" w:ascii="宋体" w:hAnsi="宋体" w:eastAsia="宋体" w:cs="宋体"/>
        </w:rPr>
        <w:t>，欢迎符合资格条件的供应商前来</w:t>
      </w:r>
      <w:r>
        <w:rPr>
          <w:rFonts w:hint="eastAsia" w:ascii="宋体" w:hAnsi="宋体" w:eastAsia="宋体" w:cs="宋体"/>
          <w:lang w:val="en-US" w:eastAsia="zh-CN"/>
        </w:rPr>
        <w:t>前来报名并获取采购文件</w:t>
      </w:r>
      <w:r>
        <w:rPr>
          <w:rFonts w:hint="eastAsia" w:ascii="宋体" w:hAnsi="宋体" w:eastAsia="宋体" w:cs="宋体"/>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bCs/>
        </w:rPr>
      </w:pPr>
      <w:r>
        <w:rPr>
          <w:rFonts w:hint="eastAsia" w:ascii="宋体" w:hAnsi="宋体" w:eastAsia="宋体" w:cs="宋体"/>
          <w:b/>
          <w:bCs/>
          <w:lang w:val="en-US" w:eastAsia="zh-CN"/>
        </w:rPr>
        <w:t xml:space="preserve">一、项目基本情况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1、采购项目名称：</w:t>
      </w:r>
      <w:r>
        <w:rPr>
          <w:rFonts w:hint="eastAsia" w:ascii="宋体" w:hAnsi="宋体" w:cs="宋体"/>
          <w:lang w:val="en-US" w:eastAsia="zh-CN"/>
        </w:rPr>
        <w:t>驻马店市中心医院放射工作人员个人剂量监测服务项目</w:t>
      </w:r>
      <w:r>
        <w:rPr>
          <w:rFonts w:hint="eastAsia" w:ascii="宋体" w:hAnsi="宋体" w:eastAsia="宋体" w:cs="宋体"/>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2、采购需求：具体要求详见附件；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3</w:t>
      </w:r>
      <w:bookmarkStart w:id="3" w:name="_Toc26725"/>
      <w:bookmarkEnd w:id="3"/>
      <w:r>
        <w:rPr>
          <w:rFonts w:hint="eastAsia" w:ascii="宋体" w:hAnsi="宋体" w:eastAsia="宋体" w:cs="宋体"/>
          <w:lang w:val="en-US" w:eastAsia="zh-CN"/>
        </w:rPr>
        <w:t>、预算金额：预计</w:t>
      </w:r>
      <w:r>
        <w:rPr>
          <w:rFonts w:hint="eastAsia" w:ascii="宋体" w:hAnsi="宋体" w:cs="宋体"/>
          <w:lang w:val="en-US" w:eastAsia="zh-CN"/>
        </w:rPr>
        <w:t>280000.00</w:t>
      </w:r>
      <w:r>
        <w:rPr>
          <w:rFonts w:hint="eastAsia" w:ascii="宋体" w:hAnsi="宋体" w:eastAsia="宋体" w:cs="宋体"/>
          <w:lang w:val="en-US" w:eastAsia="zh-CN"/>
        </w:rPr>
        <w:t xml:space="preserve">元，自筹资金；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4、服务地点：采购人指定地点；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bookmarkStart w:id="4" w:name="_Toc19521"/>
      <w:bookmarkEnd w:id="4"/>
      <w:bookmarkStart w:id="5" w:name="_Toc27913"/>
      <w:bookmarkEnd w:id="5"/>
      <w:bookmarkStart w:id="6" w:name="_Toc26079"/>
      <w:bookmarkEnd w:id="6"/>
      <w:bookmarkStart w:id="7" w:name="_Toc24040"/>
      <w:bookmarkEnd w:id="7"/>
      <w:bookmarkStart w:id="8" w:name="_Toc21071"/>
      <w:bookmarkEnd w:id="8"/>
      <w:r>
        <w:rPr>
          <w:rFonts w:hint="eastAsia" w:ascii="宋体" w:hAnsi="宋体" w:eastAsia="宋体" w:cs="宋体"/>
          <w:lang w:val="en-US" w:eastAsia="zh-CN"/>
        </w:rPr>
        <w:t xml:space="preserve">5、合同履行期限：3年，合同一年一续签；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6、服务要求：合格。（以采购人要求为准）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rPr>
      </w:pPr>
      <w:bookmarkStart w:id="9" w:name="_Toc16639"/>
      <w:bookmarkEnd w:id="9"/>
      <w:bookmarkStart w:id="10" w:name="_Toc18607"/>
      <w:bookmarkEnd w:id="10"/>
      <w:bookmarkStart w:id="11" w:name="_Toc23626"/>
      <w:bookmarkEnd w:id="11"/>
      <w:bookmarkStart w:id="12" w:name="_Toc27704"/>
      <w:bookmarkEnd w:id="12"/>
      <w:r>
        <w:rPr>
          <w:rFonts w:hint="eastAsia" w:ascii="宋体" w:hAnsi="宋体" w:eastAsia="宋体" w:cs="宋体"/>
          <w:b/>
          <w:bCs/>
          <w:lang w:val="en-US" w:eastAsia="zh-CN"/>
        </w:rPr>
        <w:t>二、供应商资格要求：</w:t>
      </w:r>
      <w:r>
        <w:rPr>
          <w:rFonts w:hint="eastAsia" w:ascii="宋体" w:hAnsi="宋体" w:eastAsia="宋体" w:cs="宋体"/>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bookmarkStart w:id="13" w:name="_Toc23395"/>
      <w:bookmarkEnd w:id="13"/>
      <w:bookmarkStart w:id="14" w:name="_Toc9562"/>
      <w:bookmarkEnd w:id="14"/>
      <w:bookmarkStart w:id="15" w:name="_Toc7823"/>
      <w:bookmarkEnd w:id="15"/>
      <w:bookmarkStart w:id="16" w:name="_Toc30643"/>
      <w:bookmarkEnd w:id="16"/>
      <w:bookmarkStart w:id="17" w:name="_Toc30971"/>
      <w:bookmarkEnd w:id="17"/>
      <w:r>
        <w:rPr>
          <w:rFonts w:hint="eastAsia" w:ascii="宋体" w:hAnsi="宋体" w:eastAsia="宋体" w:cs="宋体"/>
          <w:lang w:val="en-US" w:eastAsia="zh-CN"/>
        </w:rPr>
        <w:t xml:space="preserve">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lang w:val="en-US" w:eastAsia="zh-CN"/>
        </w:rPr>
      </w:pPr>
      <w:r>
        <w:rPr>
          <w:rFonts w:hint="eastAsia" w:ascii="宋体" w:hAnsi="宋体" w:eastAsia="宋体" w:cs="宋体"/>
          <w:lang w:val="en-US" w:eastAsia="zh-CN"/>
        </w:rPr>
        <w:t>2、供应商应具备放射诊疗建设项目职业病危害放射防护评价乙级及以上资质；</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cs="宋体"/>
          <w:lang w:val="en-US" w:eastAsia="zh-CN"/>
        </w:rPr>
        <w:t>3</w:t>
      </w:r>
      <w:r>
        <w:rPr>
          <w:rFonts w:hint="eastAsia" w:ascii="宋体" w:hAnsi="宋体" w:eastAsia="宋体" w:cs="宋体"/>
          <w:lang w:val="en-US" w:eastAsia="zh-CN"/>
        </w:rPr>
        <w:t xml:space="preserve">、供应商应提供2020年度或2021年度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cs="宋体"/>
          <w:lang w:val="en-US" w:eastAsia="zh-CN"/>
        </w:rPr>
        <w:t>4</w:t>
      </w:r>
      <w:r>
        <w:rPr>
          <w:rFonts w:hint="eastAsia" w:ascii="宋体" w:hAnsi="宋体" w:eastAsia="宋体" w:cs="宋体"/>
          <w:lang w:val="en-US" w:eastAsia="zh-CN"/>
        </w:rPr>
        <w:t xml:space="preserve">、具有履行合同所必需的设备和专业技术能力（提供书面声明函）；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cs="宋体"/>
          <w:lang w:val="en-US" w:eastAsia="zh-CN"/>
        </w:rPr>
        <w:t>5</w:t>
      </w:r>
      <w:r>
        <w:rPr>
          <w:rFonts w:hint="eastAsia" w:ascii="宋体" w:hAnsi="宋体" w:eastAsia="宋体" w:cs="宋体"/>
          <w:lang w:val="en-US" w:eastAsia="zh-CN"/>
        </w:rPr>
        <w:t xml:space="preserve">、参加本采购活动前三年内，在经营活动中没有重大违法记录（提供书面声明函）；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cs="宋体"/>
          <w:lang w:val="en-US" w:eastAsia="zh-CN"/>
        </w:rPr>
        <w:t>6</w:t>
      </w:r>
      <w:r>
        <w:rPr>
          <w:rFonts w:hint="eastAsia" w:ascii="宋体" w:hAnsi="宋体" w:eastAsia="宋体" w:cs="宋体"/>
          <w:lang w:val="en-US" w:eastAsia="zh-CN"/>
        </w:rPr>
        <w:t xml:space="preserve">、符合法律、行政法规规定的其他条件；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cs="宋体"/>
          <w:lang w:val="en-US" w:eastAsia="zh-CN"/>
        </w:rPr>
        <w:t>7</w:t>
      </w:r>
      <w:r>
        <w:rPr>
          <w:rFonts w:hint="eastAsia" w:ascii="宋体" w:hAnsi="宋体" w:eastAsia="宋体" w:cs="宋体"/>
          <w:lang w:val="en-US" w:eastAsia="zh-CN"/>
        </w:rPr>
        <w:t xml:space="preserve">、根据《关于在政府采购活动中查询及使用信用记录有关问题的通知》（财库【2016】125号）的规定，对列入失信被执行人、税收违法黑名单、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cs="宋体"/>
          <w:lang w:val="en-US" w:eastAsia="zh-CN"/>
        </w:rPr>
        <w:t>8</w:t>
      </w:r>
      <w:r>
        <w:rPr>
          <w:rFonts w:hint="eastAsia" w:ascii="宋体" w:hAnsi="宋体" w:eastAsia="宋体" w:cs="宋体"/>
          <w:lang w:val="en-US" w:eastAsia="zh-CN"/>
        </w:rPr>
        <w:t xml:space="preserve">、不接受联合体投标。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bCs/>
        </w:rPr>
      </w:pPr>
      <w:r>
        <w:rPr>
          <w:rFonts w:hint="eastAsia" w:ascii="宋体" w:hAnsi="宋体" w:eastAsia="宋体" w:cs="宋体"/>
          <w:b/>
          <w:bCs/>
          <w:lang w:val="en-US" w:eastAsia="zh-CN"/>
        </w:rPr>
        <w:t xml:space="preserve">三、获取采购文件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lang w:val="en-US" w:eastAsia="zh-CN"/>
        </w:rPr>
        <w:t>1报名</w:t>
      </w:r>
      <w:r>
        <w:rPr>
          <w:rFonts w:hint="eastAsia" w:ascii="宋体" w:hAnsi="宋体" w:eastAsia="宋体" w:cs="宋体"/>
          <w:color w:val="000000" w:themeColor="text1"/>
          <w:lang w:val="en-US" w:eastAsia="zh-CN"/>
          <w14:textFill>
            <w14:solidFill>
              <w14:schemeClr w14:val="tx1"/>
            </w14:solidFill>
          </w14:textFill>
        </w:rPr>
        <w:t>时间：2022年06月</w:t>
      </w:r>
      <w:r>
        <w:rPr>
          <w:rFonts w:hint="eastAsia" w:ascii="宋体" w:hAnsi="宋体" w:cs="宋体"/>
          <w:color w:val="000000" w:themeColor="text1"/>
          <w:lang w:val="en-US" w:eastAsia="zh-CN"/>
          <w14:textFill>
            <w14:solidFill>
              <w14:schemeClr w14:val="tx1"/>
            </w14:solidFill>
          </w14:textFill>
        </w:rPr>
        <w:t>20</w:t>
      </w:r>
      <w:r>
        <w:rPr>
          <w:rFonts w:hint="eastAsia" w:ascii="宋体" w:hAnsi="宋体" w:eastAsia="宋体" w:cs="宋体"/>
          <w:color w:val="000000" w:themeColor="text1"/>
          <w:lang w:val="en-US" w:eastAsia="zh-CN"/>
          <w14:textFill>
            <w14:solidFill>
              <w14:schemeClr w14:val="tx1"/>
            </w14:solidFill>
          </w14:textFill>
        </w:rPr>
        <w:t>日-2022年06月</w:t>
      </w:r>
      <w:r>
        <w:rPr>
          <w:rFonts w:hint="eastAsia" w:ascii="宋体" w:hAnsi="宋体" w:cs="宋体"/>
          <w:color w:val="000000" w:themeColor="text1"/>
          <w:lang w:val="en-US" w:eastAsia="zh-CN"/>
          <w14:textFill>
            <w14:solidFill>
              <w14:schemeClr w14:val="tx1"/>
            </w14:solidFill>
          </w14:textFill>
        </w:rPr>
        <w:t>22</w:t>
      </w:r>
      <w:r>
        <w:rPr>
          <w:rFonts w:hint="eastAsia" w:ascii="宋体" w:hAnsi="宋体" w:eastAsia="宋体" w:cs="宋体"/>
          <w:color w:val="000000" w:themeColor="text1"/>
          <w:lang w:val="en-US" w:eastAsia="zh-CN"/>
          <w14:textFill>
            <w14:solidFill>
              <w14:schemeClr w14:val="tx1"/>
            </w14:solidFill>
          </w14:textFill>
        </w:rPr>
        <w:t xml:space="preserve">日，上午8：30-11:30，下午14:30-17:30（北京时间，法定节假日除外），报名费用：200元。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2.每报名任何一个项目的供应商，需交纳2000元投标保证金。凡报名成功的供应商无故不来参与投标的，拒不退还投标保证金，并列入我院黑名单，一年内不得参与我院任何采购活动。凡未中标者，评审结束后三个工作日内凭收据无息退还。中标供应商缴纳相应服务费。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3.采购文件获取方式：供应商须把填写完整的报名登记表及报名登记表要求提供的相关资料扫描件按序排版为PDF格式文件，发送至以下邮箱：</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"mailto:hnwxzb2@163.com%E5%B9%B6%E6%A0%87%E6%98%8EXX" </w:instrText>
      </w:r>
      <w:r>
        <w:rPr>
          <w:rFonts w:hint="eastAsia" w:ascii="宋体" w:hAnsi="宋体" w:eastAsia="宋体" w:cs="宋体"/>
          <w:lang w:val="en-US" w:eastAsia="zh-CN"/>
        </w:rPr>
        <w:fldChar w:fldCharType="separate"/>
      </w:r>
      <w:r>
        <w:rPr>
          <w:rFonts w:hint="eastAsia" w:ascii="宋体" w:hAnsi="宋体" w:eastAsia="宋体" w:cs="宋体"/>
          <w:highlight w:val="none"/>
          <w:lang w:val="en-US" w:eastAsia="zh-CN"/>
        </w:rPr>
        <w:t>934027204@qq.com</w:t>
      </w:r>
      <w:r>
        <w:rPr>
          <w:rFonts w:hint="eastAsia" w:ascii="宋体" w:hAnsi="宋体" w:eastAsia="宋体" w:cs="宋体"/>
        </w:rPr>
        <w:t>并标明XX公司XX</w:t>
      </w:r>
      <w:r>
        <w:rPr>
          <w:rFonts w:hint="eastAsia" w:ascii="宋体" w:hAnsi="宋体" w:eastAsia="宋体" w:cs="宋体"/>
          <w:lang w:val="en-US" w:eastAsia="zh-CN"/>
        </w:rPr>
        <w:fldChar w:fldCharType="end"/>
      </w:r>
      <w:r>
        <w:rPr>
          <w:rFonts w:hint="eastAsia" w:ascii="宋体" w:hAnsi="宋体" w:eastAsia="宋体" w:cs="宋体"/>
          <w:lang w:val="en-US" w:eastAsia="zh-CN"/>
        </w:rPr>
        <w:t xml:space="preserve">项目报名资料；审核通过后按要求交纳报名费及投标保证金。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4.报名登记表：请从附件中下载。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bCs/>
        </w:rPr>
      </w:pPr>
      <w:bookmarkStart w:id="18" w:name="_Toc25869"/>
      <w:bookmarkEnd w:id="18"/>
      <w:bookmarkStart w:id="19" w:name="_Toc15135"/>
      <w:bookmarkEnd w:id="19"/>
      <w:bookmarkStart w:id="20" w:name="_Toc15111"/>
      <w:bookmarkEnd w:id="20"/>
      <w:bookmarkStart w:id="21" w:name="_Toc10738"/>
      <w:bookmarkEnd w:id="21"/>
      <w:bookmarkStart w:id="22" w:name="_Toc27480"/>
      <w:bookmarkEnd w:id="22"/>
      <w:r>
        <w:rPr>
          <w:rFonts w:hint="eastAsia" w:ascii="宋体" w:hAnsi="宋体" w:eastAsia="宋体" w:cs="宋体"/>
          <w:b/>
          <w:bCs/>
          <w:lang w:val="en-US" w:eastAsia="zh-CN"/>
        </w:rPr>
        <w:t xml:space="preserve">四、投标截止时间及地点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1.时间：详见采购文件。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2.地点：详见采购文件。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bCs/>
        </w:rPr>
      </w:pPr>
      <w:r>
        <w:rPr>
          <w:rFonts w:hint="eastAsia" w:ascii="宋体" w:hAnsi="宋体" w:eastAsia="宋体" w:cs="宋体"/>
          <w:b/>
          <w:bCs/>
          <w:lang w:val="en-US" w:eastAsia="zh-CN"/>
        </w:rPr>
        <w:t xml:space="preserve">五、开标时间及地点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1.时间：详见采购文件。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2.地点：详见采购文件。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bCs/>
        </w:rPr>
      </w:pPr>
      <w:bookmarkStart w:id="23" w:name="_Toc20287"/>
      <w:bookmarkEnd w:id="23"/>
      <w:bookmarkStart w:id="24" w:name="_Toc30918"/>
      <w:bookmarkEnd w:id="24"/>
      <w:bookmarkStart w:id="25" w:name="_Toc6523"/>
      <w:bookmarkEnd w:id="25"/>
      <w:bookmarkStart w:id="26" w:name="_Toc29784"/>
      <w:bookmarkEnd w:id="26"/>
      <w:r>
        <w:rPr>
          <w:rFonts w:hint="eastAsia" w:ascii="宋体" w:hAnsi="宋体" w:eastAsia="宋体" w:cs="宋体"/>
          <w:b/>
          <w:bCs/>
          <w:lang w:val="en-US" w:eastAsia="zh-CN"/>
        </w:rPr>
        <w:t xml:space="preserve">六、发布公告的媒介及采购公告期限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本次采购公告在《驻马店市中心医院》院内网上发布，采购公告期限为三个工作日。</w:t>
      </w:r>
      <w:bookmarkStart w:id="27" w:name="_Toc35393626"/>
      <w:bookmarkEnd w:id="27"/>
      <w:bookmarkStart w:id="28" w:name="_Toc35393795"/>
      <w:bookmarkEnd w:id="28"/>
      <w:r>
        <w:rPr>
          <w:rFonts w:hint="eastAsia" w:ascii="宋体" w:hAnsi="宋体" w:eastAsia="宋体" w:cs="宋体"/>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textAlignment w:val="auto"/>
        <w:rPr>
          <w:rFonts w:hint="eastAsia" w:ascii="宋体" w:hAnsi="宋体" w:eastAsia="宋体" w:cs="宋体"/>
          <w:b/>
          <w:bCs/>
        </w:rPr>
      </w:pPr>
      <w:bookmarkStart w:id="29" w:name="_Toc16291"/>
      <w:bookmarkEnd w:id="29"/>
      <w:bookmarkStart w:id="30" w:name="_Toc3604"/>
      <w:bookmarkEnd w:id="30"/>
      <w:bookmarkStart w:id="31" w:name="_Toc24274"/>
      <w:bookmarkEnd w:id="31"/>
      <w:bookmarkStart w:id="32" w:name="_Toc27370"/>
      <w:bookmarkEnd w:id="32"/>
      <w:bookmarkStart w:id="33" w:name="_Toc31928"/>
      <w:bookmarkEnd w:id="33"/>
      <w:r>
        <w:rPr>
          <w:rFonts w:hint="eastAsia" w:ascii="宋体" w:hAnsi="宋体" w:eastAsia="宋体" w:cs="宋体"/>
          <w:b/>
          <w:bCs/>
          <w:lang w:val="en-US" w:eastAsia="zh-CN"/>
        </w:rPr>
        <w:t xml:space="preserve">七、凡对本次招标提出询问，请按照以下方式联系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报名联系人：陈先生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联系电话：18838148020 </w:t>
      </w:r>
      <w:bookmarkStart w:id="91" w:name="_GoBack"/>
      <w:bookmarkEnd w:id="91"/>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联系人：陈先生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联系电话：0396-2726379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联系邮箱：</w:t>
      </w:r>
      <w:r>
        <w:rPr>
          <w:rFonts w:hint="eastAsia" w:ascii="宋体" w:hAnsi="宋体" w:eastAsia="宋体" w:cs="宋体"/>
          <w:lang w:val="en-US" w:eastAsia="zh-CN"/>
        </w:rPr>
        <w:fldChar w:fldCharType="begin"/>
      </w:r>
      <w:r>
        <w:rPr>
          <w:rFonts w:hint="eastAsia" w:ascii="宋体" w:hAnsi="宋体" w:eastAsia="宋体" w:cs="宋体"/>
          <w:lang w:val="en-US" w:eastAsia="zh-CN"/>
        </w:rPr>
        <w:instrText xml:space="preserve"> HYPERLINK "mailto:zxyyjzcgbgs@163.com" </w:instrText>
      </w:r>
      <w:r>
        <w:rPr>
          <w:rFonts w:hint="eastAsia" w:ascii="宋体" w:hAnsi="宋体" w:eastAsia="宋体" w:cs="宋体"/>
          <w:lang w:val="en-US" w:eastAsia="zh-CN"/>
        </w:rPr>
        <w:fldChar w:fldCharType="separate"/>
      </w:r>
      <w:r>
        <w:rPr>
          <w:rFonts w:hint="eastAsia" w:ascii="宋体" w:hAnsi="宋体" w:eastAsia="宋体" w:cs="宋体"/>
        </w:rPr>
        <w:t>zxyyjzcgbgs@163.com</w:t>
      </w:r>
      <w:r>
        <w:rPr>
          <w:rFonts w:hint="eastAsia" w:ascii="宋体" w:hAnsi="宋体" w:eastAsia="宋体" w:cs="宋体"/>
          <w:lang w:val="en-US" w:eastAsia="zh-CN"/>
        </w:rPr>
        <w:fldChar w:fldCharType="end"/>
      </w:r>
      <w:r>
        <w:rPr>
          <w:rFonts w:hint="eastAsia" w:ascii="宋体" w:hAnsi="宋体" w:eastAsia="宋体" w:cs="宋体"/>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监督部门：驻马店市中心医院纪检监察室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20" w:firstLineChars="200"/>
        <w:textAlignment w:val="auto"/>
        <w:rPr>
          <w:rFonts w:hint="eastAsia" w:ascii="宋体" w:hAnsi="宋体" w:eastAsia="宋体" w:cs="宋体"/>
        </w:rPr>
      </w:pPr>
      <w:r>
        <w:rPr>
          <w:rFonts w:hint="eastAsia" w:ascii="宋体" w:hAnsi="宋体" w:eastAsia="宋体" w:cs="宋体"/>
          <w:lang w:val="en-US" w:eastAsia="zh-CN"/>
        </w:rPr>
        <w:t xml:space="preserve">监督电话：0396-2725435 </w:t>
      </w:r>
    </w:p>
    <w:p>
      <w:pPr>
        <w:pStyle w:val="31"/>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0" w:firstLine="420" w:firstLineChars="200"/>
        <w:jc w:val="center"/>
        <w:textAlignment w:val="auto"/>
        <w:rPr>
          <w:rFonts w:hint="eastAsia" w:ascii="宋体" w:hAnsi="宋体" w:eastAsia="宋体" w:cs="宋体"/>
          <w:lang w:val="en-US" w:eastAsia="zh-CN"/>
        </w:rPr>
      </w:pPr>
      <w:r>
        <w:rPr>
          <w:rFonts w:hint="eastAsia" w:ascii="宋体" w:hAnsi="宋体" w:eastAsia="宋体" w:cs="宋体"/>
          <w:lang w:val="en-US" w:eastAsia="zh-CN"/>
        </w:rPr>
        <w:t xml:space="preserve">                                        </w:t>
      </w:r>
      <w:r>
        <w:rPr>
          <w:rFonts w:hint="eastAsia" w:ascii="宋体" w:hAnsi="宋体" w:eastAsia="宋体" w:cs="宋体"/>
        </w:rPr>
        <w:t>驻马店市中心医院采购</w:t>
      </w:r>
      <w:r>
        <w:rPr>
          <w:rFonts w:hint="eastAsia" w:ascii="宋体" w:hAnsi="宋体" w:eastAsia="宋体" w:cs="宋体"/>
          <w:lang w:val="en-US" w:eastAsia="zh-CN"/>
        </w:rPr>
        <w:t>科</w:t>
      </w:r>
    </w:p>
    <w:p>
      <w:pPr>
        <w:keepNext w:val="0"/>
        <w:keepLines w:val="0"/>
        <w:pageBreakBefore w:val="0"/>
        <w:widowControl w:val="0"/>
        <w:kinsoku/>
        <w:wordWrap/>
        <w:overflowPunct/>
        <w:topLinePunct w:val="0"/>
        <w:autoSpaceDE/>
        <w:autoSpaceDN/>
        <w:bidi w:val="0"/>
        <w:adjustRightInd/>
        <w:snapToGrid/>
        <w:spacing w:line="440" w:lineRule="exact"/>
        <w:ind w:left="0" w:firstLine="420" w:firstLineChars="200"/>
        <w:jc w:val="center"/>
        <w:textAlignment w:val="auto"/>
        <w:rPr>
          <w:rFonts w:hint="eastAsia" w:ascii="宋体" w:hAnsi="宋体" w:eastAsia="宋体" w:cs="宋体"/>
          <w:highlight w:val="yellow"/>
        </w:rPr>
      </w:pPr>
      <w:r>
        <w:rPr>
          <w:rFonts w:hint="eastAsia" w:ascii="宋体" w:hAnsi="宋体" w:eastAsia="宋体" w:cs="宋体"/>
          <w:lang w:val="en-US" w:eastAsia="zh-CN"/>
        </w:rPr>
        <w:t xml:space="preserve">                                   </w:t>
      </w:r>
      <w:r>
        <w:rPr>
          <w:rFonts w:hint="eastAsia" w:ascii="宋体" w:hAnsi="宋体" w:eastAsia="宋体" w:cs="宋体"/>
          <w:color w:val="FF0000"/>
          <w:lang w:val="en-US" w:eastAsia="zh-CN"/>
        </w:rPr>
        <w:t xml:space="preserve"> </w:t>
      </w:r>
      <w:r>
        <w:rPr>
          <w:rFonts w:hint="eastAsia" w:ascii="宋体" w:hAnsi="宋体" w:eastAsia="宋体" w:cs="宋体"/>
          <w:color w:val="auto"/>
          <w:lang w:val="en-US" w:eastAsia="zh-CN"/>
        </w:rPr>
        <w:t xml:space="preserve"> </w:t>
      </w:r>
      <w:r>
        <w:rPr>
          <w:rFonts w:hint="eastAsia" w:ascii="宋体" w:hAnsi="宋体" w:eastAsia="宋体" w:cs="宋体"/>
          <w:color w:val="000000" w:themeColor="text1"/>
          <w:highlight w:val="none"/>
          <w:lang w:val="en-US" w:eastAsia="zh-CN"/>
          <w14:textFill>
            <w14:solidFill>
              <w14:schemeClr w14:val="tx1"/>
            </w14:solidFill>
          </w14:textFill>
        </w:rPr>
        <w:t xml:space="preserve">  </w:t>
      </w:r>
      <w:r>
        <w:rPr>
          <w:rFonts w:hint="eastAsia" w:ascii="宋体" w:hAnsi="宋体" w:eastAsia="宋体" w:cs="宋体"/>
          <w:color w:val="000000" w:themeColor="text1"/>
          <w:highlight w:val="none"/>
          <w:lang w:val="en-US" w:eastAsia="zh-CN"/>
          <w14:textFill>
            <w14:solidFill>
              <w14:schemeClr w14:val="tx1"/>
            </w14:solidFill>
          </w14:textFill>
        </w:rPr>
        <w:t xml:space="preserve"> 2022</w:t>
      </w:r>
      <w:r>
        <w:rPr>
          <w:rFonts w:hint="eastAsia" w:ascii="宋体" w:hAnsi="宋体" w:eastAsia="宋体" w:cs="宋体"/>
          <w:color w:val="000000" w:themeColor="text1"/>
          <w:highlight w:val="none"/>
          <w14:textFill>
            <w14:solidFill>
              <w14:schemeClr w14:val="tx1"/>
            </w14:solidFill>
          </w14:textFill>
        </w:rPr>
        <w:t>年</w:t>
      </w:r>
      <w:r>
        <w:rPr>
          <w:rFonts w:hint="eastAsia" w:ascii="宋体" w:hAnsi="宋体" w:eastAsia="宋体" w:cs="宋体"/>
          <w:color w:val="000000" w:themeColor="text1"/>
          <w:highlight w:val="none"/>
          <w:lang w:val="en-US" w:eastAsia="zh-CN"/>
          <w14:textFill>
            <w14:solidFill>
              <w14:schemeClr w14:val="tx1"/>
            </w14:solidFill>
          </w14:textFill>
        </w:rPr>
        <w:t>06</w:t>
      </w:r>
      <w:r>
        <w:rPr>
          <w:rFonts w:hint="eastAsia" w:ascii="宋体" w:hAnsi="宋体" w:eastAsia="宋体" w:cs="宋体"/>
          <w:color w:val="000000" w:themeColor="text1"/>
          <w:highlight w:val="none"/>
          <w14:textFill>
            <w14:solidFill>
              <w14:schemeClr w14:val="tx1"/>
            </w14:solidFill>
          </w14:textFill>
        </w:rPr>
        <w:t>月</w:t>
      </w:r>
      <w:r>
        <w:rPr>
          <w:rFonts w:hint="eastAsia" w:ascii="宋体" w:hAnsi="宋体" w:cs="宋体"/>
          <w:color w:val="000000" w:themeColor="text1"/>
          <w:highlight w:val="none"/>
          <w:lang w:val="en-US" w:eastAsia="zh-CN"/>
          <w14:textFill>
            <w14:solidFill>
              <w14:schemeClr w14:val="tx1"/>
            </w14:solidFill>
          </w14:textFill>
        </w:rPr>
        <w:t>17</w:t>
      </w:r>
      <w:r>
        <w:rPr>
          <w:rFonts w:hint="eastAsia" w:ascii="宋体" w:hAnsi="宋体" w:eastAsia="宋体" w:cs="宋体"/>
          <w:color w:val="000000" w:themeColor="text1"/>
          <w:highlight w:val="none"/>
          <w14:textFill>
            <w14:solidFill>
              <w14:schemeClr w14:val="tx1"/>
            </w14:solidFill>
          </w14:textFill>
        </w:rPr>
        <w:t>日</w:t>
      </w:r>
    </w:p>
    <w:p>
      <w:pPr>
        <w:pStyle w:val="29"/>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pStyle w:val="29"/>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widowControl/>
        <w:spacing w:line="360" w:lineRule="auto"/>
        <w:ind w:firstLine="643" w:firstLineChars="200"/>
        <w:jc w:val="center"/>
        <w:rPr>
          <w:rFonts w:ascii="宋体" w:hAnsi="宋体"/>
          <w:b/>
          <w:color w:val="auto"/>
          <w:sz w:val="32"/>
          <w:szCs w:val="32"/>
          <w:highlight w:val="none"/>
        </w:rPr>
      </w:pPr>
      <w:bookmarkStart w:id="34" w:name="_Toc25063"/>
      <w:bookmarkStart w:id="35" w:name="_Toc23793"/>
      <w:bookmarkStart w:id="36" w:name="_Toc29890"/>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23610"/>
      <w:bookmarkStart w:id="38" w:name="_Toc31536"/>
      <w:bookmarkStart w:id="39" w:name="_Toc9989"/>
    </w:p>
    <w:bookmarkEnd w:id="37"/>
    <w:bookmarkEnd w:id="38"/>
    <w:bookmarkEnd w:id="39"/>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kern w:val="2"/>
          <w:sz w:val="21"/>
          <w:szCs w:val="24"/>
          <w:lang w:val="en-US" w:eastAsia="zh-CN" w:bidi="ar-SA"/>
        </w:rPr>
      </w:pPr>
      <w:r>
        <w:rPr>
          <w:rFonts w:hint="eastAsia" w:cs="宋体"/>
          <w:kern w:val="2"/>
          <w:sz w:val="21"/>
          <w:szCs w:val="24"/>
          <w:lang w:val="en-US" w:eastAsia="zh-CN" w:bidi="ar-SA"/>
        </w:rPr>
        <w:t>一、</w:t>
      </w:r>
      <w:r>
        <w:rPr>
          <w:rFonts w:hint="eastAsia" w:ascii="宋体" w:hAnsi="宋体" w:eastAsia="宋体" w:cs="宋体"/>
          <w:kern w:val="2"/>
          <w:sz w:val="21"/>
          <w:szCs w:val="24"/>
          <w:lang w:val="en-US" w:eastAsia="zh-CN" w:bidi="ar-SA"/>
        </w:rPr>
        <w:t>项目名称、数量：驻马店市中心医院</w:t>
      </w:r>
      <w:r>
        <w:rPr>
          <w:rFonts w:hint="eastAsia" w:cs="宋体"/>
          <w:kern w:val="2"/>
          <w:sz w:val="21"/>
          <w:szCs w:val="24"/>
          <w:lang w:val="en-US" w:eastAsia="zh-CN" w:bidi="ar-SA"/>
        </w:rPr>
        <w:t>放射工作人员个人剂量监测服务项目</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cs="宋体"/>
          <w:kern w:val="2"/>
          <w:sz w:val="21"/>
          <w:szCs w:val="24"/>
          <w:lang w:val="en-US" w:eastAsia="zh-CN" w:bidi="ar-SA"/>
        </w:rPr>
      </w:pPr>
      <w:r>
        <w:rPr>
          <w:rFonts w:hint="eastAsia" w:cs="宋体"/>
          <w:kern w:val="2"/>
          <w:sz w:val="21"/>
          <w:szCs w:val="24"/>
          <w:lang w:val="en-US" w:eastAsia="zh-CN" w:bidi="ar-SA"/>
        </w:rPr>
        <w:t>二、项目用途说明：为全院放射人员提供放射剂量监测服务。</w:t>
      </w:r>
      <w:r>
        <w:rPr>
          <w:rFonts w:hint="eastAsia" w:ascii="宋体" w:hAnsi="宋体" w:eastAsia="宋体" w:cs="宋体"/>
          <w:kern w:val="2"/>
          <w:sz w:val="21"/>
          <w:szCs w:val="24"/>
          <w:lang w:val="en-US" w:eastAsia="zh-CN" w:bidi="ar-SA"/>
        </w:rPr>
        <w:t xml:space="preserve"> </w:t>
      </w:r>
      <w:r>
        <w:rPr>
          <w:rFonts w:hint="eastAsia" w:cs="宋体"/>
          <w:kern w:val="2"/>
          <w:sz w:val="21"/>
          <w:szCs w:val="24"/>
          <w:lang w:val="en-US" w:eastAsia="zh-CN" w:bidi="ar-SA"/>
        </w:rPr>
        <w:t xml:space="preserve">    </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cs="宋体"/>
          <w:kern w:val="2"/>
          <w:sz w:val="21"/>
          <w:szCs w:val="24"/>
          <w:lang w:val="en-US" w:eastAsia="zh-CN" w:bidi="ar-SA"/>
        </w:rPr>
      </w:pPr>
      <w:r>
        <w:rPr>
          <w:rFonts w:hint="eastAsia" w:cs="宋体"/>
          <w:kern w:val="2"/>
          <w:sz w:val="21"/>
          <w:szCs w:val="24"/>
          <w:lang w:val="en-US" w:eastAsia="zh-CN" w:bidi="ar-SA"/>
        </w:rPr>
        <w:t>三、配置规格、附件及零配件（包括专用工具）：</w:t>
      </w:r>
    </w:p>
    <w:tbl>
      <w:tblPr>
        <w:tblStyle w:val="3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1702"/>
        <w:gridCol w:w="2752"/>
        <w:gridCol w:w="1473"/>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3"/>
              <w:ind w:left="0" w:leftChars="0"/>
              <w:jc w:val="center"/>
              <w:rPr>
                <w:rFonts w:ascii="宋体" w:hAnsi="宋体"/>
                <w:b/>
                <w:bCs/>
                <w:sz w:val="21"/>
                <w:szCs w:val="21"/>
              </w:rPr>
            </w:pPr>
            <w:r>
              <w:rPr>
                <w:rFonts w:hint="eastAsia" w:ascii="宋体" w:hAnsi="宋体"/>
                <w:b/>
                <w:bCs/>
                <w:sz w:val="21"/>
                <w:szCs w:val="21"/>
              </w:rPr>
              <w:t>序号</w:t>
            </w:r>
          </w:p>
        </w:tc>
        <w:tc>
          <w:tcPr>
            <w:tcW w:w="1702" w:type="dxa"/>
            <w:tcBorders>
              <w:top w:val="single" w:color="auto" w:sz="4" w:space="0"/>
              <w:left w:val="nil"/>
              <w:bottom w:val="single" w:color="auto" w:sz="4" w:space="0"/>
              <w:right w:val="single" w:color="auto" w:sz="4" w:space="0"/>
            </w:tcBorders>
            <w:vAlign w:val="center"/>
          </w:tcPr>
          <w:p>
            <w:pPr>
              <w:pStyle w:val="13"/>
              <w:ind w:left="0" w:leftChars="0"/>
              <w:jc w:val="center"/>
              <w:rPr>
                <w:rFonts w:ascii="宋体" w:hAnsi="宋体"/>
                <w:b/>
                <w:bCs/>
                <w:sz w:val="21"/>
                <w:szCs w:val="21"/>
              </w:rPr>
            </w:pPr>
            <w:r>
              <w:rPr>
                <w:rFonts w:hint="eastAsia" w:ascii="宋体" w:hAnsi="宋体"/>
                <w:b/>
                <w:bCs/>
                <w:sz w:val="21"/>
                <w:szCs w:val="21"/>
              </w:rPr>
              <w:t>项目名称</w:t>
            </w:r>
          </w:p>
        </w:tc>
        <w:tc>
          <w:tcPr>
            <w:tcW w:w="2752" w:type="dxa"/>
            <w:tcBorders>
              <w:top w:val="single" w:color="auto" w:sz="4" w:space="0"/>
              <w:left w:val="nil"/>
              <w:bottom w:val="single" w:color="auto" w:sz="4" w:space="0"/>
              <w:right w:val="single" w:color="auto" w:sz="4" w:space="0"/>
            </w:tcBorders>
            <w:vAlign w:val="center"/>
          </w:tcPr>
          <w:p>
            <w:pPr>
              <w:pStyle w:val="13"/>
              <w:ind w:left="0" w:leftChars="0"/>
              <w:jc w:val="center"/>
              <w:rPr>
                <w:rFonts w:ascii="宋体" w:hAnsi="宋体"/>
                <w:b/>
                <w:bCs/>
                <w:sz w:val="21"/>
                <w:szCs w:val="21"/>
              </w:rPr>
            </w:pPr>
            <w:r>
              <w:rPr>
                <w:rFonts w:hint="eastAsia" w:ascii="宋体" w:hAnsi="宋体"/>
                <w:b/>
                <w:bCs/>
                <w:sz w:val="21"/>
                <w:szCs w:val="21"/>
              </w:rPr>
              <w:t>数量或规模</w:t>
            </w:r>
          </w:p>
        </w:tc>
        <w:tc>
          <w:tcPr>
            <w:tcW w:w="1473" w:type="dxa"/>
            <w:tcBorders>
              <w:top w:val="single" w:color="auto" w:sz="4" w:space="0"/>
              <w:left w:val="nil"/>
              <w:bottom w:val="single" w:color="auto" w:sz="4" w:space="0"/>
              <w:right w:val="single" w:color="auto" w:sz="4" w:space="0"/>
            </w:tcBorders>
            <w:vAlign w:val="center"/>
          </w:tcPr>
          <w:p>
            <w:pPr>
              <w:pStyle w:val="13"/>
              <w:ind w:left="0" w:leftChars="0"/>
              <w:jc w:val="center"/>
              <w:rPr>
                <w:rFonts w:ascii="宋体" w:hAnsi="宋体"/>
                <w:b/>
                <w:bCs/>
                <w:sz w:val="21"/>
                <w:szCs w:val="21"/>
              </w:rPr>
            </w:pPr>
            <w:r>
              <w:rPr>
                <w:rFonts w:hint="eastAsia" w:ascii="宋体" w:hAnsi="宋体"/>
                <w:b/>
                <w:bCs/>
                <w:sz w:val="21"/>
                <w:szCs w:val="21"/>
              </w:rPr>
              <w:t>资金预算</w:t>
            </w:r>
          </w:p>
        </w:tc>
        <w:tc>
          <w:tcPr>
            <w:tcW w:w="1554" w:type="dxa"/>
            <w:tcBorders>
              <w:top w:val="single" w:color="auto" w:sz="4" w:space="0"/>
              <w:left w:val="nil"/>
              <w:bottom w:val="single" w:color="auto" w:sz="4" w:space="0"/>
              <w:right w:val="single" w:color="auto" w:sz="4" w:space="0"/>
            </w:tcBorders>
            <w:vAlign w:val="center"/>
          </w:tcPr>
          <w:p>
            <w:pPr>
              <w:pStyle w:val="13"/>
              <w:ind w:left="0" w:leftChars="0"/>
              <w:jc w:val="center"/>
              <w:rPr>
                <w:rFonts w:ascii="宋体" w:hAnsi="宋体"/>
                <w:b/>
                <w:bCs/>
                <w:sz w:val="21"/>
                <w:szCs w:val="21"/>
              </w:rPr>
            </w:pPr>
            <w:r>
              <w:rPr>
                <w:rFonts w:hint="eastAsia" w:ascii="宋体" w:hAnsi="宋体"/>
                <w:b/>
                <w:bCs/>
                <w:sz w:val="21"/>
                <w:szCs w:val="21"/>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041" w:type="dxa"/>
            <w:tcBorders>
              <w:top w:val="single" w:color="auto" w:sz="4" w:space="0"/>
              <w:left w:val="single" w:color="auto" w:sz="4" w:space="0"/>
              <w:bottom w:val="single" w:color="auto" w:sz="4" w:space="0"/>
              <w:right w:val="single" w:color="auto" w:sz="4" w:space="0"/>
            </w:tcBorders>
            <w:vAlign w:val="top"/>
          </w:tcPr>
          <w:p>
            <w:pPr>
              <w:pStyle w:val="13"/>
              <w:rPr>
                <w:rFonts w:hint="eastAsia" w:ascii="宋体" w:hAnsi="宋体" w:eastAsia="宋体"/>
                <w:sz w:val="21"/>
                <w:szCs w:val="21"/>
                <w:lang w:val="en-US" w:eastAsia="zh-CN"/>
              </w:rPr>
            </w:pPr>
            <w:r>
              <w:rPr>
                <w:rFonts w:hint="eastAsia" w:ascii="宋体" w:hAnsi="宋体"/>
                <w:sz w:val="21"/>
                <w:szCs w:val="21"/>
                <w:lang w:val="en-US" w:eastAsia="zh-CN"/>
              </w:rPr>
              <w:t>1</w:t>
            </w:r>
          </w:p>
        </w:tc>
        <w:tc>
          <w:tcPr>
            <w:tcW w:w="1702" w:type="dxa"/>
            <w:tcBorders>
              <w:top w:val="single" w:color="auto" w:sz="4" w:space="0"/>
              <w:left w:val="nil"/>
              <w:bottom w:val="single" w:color="auto" w:sz="4" w:space="0"/>
              <w:right w:val="single" w:color="auto" w:sz="4" w:space="0"/>
            </w:tcBorders>
            <w:vAlign w:val="top"/>
          </w:tcPr>
          <w:p>
            <w:pPr>
              <w:pStyle w:val="13"/>
              <w:jc w:val="center"/>
              <w:rPr>
                <w:rFonts w:hint="default" w:ascii="宋体" w:hAnsi="宋体" w:eastAsia="宋体"/>
                <w:sz w:val="21"/>
                <w:szCs w:val="21"/>
                <w:lang w:val="en-US" w:eastAsia="zh-CN"/>
              </w:rPr>
            </w:pPr>
            <w:r>
              <w:rPr>
                <w:rFonts w:hint="eastAsia" w:ascii="宋体" w:hAnsi="宋体"/>
                <w:sz w:val="21"/>
                <w:szCs w:val="21"/>
                <w:lang w:val="en-US" w:eastAsia="zh-CN"/>
              </w:rPr>
              <w:t>放射人员个人剂量监测服务</w:t>
            </w:r>
          </w:p>
        </w:tc>
        <w:tc>
          <w:tcPr>
            <w:tcW w:w="2752" w:type="dxa"/>
            <w:tcBorders>
              <w:top w:val="single" w:color="auto" w:sz="4" w:space="0"/>
              <w:left w:val="nil"/>
              <w:bottom w:val="single" w:color="auto" w:sz="4" w:space="0"/>
              <w:right w:val="single" w:color="auto" w:sz="4" w:space="0"/>
            </w:tcBorders>
            <w:vAlign w:val="top"/>
          </w:tcPr>
          <w:p>
            <w:pPr>
              <w:pStyle w:val="13"/>
              <w:jc w:val="center"/>
              <w:rPr>
                <w:rFonts w:hint="default" w:ascii="宋体" w:hAnsi="宋体"/>
                <w:sz w:val="21"/>
                <w:szCs w:val="21"/>
                <w:lang w:val="en-US" w:eastAsia="zh-CN"/>
              </w:rPr>
            </w:pPr>
            <w:r>
              <w:rPr>
                <w:rFonts w:hint="eastAsia" w:ascii="宋体" w:hAnsi="宋体"/>
                <w:sz w:val="21"/>
                <w:szCs w:val="21"/>
                <w:lang w:val="en-US" w:eastAsia="zh-CN"/>
              </w:rPr>
              <w:t xml:space="preserve">计量卡监测费用约为200元/年/卡（每季度监测1次）。   目前，全院共有398名放射人员，其中69人需进行双卡监测，每季度约需监测467个剂量卡。（具体数量以实际监测数量为准）。每季度监测费用约为23350元。 每年监测费用约为93400元。 </w:t>
            </w:r>
          </w:p>
        </w:tc>
        <w:tc>
          <w:tcPr>
            <w:tcW w:w="1473" w:type="dxa"/>
            <w:tcBorders>
              <w:top w:val="single" w:color="auto" w:sz="4" w:space="0"/>
              <w:left w:val="nil"/>
              <w:bottom w:val="single" w:color="auto" w:sz="4" w:space="0"/>
              <w:right w:val="single" w:color="auto" w:sz="4" w:space="0"/>
            </w:tcBorders>
            <w:vAlign w:val="top"/>
          </w:tcPr>
          <w:p>
            <w:pPr>
              <w:pStyle w:val="13"/>
              <w:jc w:val="center"/>
              <w:rPr>
                <w:rFonts w:hint="eastAsia" w:ascii="宋体" w:hAnsi="宋体" w:eastAsia="宋体"/>
                <w:sz w:val="21"/>
                <w:szCs w:val="21"/>
                <w:lang w:val="en-US" w:eastAsia="zh-CN"/>
              </w:rPr>
            </w:pPr>
            <w:r>
              <w:rPr>
                <w:rFonts w:hint="eastAsia" w:ascii="宋体" w:hAnsi="宋体"/>
                <w:sz w:val="21"/>
                <w:szCs w:val="21"/>
                <w:lang w:val="en-US" w:eastAsia="zh-CN"/>
              </w:rPr>
              <w:t>计量卡监测费用约为</w:t>
            </w:r>
            <w:r>
              <w:rPr>
                <w:rFonts w:hint="eastAsia" w:ascii="宋体" w:hAnsi="宋体"/>
                <w:sz w:val="21"/>
                <w:szCs w:val="21"/>
                <w:u w:val="none"/>
                <w:lang w:val="en-US" w:eastAsia="zh-CN"/>
              </w:rPr>
              <w:t>200元/年/卡</w:t>
            </w:r>
          </w:p>
        </w:tc>
        <w:tc>
          <w:tcPr>
            <w:tcW w:w="1554" w:type="dxa"/>
            <w:tcBorders>
              <w:top w:val="single" w:color="auto" w:sz="4" w:space="0"/>
              <w:left w:val="nil"/>
              <w:bottom w:val="single" w:color="auto" w:sz="4" w:space="0"/>
              <w:right w:val="single" w:color="auto" w:sz="4" w:space="0"/>
            </w:tcBorders>
            <w:vAlign w:val="top"/>
          </w:tcPr>
          <w:p>
            <w:pPr>
              <w:pStyle w:val="13"/>
              <w:rPr>
                <w:rFonts w:hint="eastAsia" w:ascii="宋体" w:hAnsi="宋体" w:eastAsia="宋体"/>
                <w:sz w:val="21"/>
                <w:szCs w:val="21"/>
                <w:lang w:val="en-US" w:eastAsia="zh-CN"/>
              </w:rPr>
            </w:pPr>
            <w:r>
              <w:rPr>
                <w:rFonts w:hint="eastAsia" w:ascii="宋体" w:hAnsi="宋体"/>
                <w:sz w:val="21"/>
                <w:szCs w:val="21"/>
                <w:lang w:val="en-US" w:eastAsia="zh-CN"/>
              </w:rPr>
              <w:t>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41" w:type="dxa"/>
            <w:tcBorders>
              <w:top w:val="single" w:color="auto" w:sz="4" w:space="0"/>
              <w:left w:val="single" w:color="auto" w:sz="4" w:space="0"/>
              <w:bottom w:val="single" w:color="auto" w:sz="4" w:space="0"/>
              <w:right w:val="single" w:color="auto" w:sz="4" w:space="0"/>
            </w:tcBorders>
            <w:vAlign w:val="top"/>
          </w:tcPr>
          <w:p>
            <w:pPr>
              <w:pStyle w:val="13"/>
              <w:ind w:left="0" w:leftChars="0"/>
              <w:rPr>
                <w:rFonts w:ascii="宋体" w:hAnsi="宋体"/>
                <w:b/>
                <w:bCs/>
                <w:sz w:val="21"/>
                <w:szCs w:val="21"/>
              </w:rPr>
            </w:pPr>
            <w:r>
              <w:rPr>
                <w:rFonts w:hint="eastAsia" w:ascii="宋体" w:hAnsi="宋体"/>
                <w:b/>
                <w:bCs/>
                <w:sz w:val="21"/>
                <w:szCs w:val="21"/>
              </w:rPr>
              <w:t>合计</w:t>
            </w:r>
          </w:p>
        </w:tc>
        <w:tc>
          <w:tcPr>
            <w:tcW w:w="1702" w:type="dxa"/>
            <w:tcBorders>
              <w:top w:val="single" w:color="auto" w:sz="4" w:space="0"/>
              <w:left w:val="nil"/>
              <w:bottom w:val="single" w:color="auto" w:sz="4" w:space="0"/>
              <w:right w:val="single" w:color="auto" w:sz="4" w:space="0"/>
            </w:tcBorders>
            <w:vAlign w:val="top"/>
          </w:tcPr>
          <w:p>
            <w:pPr>
              <w:pStyle w:val="13"/>
              <w:jc w:val="center"/>
              <w:rPr>
                <w:rFonts w:ascii="宋体" w:hAnsi="宋体"/>
                <w:sz w:val="21"/>
                <w:szCs w:val="21"/>
              </w:rPr>
            </w:pPr>
          </w:p>
        </w:tc>
        <w:tc>
          <w:tcPr>
            <w:tcW w:w="2752" w:type="dxa"/>
            <w:tcBorders>
              <w:top w:val="single" w:color="auto" w:sz="4" w:space="0"/>
              <w:left w:val="nil"/>
              <w:bottom w:val="single" w:color="auto" w:sz="4" w:space="0"/>
              <w:right w:val="single" w:color="auto" w:sz="4" w:space="0"/>
            </w:tcBorders>
            <w:vAlign w:val="top"/>
          </w:tcPr>
          <w:p>
            <w:pPr>
              <w:pStyle w:val="13"/>
              <w:jc w:val="center"/>
              <w:rPr>
                <w:rFonts w:hint="eastAsia" w:ascii="宋体" w:hAnsi="宋体" w:eastAsia="宋体"/>
                <w:sz w:val="21"/>
                <w:szCs w:val="21"/>
                <w:lang w:val="en-US" w:eastAsia="zh-CN"/>
              </w:rPr>
            </w:pPr>
            <w:r>
              <w:rPr>
                <w:rFonts w:hint="eastAsia" w:ascii="宋体" w:hAnsi="宋体"/>
                <w:sz w:val="21"/>
                <w:szCs w:val="21"/>
                <w:lang w:val="en-US" w:eastAsia="zh-CN"/>
              </w:rPr>
              <w:t>3年</w:t>
            </w:r>
          </w:p>
        </w:tc>
        <w:tc>
          <w:tcPr>
            <w:tcW w:w="1473" w:type="dxa"/>
            <w:tcBorders>
              <w:top w:val="single" w:color="auto" w:sz="4" w:space="0"/>
              <w:left w:val="nil"/>
              <w:bottom w:val="single" w:color="auto" w:sz="4" w:space="0"/>
              <w:right w:val="single" w:color="auto" w:sz="4" w:space="0"/>
            </w:tcBorders>
            <w:vAlign w:val="top"/>
          </w:tcPr>
          <w:p>
            <w:pPr>
              <w:pStyle w:val="13"/>
              <w:jc w:val="center"/>
              <w:rPr>
                <w:rFonts w:hint="eastAsia" w:ascii="宋体" w:hAnsi="宋体" w:eastAsia="宋体"/>
                <w:sz w:val="21"/>
                <w:szCs w:val="21"/>
                <w:lang w:val="en-US" w:eastAsia="zh-CN"/>
              </w:rPr>
            </w:pPr>
            <w:r>
              <w:rPr>
                <w:rFonts w:hint="eastAsia" w:ascii="宋体" w:hAnsi="宋体"/>
                <w:sz w:val="21"/>
                <w:szCs w:val="21"/>
                <w:lang w:val="en-US" w:eastAsia="zh-CN"/>
              </w:rPr>
              <w:t>约280000元</w:t>
            </w:r>
          </w:p>
        </w:tc>
        <w:tc>
          <w:tcPr>
            <w:tcW w:w="1554" w:type="dxa"/>
            <w:tcBorders>
              <w:top w:val="single" w:color="auto" w:sz="4" w:space="0"/>
              <w:left w:val="nil"/>
              <w:bottom w:val="single" w:color="auto" w:sz="4" w:space="0"/>
              <w:right w:val="single" w:color="auto" w:sz="4" w:space="0"/>
            </w:tcBorders>
            <w:vAlign w:val="top"/>
          </w:tcPr>
          <w:p>
            <w:pPr>
              <w:pStyle w:val="13"/>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8522" w:type="dxa"/>
            <w:gridSpan w:val="5"/>
            <w:tcBorders>
              <w:top w:val="single" w:color="auto" w:sz="4" w:space="0"/>
              <w:left w:val="single" w:color="auto" w:sz="4" w:space="0"/>
              <w:bottom w:val="single" w:color="auto" w:sz="4" w:space="0"/>
              <w:right w:val="single" w:color="auto" w:sz="4" w:space="0"/>
            </w:tcBorders>
            <w:vAlign w:val="top"/>
          </w:tcPr>
          <w:p>
            <w:pPr>
              <w:pStyle w:val="13"/>
              <w:rPr>
                <w:rFonts w:ascii="宋体" w:hAnsi="宋体"/>
                <w:sz w:val="21"/>
                <w:szCs w:val="21"/>
              </w:rPr>
            </w:pPr>
            <w:r>
              <w:rPr>
                <w:rFonts w:hint="eastAsia" w:ascii="宋体" w:hAnsi="宋体"/>
                <w:sz w:val="21"/>
                <w:szCs w:val="21"/>
                <w:lang w:val="en-US" w:eastAsia="zh-CN"/>
              </w:rPr>
              <w:t>备注：一招3年，合同一年一续签。乙方能满足甲方需求，经双方协商，次年可续签。</w:t>
            </w:r>
          </w:p>
        </w:tc>
      </w:tr>
    </w:tbl>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ascii="宋体" w:hAnsi="宋体" w:eastAsia="宋体" w:cs="宋体"/>
          <w:kern w:val="2"/>
          <w:sz w:val="21"/>
          <w:szCs w:val="24"/>
          <w:lang w:val="en-US" w:eastAsia="zh-CN" w:bidi="ar-SA"/>
        </w:rPr>
      </w:pPr>
      <w:r>
        <w:rPr>
          <w:rFonts w:hint="eastAsia" w:ascii="宋体" w:hAnsi="宋体" w:eastAsia="宋体" w:cs="宋体"/>
          <w:kern w:val="2"/>
          <w:sz w:val="21"/>
          <w:szCs w:val="24"/>
          <w:lang w:val="en-US" w:eastAsia="zh-CN" w:bidi="ar-SA"/>
        </w:rPr>
        <w:t>四、详细技术要求、参数及产品资料等：</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ind w:firstLine="420" w:firstLineChars="200"/>
        <w:jc w:val="both"/>
        <w:rPr>
          <w:rFonts w:hint="eastAsia" w:ascii="宋体" w:hAnsi="宋体" w:eastAsia="宋体" w:cs="宋体"/>
          <w:kern w:val="2"/>
          <w:sz w:val="21"/>
          <w:szCs w:val="24"/>
          <w:highlight w:val="none"/>
          <w:lang w:val="en-US" w:eastAsia="zh-CN" w:bidi="ar-SA"/>
        </w:rPr>
      </w:pPr>
      <w:r>
        <w:rPr>
          <w:rFonts w:hint="eastAsia" w:cs="宋体"/>
          <w:kern w:val="2"/>
          <w:sz w:val="21"/>
          <w:szCs w:val="24"/>
          <w:highlight w:val="none"/>
          <w:lang w:val="en-US" w:eastAsia="zh-CN" w:bidi="ar-SA"/>
        </w:rPr>
        <w:t>1.</w:t>
      </w:r>
      <w:r>
        <w:rPr>
          <w:rFonts w:hint="eastAsia" w:ascii="宋体" w:hAnsi="宋体" w:eastAsia="宋体" w:cs="宋体"/>
          <w:kern w:val="2"/>
          <w:sz w:val="21"/>
          <w:szCs w:val="24"/>
          <w:highlight w:val="none"/>
          <w:lang w:val="en-US" w:eastAsia="zh-CN" w:bidi="ar-SA"/>
        </w:rPr>
        <w:t>放射工作人员个人剂量</w:t>
      </w:r>
      <w:r>
        <w:rPr>
          <w:rFonts w:hint="eastAsia" w:cs="宋体"/>
          <w:kern w:val="2"/>
          <w:sz w:val="21"/>
          <w:szCs w:val="24"/>
          <w:highlight w:val="none"/>
          <w:lang w:val="en-US" w:eastAsia="zh-CN" w:bidi="ar-SA"/>
        </w:rPr>
        <w:t>可实现</w:t>
      </w:r>
      <w:r>
        <w:rPr>
          <w:rFonts w:hint="eastAsia" w:ascii="宋体" w:hAnsi="宋体" w:eastAsia="宋体" w:cs="宋体"/>
          <w:kern w:val="2"/>
          <w:sz w:val="21"/>
          <w:szCs w:val="24"/>
          <w:highlight w:val="none"/>
          <w:lang w:val="en-US" w:eastAsia="zh-CN" w:bidi="ar-SA"/>
        </w:rPr>
        <w:t>X、γ、β射线监测</w:t>
      </w:r>
      <w:r>
        <w:rPr>
          <w:rFonts w:hint="eastAsia" w:cs="宋体"/>
          <w:kern w:val="2"/>
          <w:sz w:val="21"/>
          <w:szCs w:val="24"/>
          <w:highlight w:val="none"/>
          <w:lang w:val="en-US" w:eastAsia="zh-CN" w:bidi="ar-SA"/>
        </w:rPr>
        <w:t>。</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ind w:firstLine="420" w:firstLineChars="200"/>
        <w:jc w:val="both"/>
        <w:rPr>
          <w:rFonts w:hint="default" w:ascii="宋体" w:hAnsi="宋体" w:eastAsia="宋体" w:cs="宋体"/>
          <w:kern w:val="2"/>
          <w:sz w:val="21"/>
          <w:szCs w:val="24"/>
          <w:lang w:val="en-US" w:eastAsia="zh-CN" w:bidi="ar-SA"/>
        </w:rPr>
      </w:pPr>
      <w:r>
        <w:rPr>
          <w:rFonts w:hint="eastAsia" w:cs="宋体"/>
          <w:kern w:val="2"/>
          <w:sz w:val="21"/>
          <w:szCs w:val="24"/>
          <w:highlight w:val="none"/>
          <w:lang w:val="en-US" w:eastAsia="zh-CN" w:bidi="ar-SA"/>
        </w:rPr>
        <w:t>2.</w:t>
      </w:r>
      <w:r>
        <w:rPr>
          <w:rFonts w:hint="eastAsia" w:ascii="宋体" w:hAnsi="宋体" w:eastAsia="宋体" w:cs="宋体"/>
          <w:kern w:val="2"/>
          <w:sz w:val="21"/>
          <w:szCs w:val="24"/>
          <w:highlight w:val="none"/>
          <w:lang w:val="en-US" w:eastAsia="zh-CN" w:bidi="ar-SA"/>
        </w:rPr>
        <w:t>乙方提供的放</w:t>
      </w:r>
      <w:r>
        <w:rPr>
          <w:rFonts w:hint="eastAsia" w:ascii="宋体" w:hAnsi="宋体" w:eastAsia="宋体" w:cs="宋体"/>
          <w:kern w:val="2"/>
          <w:sz w:val="21"/>
          <w:szCs w:val="24"/>
          <w:lang w:val="en-US" w:eastAsia="zh-CN" w:bidi="ar-SA"/>
        </w:rPr>
        <w:t>射计量卡和监测设备及技术符合国家相关标准要求，确保监测数据准确、服务及时完善。</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jc w:val="both"/>
        <w:rPr>
          <w:rFonts w:hint="eastAsia" w:cs="宋体"/>
          <w:kern w:val="2"/>
          <w:sz w:val="21"/>
          <w:szCs w:val="24"/>
          <w:lang w:val="en-US" w:eastAsia="zh-CN" w:bidi="ar-SA"/>
        </w:rPr>
      </w:pPr>
      <w:r>
        <w:rPr>
          <w:rFonts w:hint="eastAsia" w:cs="宋体"/>
          <w:kern w:val="2"/>
          <w:sz w:val="21"/>
          <w:szCs w:val="24"/>
          <w:lang w:val="en-US" w:eastAsia="zh-CN" w:bidi="ar-SA"/>
        </w:rPr>
        <w:t>五、售后服务条件及交货日期（或工期）：</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ind w:firstLine="420" w:firstLineChars="200"/>
        <w:jc w:val="both"/>
        <w:rPr>
          <w:rFonts w:hint="eastAsia" w:cs="宋体"/>
          <w:kern w:val="2"/>
          <w:sz w:val="21"/>
          <w:szCs w:val="24"/>
          <w:lang w:val="en-US" w:eastAsia="zh-CN" w:bidi="ar-SA"/>
        </w:rPr>
      </w:pPr>
      <w:r>
        <w:rPr>
          <w:rFonts w:hint="eastAsia" w:cs="宋体"/>
          <w:kern w:val="2"/>
          <w:sz w:val="21"/>
          <w:szCs w:val="24"/>
          <w:lang w:val="en-US" w:eastAsia="zh-CN" w:bidi="ar-SA"/>
        </w:rPr>
        <w:t xml:space="preserve">1、监测机构需在每次测量周期三个月到期前（每季度最后一个月的20号之前）把新的个人剂量计送至我院，以便于为放射从业人员更换。                                                            </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ind w:firstLine="420" w:firstLineChars="200"/>
        <w:jc w:val="both"/>
        <w:rPr>
          <w:rFonts w:hint="eastAsia" w:cs="宋体"/>
          <w:kern w:val="2"/>
          <w:sz w:val="21"/>
          <w:szCs w:val="24"/>
          <w:lang w:val="en-US" w:eastAsia="zh-CN" w:bidi="ar-SA"/>
        </w:rPr>
      </w:pPr>
      <w:r>
        <w:rPr>
          <w:rFonts w:hint="eastAsia" w:cs="宋体"/>
          <w:kern w:val="2"/>
          <w:sz w:val="21"/>
          <w:szCs w:val="24"/>
          <w:lang w:val="en-US" w:eastAsia="zh-CN" w:bidi="ar-SA"/>
        </w:rPr>
        <w:t xml:space="preserve"> 2、监测机构需在接到上一次的个人剂量计元件后15天内进行个人剂量元件测读、出具个人剂量监测报告，并及时反馈。在下一次进行个人剂量元件更换的同时将个人剂量监测纸质报告送至我院。                                                      </w:t>
      </w:r>
    </w:p>
    <w:p>
      <w:pPr>
        <w:pStyle w:val="13"/>
        <w:keepNext w:val="0"/>
        <w:keepLines w:val="0"/>
        <w:pageBreakBefore w:val="0"/>
        <w:kinsoku/>
        <w:wordWrap/>
        <w:overflowPunct/>
        <w:topLinePunct w:val="0"/>
        <w:autoSpaceDE/>
        <w:autoSpaceDN/>
        <w:bidi w:val="0"/>
        <w:adjustRightInd/>
        <w:snapToGrid/>
        <w:spacing w:beforeAutospacing="0" w:afterAutospacing="0" w:line="500" w:lineRule="exact"/>
        <w:ind w:firstLine="420" w:firstLineChars="200"/>
        <w:jc w:val="both"/>
        <w:rPr>
          <w:rFonts w:hint="eastAsia" w:cs="宋体"/>
          <w:kern w:val="2"/>
          <w:sz w:val="21"/>
          <w:szCs w:val="24"/>
          <w:lang w:val="en-US" w:eastAsia="zh-CN" w:bidi="ar-SA"/>
        </w:rPr>
      </w:pPr>
      <w:r>
        <w:rPr>
          <w:rFonts w:hint="eastAsia" w:cs="宋体"/>
          <w:kern w:val="2"/>
          <w:sz w:val="21"/>
          <w:szCs w:val="24"/>
          <w:lang w:val="en-US" w:eastAsia="zh-CN" w:bidi="ar-SA"/>
        </w:rPr>
        <w:t xml:space="preserve"> 3、我院有权对个人剂量监测报告进行复核，如发现监测数据存在虚假或数据偏差过大，终止合同，监测机构需向我院支付合同总金额5倍的违约金，并赔偿经济损失。</w:t>
      </w:r>
    </w:p>
    <w:p>
      <w:pPr>
        <w:pStyle w:val="14"/>
        <w:rPr>
          <w:rFonts w:hint="eastAsia" w:cs="宋体"/>
          <w:kern w:val="2"/>
          <w:sz w:val="21"/>
          <w:szCs w:val="24"/>
          <w:lang w:val="en-US" w:eastAsia="zh-CN" w:bidi="ar-SA"/>
        </w:rPr>
      </w:pPr>
    </w:p>
    <w:p>
      <w:pPr>
        <w:rPr>
          <w:rFonts w:hint="eastAsia" w:cs="宋体"/>
          <w:kern w:val="2"/>
          <w:sz w:val="21"/>
          <w:szCs w:val="24"/>
          <w:lang w:val="en-US" w:eastAsia="zh-CN" w:bidi="ar-SA"/>
        </w:rPr>
      </w:pPr>
    </w:p>
    <w:p>
      <w:pPr>
        <w:pStyle w:val="2"/>
        <w:rPr>
          <w:rFonts w:hint="eastAsia"/>
          <w:lang w:val="en-US" w:eastAsia="zh-CN"/>
        </w:rPr>
      </w:pPr>
    </w:p>
    <w:p>
      <w:pPr>
        <w:pStyle w:val="2"/>
        <w:rPr>
          <w:rFonts w:hint="eastAsia" w:cs="宋体"/>
          <w:kern w:val="2"/>
          <w:sz w:val="21"/>
          <w:szCs w:val="24"/>
          <w:lang w:val="en-US" w:eastAsia="zh-CN" w:bidi="ar-SA"/>
        </w:rPr>
      </w:pPr>
    </w:p>
    <w:p>
      <w:pPr>
        <w:pStyle w:val="3"/>
        <w:rPr>
          <w:rFonts w:hint="eastAsia"/>
          <w:lang w:val="en-US" w:eastAsia="zh-CN"/>
        </w:rPr>
      </w:pPr>
    </w:p>
    <w:bookmarkEnd w:id="35"/>
    <w:bookmarkEnd w:id="36"/>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b/>
          <w:bCs/>
          <w:color w:val="auto"/>
          <w:sz w:val="30"/>
          <w:szCs w:val="30"/>
          <w:highlight w:val="none"/>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b/>
          <w:bCs/>
          <w:color w:val="auto"/>
          <w:sz w:val="30"/>
          <w:szCs w:val="30"/>
          <w:highlight w:val="none"/>
        </w:rPr>
      </w:pPr>
      <w:r>
        <w:rPr>
          <w:rFonts w:hint="eastAsia"/>
          <w:b/>
          <w:bCs/>
          <w:color w:val="auto"/>
          <w:sz w:val="30"/>
          <w:szCs w:val="30"/>
          <w:highlight w:val="none"/>
        </w:rPr>
        <w:t>商务要求</w:t>
      </w:r>
    </w:p>
    <w:tbl>
      <w:tblPr>
        <w:tblStyle w:val="34"/>
        <w:tblpPr w:leftFromText="180" w:rightFromText="180" w:vertAnchor="text" w:tblpXSpec="center" w:tblpY="1"/>
        <w:tblOverlap w:val="never"/>
        <w:tblW w:w="948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132"/>
        <w:gridCol w:w="73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合同签订时间</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自中标通知书发出之日起三十个日历日内。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服务地点</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合同履行期限</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default" w:ascii="宋体" w:hAnsi="宋体" w:eastAsia="宋体" w:cs="宋体"/>
                <w:color w:val="FF0000"/>
                <w:sz w:val="21"/>
                <w:szCs w:val="21"/>
                <w:lang w:val="en-US" w:eastAsia="zh-CN"/>
              </w:rPr>
            </w:pPr>
            <w:r>
              <w:rPr>
                <w:rFonts w:hint="default" w:ascii="宋体" w:hAnsi="宋体" w:eastAsia="宋体" w:cs="宋体"/>
                <w:color w:val="auto"/>
                <w:sz w:val="21"/>
                <w:szCs w:val="21"/>
                <w:lang w:val="en-US" w:eastAsia="zh-CN"/>
              </w:rPr>
              <w:t>3年，合同一年一续签</w:t>
            </w:r>
            <w:r>
              <w:rPr>
                <w:rFonts w:hint="eastAsia" w:cs="宋体"/>
                <w:color w:val="auto"/>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验   收</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服务要求</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合格。</w:t>
            </w:r>
            <w:r>
              <w:rPr>
                <w:rFonts w:hint="eastAsia" w:cs="宋体"/>
                <w:color w:val="auto"/>
                <w:sz w:val="21"/>
                <w:szCs w:val="21"/>
                <w:highlight w:val="none"/>
                <w:lang w:val="en-US" w:eastAsia="zh-CN"/>
              </w:rPr>
              <w:t>（以采购人要求为准）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付款方式</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以合同签订为准。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7" w:hRule="atLeast"/>
          <w:jc w:val="center"/>
        </w:trPr>
        <w:tc>
          <w:tcPr>
            <w:tcW w:w="2132"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售后技术服务要求、售后服务保障要求</w:t>
            </w:r>
          </w:p>
        </w:tc>
        <w:tc>
          <w:tcPr>
            <w:tcW w:w="7354" w:type="dxa"/>
            <w:tcBorders>
              <w:top w:val="single" w:color="auto" w:sz="4" w:space="0"/>
              <w:left w:val="single" w:color="auto" w:sz="4" w:space="0"/>
              <w:bottom w:val="single" w:color="auto" w:sz="4" w:space="0"/>
              <w:right w:val="single" w:color="auto" w:sz="4" w:space="0"/>
            </w:tcBorders>
            <w:noWrap/>
            <w:vAlign w:val="center"/>
          </w:tcPr>
          <w:p>
            <w:pPr>
              <w:pStyle w:val="13"/>
              <w:ind w:left="0" w:leftChars="0"/>
              <w:jc w:val="left"/>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中标人须提供后期服务保障和技术支持。</w:t>
            </w:r>
          </w:p>
        </w:tc>
      </w:tr>
    </w:tbl>
    <w:p>
      <w:pPr>
        <w:snapToGrid w:val="0"/>
        <w:spacing w:line="480" w:lineRule="auto"/>
        <w:jc w:val="center"/>
        <w:rPr>
          <w:rFonts w:hint="eastAsia"/>
          <w:b/>
          <w:bCs/>
          <w:color w:val="auto"/>
          <w:sz w:val="30"/>
          <w:szCs w:val="30"/>
          <w:highlight w:val="none"/>
        </w:rPr>
      </w:pPr>
    </w:p>
    <w:p>
      <w:pPr>
        <w:snapToGrid w:val="0"/>
        <w:spacing w:line="480" w:lineRule="auto"/>
        <w:jc w:val="center"/>
        <w:rPr>
          <w:b/>
          <w:bCs/>
          <w:color w:val="auto"/>
          <w:sz w:val="30"/>
          <w:szCs w:val="30"/>
          <w:highlight w:val="none"/>
        </w:rPr>
      </w:pPr>
      <w:r>
        <w:rPr>
          <w:rFonts w:hint="eastAsia"/>
          <w:b/>
          <w:bCs/>
          <w:color w:val="auto"/>
          <w:sz w:val="30"/>
          <w:szCs w:val="30"/>
          <w:highlight w:val="none"/>
        </w:rPr>
        <w:t xml:space="preserve"> 采购人对项目的特殊要求及说明</w:t>
      </w:r>
    </w:p>
    <w:tbl>
      <w:tblPr>
        <w:tblStyle w:val="34"/>
        <w:tblW w:w="936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26"/>
        <w:gridCol w:w="73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46" w:hRule="atLeast"/>
          <w:jc w:val="center"/>
        </w:trPr>
        <w:tc>
          <w:tcPr>
            <w:tcW w:w="2026"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7343"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不接受联合体投标，不允许转包和分包。</w:t>
            </w:r>
          </w:p>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、授权评标委员会确定一名中标人并推荐两名中标候选人。</w:t>
            </w:r>
          </w:p>
          <w:p>
            <w:pPr>
              <w:widowControl/>
              <w:snapToGrid w:val="0"/>
              <w:spacing w:line="360" w:lineRule="auto"/>
              <w:rPr>
                <w:rFonts w:ascii="宋体" w:hAnsi="宋体" w:cs="宋体"/>
                <w:color w:val="auto"/>
                <w:spacing w:val="14"/>
                <w:szCs w:val="21"/>
                <w:highlight w:val="none"/>
              </w:rPr>
            </w:pPr>
            <w:r>
              <w:rPr>
                <w:rFonts w:hint="eastAsia"/>
                <w:color w:val="auto"/>
                <w:sz w:val="21"/>
                <w:szCs w:val="21"/>
                <w:highlight w:val="none"/>
                <w:lang w:val="en-US" w:eastAsia="zh-CN"/>
              </w:rPr>
              <w:t>3</w:t>
            </w:r>
            <w:r>
              <w:rPr>
                <w:rFonts w:hint="eastAsia"/>
                <w:color w:val="auto"/>
                <w:sz w:val="21"/>
                <w:szCs w:val="21"/>
                <w:highlight w:val="none"/>
              </w:rPr>
              <w:t>、</w:t>
            </w:r>
            <w:r>
              <w:rPr>
                <w:rFonts w:hint="eastAsia" w:ascii="宋体" w:hAnsi="宋体" w:cs="宋体"/>
                <w:color w:val="auto"/>
                <w:spacing w:val="14"/>
                <w:szCs w:val="21"/>
                <w:highlight w:val="none"/>
              </w:rPr>
              <w:t>供应商应根据</w:t>
            </w:r>
            <w:r>
              <w:rPr>
                <w:rFonts w:hint="eastAsia" w:ascii="宋体" w:hAnsi="宋体" w:cs="宋体"/>
                <w:color w:val="auto"/>
                <w:spacing w:val="14"/>
                <w:szCs w:val="21"/>
                <w:highlight w:val="none"/>
                <w:lang w:eastAsia="zh-CN"/>
              </w:rPr>
              <w:t>采购</w:t>
            </w:r>
            <w:r>
              <w:rPr>
                <w:rFonts w:hint="eastAsia" w:ascii="宋体" w:hAnsi="宋体" w:cs="宋体"/>
                <w:color w:val="auto"/>
                <w:spacing w:val="14"/>
                <w:szCs w:val="21"/>
                <w:highlight w:val="none"/>
              </w:rPr>
              <w:t>文件的要求提供技术响应表、商务响应表等内容以对</w:t>
            </w:r>
            <w:r>
              <w:rPr>
                <w:rFonts w:hint="eastAsia" w:ascii="宋体" w:hAnsi="宋体" w:cs="宋体"/>
                <w:color w:val="auto"/>
                <w:spacing w:val="14"/>
                <w:szCs w:val="21"/>
                <w:highlight w:val="none"/>
                <w:lang w:eastAsia="zh-CN"/>
              </w:rPr>
              <w:t>采购</w:t>
            </w:r>
            <w:r>
              <w:rPr>
                <w:rFonts w:hint="eastAsia" w:ascii="宋体" w:hAnsi="宋体" w:cs="宋体"/>
                <w:color w:val="auto"/>
                <w:spacing w:val="14"/>
                <w:szCs w:val="21"/>
                <w:highlight w:val="none"/>
              </w:rPr>
              <w:t>文件作出响应。</w:t>
            </w:r>
          </w:p>
        </w:tc>
      </w:tr>
    </w:tbl>
    <w:p>
      <w:pPr>
        <w:rPr>
          <w:color w:val="auto"/>
          <w:highlight w:val="none"/>
        </w:rPr>
      </w:pPr>
    </w:p>
    <w:p>
      <w:pPr>
        <w:jc w:val="center"/>
        <w:rPr>
          <w:rFonts w:hint="eastAsia"/>
          <w:b/>
          <w:bCs/>
          <w:color w:val="auto"/>
          <w:sz w:val="32"/>
          <w:szCs w:val="32"/>
          <w:highlight w:val="none"/>
        </w:rPr>
      </w:pPr>
      <w:bookmarkStart w:id="40" w:name="_Toc14504"/>
    </w:p>
    <w:p>
      <w:pPr>
        <w:jc w:val="center"/>
        <w:rPr>
          <w:rFonts w:hint="eastAsia"/>
          <w:b/>
          <w:bCs/>
          <w:color w:val="auto"/>
          <w:sz w:val="32"/>
          <w:szCs w:val="32"/>
          <w:highlight w:val="none"/>
        </w:rPr>
      </w:pPr>
    </w:p>
    <w:p>
      <w:pPr>
        <w:rPr>
          <w:rFonts w:hint="eastAsia"/>
          <w:b/>
          <w:bCs/>
          <w:color w:val="auto"/>
          <w:sz w:val="32"/>
          <w:szCs w:val="32"/>
          <w:highlight w:val="none"/>
        </w:rPr>
      </w:pPr>
      <w:r>
        <w:rPr>
          <w:rFonts w:hint="eastAsia"/>
          <w:b/>
          <w:bCs/>
          <w:color w:val="auto"/>
          <w:sz w:val="32"/>
          <w:szCs w:val="32"/>
          <w:highlight w:val="none"/>
        </w:rPr>
        <w:br w:type="page"/>
      </w:r>
    </w:p>
    <w:p>
      <w:pPr>
        <w:jc w:val="center"/>
        <w:rPr>
          <w:b/>
          <w:bCs/>
          <w:color w:val="auto"/>
          <w:sz w:val="32"/>
          <w:szCs w:val="32"/>
          <w:highlight w:val="none"/>
        </w:rPr>
      </w:pPr>
      <w:r>
        <w:rPr>
          <w:rFonts w:hint="eastAsia"/>
          <w:b/>
          <w:bCs/>
          <w:color w:val="auto"/>
          <w:sz w:val="32"/>
          <w:szCs w:val="32"/>
          <w:highlight w:val="none"/>
        </w:rPr>
        <w:t>第三章  投标人须知</w:t>
      </w:r>
      <w:bookmarkEnd w:id="40"/>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4"/>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rPr>
            </w:pPr>
            <w:r>
              <w:rPr>
                <w:rFonts w:hint="eastAsia"/>
                <w:color w:val="auto"/>
                <w:highlight w:val="none"/>
              </w:rPr>
              <w:t>1.1 项目名称：</w:t>
            </w:r>
            <w:r>
              <w:rPr>
                <w:rFonts w:hint="eastAsia"/>
                <w:color w:val="auto"/>
                <w:highlight w:val="none"/>
                <w:lang w:val="en-US" w:eastAsia="zh-CN"/>
              </w:rPr>
              <w:t>驻马店市中心医院放射工作人员个人剂量监测服务项目</w:t>
            </w:r>
          </w:p>
          <w:p>
            <w:pPr>
              <w:widowControl/>
              <w:snapToGrid w:val="0"/>
              <w:spacing w:line="440" w:lineRule="exact"/>
              <w:jc w:val="left"/>
              <w:outlineLvl w:val="0"/>
              <w:rPr>
                <w:rFonts w:hint="eastAsia"/>
                <w:color w:val="auto"/>
                <w:highlight w:val="none"/>
              </w:rPr>
            </w:pPr>
            <w:r>
              <w:rPr>
                <w:rFonts w:hint="eastAsia"/>
                <w:color w:val="auto"/>
                <w:highlight w:val="none"/>
              </w:rPr>
              <w:t>1.2 采购人名称：驻马店市中心医院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rPr>
              <w:t>采购预算：</w:t>
            </w:r>
            <w:r>
              <w:rPr>
                <w:rFonts w:hint="eastAsia" w:ascii="宋体" w:hAnsi="宋体" w:cs="宋体"/>
                <w:color w:val="auto"/>
                <w:kern w:val="0"/>
                <w:szCs w:val="21"/>
                <w:highlight w:val="none"/>
                <w:lang w:val="en-US" w:eastAsia="zh-CN"/>
              </w:rPr>
              <w:t>预计280000.00</w:t>
            </w:r>
            <w:r>
              <w:rPr>
                <w:rFonts w:hint="eastAsia" w:ascii="宋体" w:hAnsi="宋体" w:cs="宋体"/>
                <w:color w:val="auto"/>
                <w:kern w:val="0"/>
                <w:szCs w:val="21"/>
                <w:highlight w:val="none"/>
              </w:rPr>
              <w:t>元</w:t>
            </w:r>
            <w:r>
              <w:rPr>
                <w:rFonts w:hint="eastAsia" w:ascii="宋体" w:hAnsi="宋体" w:cs="宋体"/>
                <w:color w:val="auto"/>
                <w:kern w:val="0"/>
                <w:szCs w:val="21"/>
                <w:highlight w:val="none"/>
                <w:lang w:eastAsia="zh-CN"/>
              </w:rPr>
              <w:t>，</w:t>
            </w:r>
            <w:r>
              <w:rPr>
                <w:rFonts w:hint="eastAsia" w:ascii="宋体" w:hAnsi="宋体" w:cs="宋体"/>
                <w:b/>
                <w:bCs/>
                <w:color w:val="auto"/>
                <w:kern w:val="0"/>
                <w:szCs w:val="21"/>
                <w:highlight w:val="none"/>
              </w:rPr>
              <w:t>最高投标限价</w:t>
            </w:r>
            <w:r>
              <w:rPr>
                <w:rFonts w:hint="eastAsia" w:ascii="宋体" w:hAnsi="宋体" w:cs="宋体"/>
                <w:b/>
                <w:bCs/>
                <w:color w:val="auto"/>
                <w:kern w:val="0"/>
                <w:szCs w:val="21"/>
                <w:highlight w:val="none"/>
                <w:lang w:eastAsia="zh-CN"/>
              </w:rPr>
              <w:t>：</w:t>
            </w:r>
            <w:r>
              <w:rPr>
                <w:rFonts w:hint="eastAsia" w:ascii="宋体" w:hAnsi="宋体" w:cs="宋体"/>
                <w:b/>
                <w:bCs/>
                <w:color w:val="auto"/>
                <w:kern w:val="0"/>
                <w:szCs w:val="21"/>
                <w:highlight w:val="none"/>
                <w:lang w:val="en-US" w:eastAsia="zh-CN"/>
              </w:rPr>
              <w:t>200元/年/卡</w:t>
            </w:r>
            <w:r>
              <w:rPr>
                <w:rFonts w:hint="eastAsia" w:ascii="宋体" w:hAnsi="宋体" w:cs="宋体"/>
                <w:color w:val="auto"/>
                <w:kern w:val="0"/>
                <w:szCs w:val="21"/>
                <w:highlight w:val="none"/>
                <w:lang w:val="en-US" w:eastAsia="zh-CN"/>
              </w:rPr>
              <w:t>。</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pPr>
            <w:r>
              <w:rPr>
                <w:rFonts w:hint="eastAsia"/>
              </w:rPr>
              <w:t>投标文件组成</w:t>
            </w:r>
            <w:r>
              <w:rPr>
                <w:rFonts w:hint="eastAsia" w:ascii="宋体" w:hAnsi="宋体" w:eastAsia="宋体" w:cs="宋体"/>
              </w:rPr>
              <w:t>：纸质投标文件正本1份</w:t>
            </w:r>
            <w:r>
              <w:rPr>
                <w:rFonts w:hint="eastAsia" w:ascii="宋体" w:hAnsi="宋体" w:eastAsia="宋体" w:cs="宋体"/>
                <w:lang w:eastAsia="zh-CN"/>
              </w:rPr>
              <w:t>、</w:t>
            </w:r>
            <w:r>
              <w:rPr>
                <w:rFonts w:hint="eastAsia" w:ascii="宋体" w:hAnsi="宋体" w:eastAsia="宋体" w:cs="宋体"/>
                <w:lang w:val="en-US" w:eastAsia="zh-CN"/>
              </w:rPr>
              <w:t>副本2份</w:t>
            </w:r>
            <w:r>
              <w:rPr>
                <w:rFonts w:hint="eastAsia" w:ascii="宋体" w:hAnsi="宋体" w:eastAsia="宋体" w:cs="宋体"/>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000000"/>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FF0000"/>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FF0000"/>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000000" w:themeColor="text1"/>
          <w:kern w:val="0"/>
          <w:szCs w:val="21"/>
          <w:highlight w:val="none"/>
          <w14:textFill>
            <w14:solidFill>
              <w14:schemeClr w14:val="tx1"/>
            </w14:solidFill>
          </w14:textFill>
        </w:rPr>
        <w:t>公告中所叙述项目的</w:t>
      </w:r>
      <w:r>
        <w:rPr>
          <w:rFonts w:hint="eastAsia" w:ascii="宋体" w:hAnsi="宋体" w:eastAsia="宋体" w:cs="宋体"/>
          <w:color w:val="000000" w:themeColor="text1"/>
          <w:kern w:val="0"/>
          <w:szCs w:val="21"/>
          <w:highlight w:val="none"/>
          <w14:textFill>
            <w14:solidFill>
              <w14:schemeClr w14:val="tx1"/>
            </w14:solidFill>
          </w14:textFill>
        </w:rPr>
        <w:t>服务</w:t>
      </w:r>
      <w:r>
        <w:rPr>
          <w:rFonts w:hint="eastAsia" w:ascii="宋体" w:hAnsi="宋体" w:cs="宋体"/>
          <w:color w:val="000000" w:themeColor="text1"/>
          <w:kern w:val="0"/>
          <w:szCs w:val="21"/>
          <w:highlight w:val="none"/>
          <w14:textFill>
            <w14:solidFill>
              <w14:schemeClr w14:val="tx1"/>
            </w14:solidFill>
          </w14:textFill>
        </w:rPr>
        <w:t>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auto"/>
          <w:kern w:val="0"/>
          <w:szCs w:val="21"/>
          <w:highlight w:val="none"/>
        </w:rPr>
        <w:t>2.1 “采购人</w:t>
      </w:r>
      <w:r>
        <w:rPr>
          <w:rFonts w:hint="eastAsia" w:ascii="宋体" w:hAnsi="宋体" w:cs="宋体"/>
          <w:color w:val="000000" w:themeColor="text1"/>
          <w:kern w:val="0"/>
          <w:szCs w:val="21"/>
          <w:highlight w:val="none"/>
          <w14:textFill>
            <w14:solidFill>
              <w14:schemeClr w14:val="tx1"/>
            </w14:solidFill>
          </w14:textFill>
        </w:rPr>
        <w:t>”系指本次采购项目的业主方。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2.2 “投标人”系指</w:t>
      </w:r>
      <w:r>
        <w:rPr>
          <w:rFonts w:hint="eastAsia" w:ascii="宋体" w:hAnsi="宋体" w:cs="宋体"/>
          <w:color w:val="000000" w:themeColor="text1"/>
          <w:kern w:val="0"/>
          <w:szCs w:val="21"/>
          <w:highlight w:val="none"/>
          <w:lang w:val="en-US" w:eastAsia="zh-CN"/>
          <w14:textFill>
            <w14:solidFill>
              <w14:schemeClr w14:val="tx1"/>
            </w14:solidFill>
          </w14:textFill>
        </w:rPr>
        <w:t>领取</w:t>
      </w:r>
      <w:r>
        <w:rPr>
          <w:rFonts w:hint="eastAsia" w:ascii="宋体" w:hAnsi="宋体" w:cs="宋体"/>
          <w:color w:val="000000" w:themeColor="text1"/>
          <w:kern w:val="0"/>
          <w:szCs w:val="21"/>
          <w:highlight w:val="none"/>
          <w14:textFill>
            <w14:solidFill>
              <w14:schemeClr w14:val="tx1"/>
            </w14:solidFill>
          </w14:textFill>
        </w:rPr>
        <w:t>了本</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000000" w:themeColor="text1"/>
          <w:kern w:val="0"/>
          <w:szCs w:val="21"/>
          <w:highlight w:val="none"/>
          <w14:textFill>
            <w14:solidFill>
              <w14:schemeClr w14:val="tx1"/>
            </w14:solidFill>
          </w14:textFill>
        </w:rPr>
      </w:pPr>
      <w:r>
        <w:rPr>
          <w:rFonts w:hint="eastAsia" w:ascii="宋体" w:hAnsi="宋体" w:cs="宋体"/>
          <w:color w:val="000000" w:themeColor="text1"/>
          <w:kern w:val="0"/>
          <w:szCs w:val="21"/>
          <w:highlight w:val="none"/>
          <w14:textFill>
            <w14:solidFill>
              <w14:schemeClr w14:val="tx1"/>
            </w14:solidFill>
          </w14:textFill>
        </w:rPr>
        <w:t>2.3 “投标人代表”系指代表投标人参加本次</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cs="宋体"/>
          <w:color w:val="000000" w:themeColor="text1"/>
          <w:kern w:val="0"/>
          <w:szCs w:val="21"/>
          <w:highlight w:val="none"/>
          <w14:textFill>
            <w14:solidFill>
              <w14:schemeClr w14:val="tx1"/>
            </w14:solidFill>
          </w14:textFill>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eastAsia="宋体" w:cs="宋体"/>
          <w:color w:val="000000" w:themeColor="text1"/>
          <w:kern w:val="0"/>
          <w:szCs w:val="21"/>
          <w:highlight w:val="none"/>
          <w:lang w:val="en-US" w:eastAsia="zh-CN"/>
          <w14:textFill>
            <w14:solidFill>
              <w14:schemeClr w14:val="tx1"/>
            </w14:solidFill>
          </w14:textFill>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2.4 “服务”系指供应商按采购文件规定向采购人提供的一切工作内容。</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w:t>
      </w:r>
      <w:r>
        <w:rPr>
          <w:rFonts w:hint="eastAsia" w:ascii="宋体" w:hAnsi="宋体" w:cs="宋体"/>
          <w:b/>
          <w:bCs/>
          <w:color w:val="auto"/>
          <w:kern w:val="0"/>
          <w:szCs w:val="21"/>
          <w:highlight w:val="none"/>
          <w:lang w:eastAsia="zh-CN"/>
        </w:rPr>
        <w:t>：</w:t>
      </w:r>
      <w:r>
        <w:rPr>
          <w:rFonts w:hint="eastAsia" w:ascii="宋体" w:hAnsi="宋体" w:cs="宋体"/>
          <w:color w:val="auto"/>
          <w:kern w:val="0"/>
          <w:szCs w:val="21"/>
          <w:highlight w:val="none"/>
          <w:lang w:val="en-US" w:eastAsia="zh-CN"/>
        </w:rPr>
        <w:t>预计280000.00</w:t>
      </w:r>
      <w:r>
        <w:rPr>
          <w:rFonts w:hint="eastAsia" w:ascii="宋体" w:hAnsi="宋体" w:cs="宋体"/>
          <w:color w:val="auto"/>
          <w:kern w:val="0"/>
          <w:szCs w:val="21"/>
          <w:highlight w:val="none"/>
        </w:rPr>
        <w:t>元</w:t>
      </w:r>
      <w:r>
        <w:rPr>
          <w:rFonts w:hint="eastAsia" w:ascii="宋体" w:hAnsi="宋体" w:cs="宋体"/>
          <w:color w:val="auto"/>
          <w:kern w:val="0"/>
          <w:szCs w:val="21"/>
          <w:highlight w:val="none"/>
          <w:lang w:eastAsia="zh-CN"/>
        </w:rPr>
        <w:t>，</w:t>
      </w:r>
      <w:r>
        <w:rPr>
          <w:rFonts w:hint="eastAsia" w:ascii="宋体" w:hAnsi="宋体" w:cs="宋体"/>
          <w:b/>
          <w:bCs/>
          <w:color w:val="auto"/>
          <w:kern w:val="0"/>
          <w:szCs w:val="21"/>
          <w:highlight w:val="none"/>
        </w:rPr>
        <w:t>最高投标限价</w:t>
      </w:r>
      <w:r>
        <w:rPr>
          <w:rFonts w:hint="eastAsia" w:ascii="宋体" w:hAnsi="宋体" w:cs="宋体"/>
          <w:b/>
          <w:bCs/>
          <w:color w:val="auto"/>
          <w:kern w:val="0"/>
          <w:szCs w:val="21"/>
          <w:highlight w:val="none"/>
          <w:lang w:eastAsia="zh-CN"/>
        </w:rPr>
        <w:t>：</w:t>
      </w:r>
      <w:r>
        <w:rPr>
          <w:rFonts w:hint="eastAsia" w:ascii="宋体" w:hAnsi="宋体" w:cs="宋体"/>
          <w:b/>
          <w:bCs/>
          <w:color w:val="auto"/>
          <w:kern w:val="0"/>
          <w:szCs w:val="21"/>
          <w:highlight w:val="none"/>
          <w:lang w:val="en-US" w:eastAsia="zh-CN"/>
        </w:rPr>
        <w:t>200元/年/卡</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4.2供应商应具备放射诊疗建设项目职业病危害放射防护评价乙级及以上资质；</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w:t>
      </w:r>
      <w:r>
        <w:rPr>
          <w:rFonts w:hint="eastAsia" w:ascii="宋体" w:hAnsi="宋体" w:cs="宋体"/>
          <w:color w:val="auto"/>
          <w:kern w:val="2"/>
          <w:sz w:val="21"/>
          <w:szCs w:val="24"/>
          <w:lang w:val="en-US" w:eastAsia="zh-CN" w:bidi="ar-SA"/>
        </w:rPr>
        <w:t>3</w:t>
      </w:r>
      <w:r>
        <w:rPr>
          <w:rFonts w:hint="eastAsia" w:ascii="宋体" w:hAnsi="宋体" w:eastAsia="宋体" w:cs="宋体"/>
          <w:color w:val="auto"/>
          <w:kern w:val="2"/>
          <w:sz w:val="21"/>
          <w:szCs w:val="24"/>
          <w:lang w:val="en-US" w:eastAsia="zh-CN" w:bidi="ar-SA"/>
        </w:rPr>
        <w:t>供应商应提供2020年度</w:t>
      </w:r>
      <w:r>
        <w:rPr>
          <w:rFonts w:hint="eastAsia" w:ascii="宋体" w:hAnsi="宋体" w:cs="宋体"/>
          <w:color w:val="auto"/>
          <w:kern w:val="2"/>
          <w:sz w:val="21"/>
          <w:szCs w:val="24"/>
          <w:lang w:val="en-US" w:eastAsia="zh-CN" w:bidi="ar-SA"/>
        </w:rPr>
        <w:t>或2021年度</w:t>
      </w:r>
      <w:r>
        <w:rPr>
          <w:rFonts w:hint="eastAsia" w:ascii="宋体" w:hAnsi="宋体" w:eastAsia="宋体" w:cs="宋体"/>
          <w:color w:val="auto"/>
          <w:kern w:val="2"/>
          <w:sz w:val="21"/>
          <w:szCs w:val="24"/>
          <w:lang w:val="en-US" w:eastAsia="zh-CN" w:bidi="ar-SA"/>
        </w:rPr>
        <w:t>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p>
    <w:p>
      <w:pPr>
        <w:pStyle w:val="31"/>
        <w:keepNext w:val="0"/>
        <w:keepLines w:val="0"/>
        <w:pageBreakBefore w:val="0"/>
        <w:kinsoku/>
        <w:overflowPunct/>
        <w:topLinePunct w:val="0"/>
        <w:bidi w:val="0"/>
        <w:spacing w:line="440" w:lineRule="exact"/>
        <w:ind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sz w:val="21"/>
          <w:lang w:val="en-US" w:eastAsia="zh-CN"/>
        </w:rPr>
        <w:t>4.4</w:t>
      </w:r>
      <w:r>
        <w:rPr>
          <w:rFonts w:hint="eastAsia" w:ascii="宋体" w:hAnsi="宋体" w:eastAsia="宋体" w:cs="宋体"/>
          <w:color w:val="auto"/>
          <w:kern w:val="2"/>
          <w:sz w:val="21"/>
          <w:szCs w:val="24"/>
          <w:lang w:val="en-US" w:eastAsia="zh-CN" w:bidi="ar-SA"/>
        </w:rPr>
        <w:t>具有履行合同所必需的设备和专业技术能力（提供书面声明函）；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kern w:val="2"/>
          <w:sz w:val="21"/>
          <w:szCs w:val="24"/>
          <w:lang w:val="en-US" w:eastAsia="zh-CN" w:bidi="ar-SA"/>
        </w:rPr>
      </w:pPr>
      <w:r>
        <w:rPr>
          <w:rFonts w:hint="eastAsia" w:ascii="宋体" w:hAnsi="宋体" w:cs="宋体"/>
          <w:color w:val="auto"/>
          <w:kern w:val="2"/>
          <w:sz w:val="21"/>
          <w:szCs w:val="24"/>
          <w:lang w:val="en-US" w:eastAsia="zh-CN" w:bidi="ar-SA"/>
        </w:rPr>
        <w:t>4.5</w:t>
      </w:r>
      <w:r>
        <w:rPr>
          <w:rFonts w:hint="eastAsia" w:ascii="宋体" w:hAnsi="宋体" w:eastAsia="宋体" w:cs="宋体"/>
          <w:color w:val="auto"/>
          <w:kern w:val="2"/>
          <w:sz w:val="21"/>
          <w:szCs w:val="24"/>
          <w:lang w:val="en-US" w:eastAsia="zh-CN" w:bidi="ar-SA"/>
        </w:rPr>
        <w:t>参加本采购活动前三年内，在经营活动中没有重大违法记录（提供书面声明函）；</w:t>
      </w:r>
    </w:p>
    <w:p>
      <w:pPr>
        <w:keepNext w:val="0"/>
        <w:keepLines w:val="0"/>
        <w:pageBreakBefore w:val="0"/>
        <w:widowControl w:val="0"/>
        <w:kinsoku/>
        <w:overflowPunct/>
        <w:topLinePunct w:val="0"/>
        <w:autoSpaceDE w:val="0"/>
        <w:autoSpaceDN w:val="0"/>
        <w:bidi w:val="0"/>
        <w:adjustRightInd w:val="0"/>
        <w:snapToGrid w:val="0"/>
        <w:spacing w:line="440" w:lineRule="exact"/>
        <w:ind w:firstLine="420" w:firstLineChars="200"/>
        <w:textAlignment w:val="auto"/>
        <w:rPr>
          <w:rFonts w:hint="eastAsia" w:ascii="宋体" w:hAnsi="宋体" w:eastAsia="宋体" w:cs="宋体"/>
          <w:color w:val="auto"/>
          <w:lang w:val="en-US" w:eastAsia="zh-CN"/>
        </w:rPr>
      </w:pPr>
      <w:r>
        <w:rPr>
          <w:rFonts w:hint="eastAsia" w:ascii="宋体" w:hAnsi="宋体" w:cs="宋体"/>
          <w:color w:val="auto"/>
          <w:lang w:val="en-US" w:eastAsia="zh-CN"/>
        </w:rPr>
        <w:t>4.6</w:t>
      </w:r>
      <w:r>
        <w:rPr>
          <w:rFonts w:hint="eastAsia" w:ascii="宋体" w:hAnsi="宋体" w:eastAsia="宋体" w:cs="宋体"/>
          <w:color w:val="auto"/>
          <w:lang w:val="en-US" w:eastAsia="zh-CN"/>
        </w:rPr>
        <w:t>根据《关于在政府采购活动中查询及使用信用记录有关问题的通知》（财库【2016】125号）的规定，对列入失信被执行人、</w:t>
      </w:r>
      <w:r>
        <w:rPr>
          <w:rFonts w:hint="eastAsia" w:ascii="宋体" w:hAnsi="宋体" w:cs="宋体"/>
          <w:color w:val="auto"/>
          <w:lang w:val="en-US" w:eastAsia="zh-CN"/>
        </w:rPr>
        <w:t>税收违法黑名单</w:t>
      </w:r>
      <w:r>
        <w:rPr>
          <w:rFonts w:hint="eastAsia" w:ascii="宋体" w:hAnsi="宋体" w:eastAsia="宋体" w:cs="宋体"/>
          <w:color w:val="auto"/>
          <w:lang w:val="en-US" w:eastAsia="zh-CN"/>
        </w:rPr>
        <w:t>、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16.2、技术响应表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16.3、商务响应表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16.4、法定代表人身份证明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16.5、法定代表人授权书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16.6、证明文件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16.7、抵制商业贿赂承诺</w:t>
      </w:r>
    </w:p>
    <w:p>
      <w:pPr>
        <w:pStyle w:val="32"/>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16.8、投标人认为有必要的其他资料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000000" w:themeColor="text1"/>
          <w:kern w:val="0"/>
          <w:szCs w:val="21"/>
          <w:highlight w:val="none"/>
          <w14:textFill>
            <w14:solidFill>
              <w14:schemeClr w14:val="tx1"/>
            </w14:solidFill>
          </w14:textFill>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r>
        <w:rPr>
          <w:rFonts w:hint="eastAsia" w:ascii="宋体" w:hAnsi="宋体" w:eastAsia="宋体" w:cs="宋体"/>
          <w:color w:val="000000" w:themeColor="text1"/>
          <w:kern w:val="0"/>
          <w:szCs w:val="21"/>
          <w:highlight w:val="none"/>
          <w14:textFill>
            <w14:solidFill>
              <w14:schemeClr w14:val="tx1"/>
            </w14:solidFill>
          </w14:textFill>
        </w:rPr>
        <w:t>。</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000000" w:themeColor="text1"/>
          <w:kern w:val="0"/>
          <w:szCs w:val="21"/>
          <w:highlight w:val="none"/>
          <w:lang w:val="en-US" w:eastAsia="zh-CN"/>
          <w14:textFill>
            <w14:solidFill>
              <w14:schemeClr w14:val="tx1"/>
            </w14:solidFill>
          </w14:textFill>
        </w:rPr>
        <w:t>20</w:t>
      </w:r>
      <w:r>
        <w:rPr>
          <w:rFonts w:hint="eastAsia" w:ascii="宋体" w:hAnsi="宋体" w:eastAsia="宋体" w:cs="宋体"/>
          <w:color w:val="000000" w:themeColor="text1"/>
          <w:kern w:val="0"/>
          <w:szCs w:val="21"/>
          <w:highlight w:val="none"/>
          <w14:textFill>
            <w14:solidFill>
              <w14:schemeClr w14:val="tx1"/>
            </w14:solidFill>
          </w14:textFill>
        </w:rPr>
        <w:t>.2 投标文件应当对</w:t>
      </w:r>
      <w:r>
        <w:rPr>
          <w:rFonts w:hint="eastAsia" w:ascii="宋体" w:hAnsi="宋体" w:cs="宋体"/>
          <w:color w:val="000000" w:themeColor="text1"/>
          <w:kern w:val="0"/>
          <w:szCs w:val="21"/>
          <w:highlight w:val="none"/>
          <w:lang w:val="en-US" w:eastAsia="zh-CN"/>
          <w14:textFill>
            <w14:solidFill>
              <w14:schemeClr w14:val="tx1"/>
            </w14:solidFill>
          </w14:textFill>
        </w:rPr>
        <w:t>采购</w:t>
      </w:r>
      <w:r>
        <w:rPr>
          <w:rFonts w:hint="eastAsia" w:ascii="宋体" w:hAnsi="宋体" w:eastAsia="宋体" w:cs="宋体"/>
          <w:color w:val="000000" w:themeColor="text1"/>
          <w:kern w:val="0"/>
          <w:szCs w:val="21"/>
          <w:highlight w:val="none"/>
          <w14:textFill>
            <w14:solidFill>
              <w14:schemeClr w14:val="tx1"/>
            </w14:solidFill>
          </w14:textFill>
        </w:rPr>
        <w:t>文件有关服务期、投标有效期、</w:t>
      </w:r>
      <w:r>
        <w:rPr>
          <w:rFonts w:hint="eastAsia" w:ascii="宋体" w:hAnsi="宋体" w:cs="宋体"/>
          <w:color w:val="000000" w:themeColor="text1"/>
          <w:kern w:val="0"/>
          <w:szCs w:val="21"/>
          <w:highlight w:val="none"/>
          <w:lang w:val="en-US" w:eastAsia="zh-CN"/>
          <w14:textFill>
            <w14:solidFill>
              <w14:schemeClr w14:val="tx1"/>
            </w14:solidFill>
          </w14:textFill>
        </w:rPr>
        <w:t>服务</w:t>
      </w:r>
      <w:r>
        <w:rPr>
          <w:rFonts w:hint="eastAsia" w:ascii="宋体" w:hAnsi="宋体" w:eastAsia="宋体" w:cs="宋体"/>
          <w:color w:val="000000" w:themeColor="text1"/>
          <w:kern w:val="0"/>
          <w:szCs w:val="21"/>
          <w:highlight w:val="none"/>
          <w14:textFill>
            <w14:solidFill>
              <w14:schemeClr w14:val="tx1"/>
            </w14:solidFill>
          </w14:textFill>
        </w:rPr>
        <w:t>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21.1投标文件的正本与副本应分开包装，加贴封条，并在封套的封口处加盖投标人单位公章。</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highlight w:val="none"/>
          <w:lang w:eastAsia="zh-CN"/>
        </w:rPr>
      </w:pPr>
      <w:r>
        <w:rPr>
          <w:rFonts w:hint="eastAsia"/>
          <w:highlight w:val="none"/>
          <w:lang w:eastAsia="zh-CN"/>
        </w:rPr>
        <w:t>2</w:t>
      </w:r>
      <w:r>
        <w:rPr>
          <w:rFonts w:hint="eastAsia"/>
          <w:highlight w:val="none"/>
          <w:lang w:val="en-US" w:eastAsia="zh-CN"/>
        </w:rPr>
        <w:t>1</w:t>
      </w:r>
      <w:r>
        <w:rPr>
          <w:rFonts w:hint="eastAsia"/>
          <w:highlight w:val="none"/>
          <w:lang w:eastAsia="zh-CN"/>
        </w:rPr>
        <w:t>.3 未按本章第2</w:t>
      </w:r>
      <w:r>
        <w:rPr>
          <w:rFonts w:hint="eastAsia"/>
          <w:highlight w:val="none"/>
          <w:lang w:val="en-US" w:eastAsia="zh-CN"/>
        </w:rPr>
        <w:t>1</w:t>
      </w:r>
      <w:r>
        <w:rPr>
          <w:rFonts w:hint="eastAsia"/>
          <w:highlight w:val="none"/>
          <w:lang w:eastAsia="zh-CN"/>
        </w:rPr>
        <w:t>.1项或第2</w:t>
      </w:r>
      <w:r>
        <w:rPr>
          <w:rFonts w:hint="eastAsia"/>
          <w:highlight w:val="none"/>
          <w:lang w:val="en-US" w:eastAsia="zh-CN"/>
        </w:rPr>
        <w:t>1</w:t>
      </w:r>
      <w:r>
        <w:rPr>
          <w:rFonts w:hint="eastAsia"/>
          <w:highlight w:val="none"/>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9"/>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9"/>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9"/>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9"/>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w:t>
      </w:r>
      <w:r>
        <w:rPr>
          <w:rFonts w:hint="eastAsia" w:ascii="宋体" w:hAnsi="宋体"/>
          <w:color w:val="000000" w:themeColor="text1"/>
          <w:szCs w:val="21"/>
          <w:highlight w:val="none"/>
          <w14:textFill>
            <w14:solidFill>
              <w14:schemeClr w14:val="tx1"/>
            </w14:solidFill>
          </w14:textFill>
        </w:rPr>
        <w:t>有效期、</w:t>
      </w:r>
      <w:r>
        <w:rPr>
          <w:rFonts w:hint="eastAsia" w:ascii="宋体" w:hAnsi="宋体"/>
          <w:color w:val="000000" w:themeColor="text1"/>
          <w:szCs w:val="21"/>
          <w:highlight w:val="none"/>
          <w:lang w:val="en-US" w:eastAsia="zh-CN"/>
          <w14:textFill>
            <w14:solidFill>
              <w14:schemeClr w14:val="tx1"/>
            </w14:solidFill>
          </w14:textFill>
        </w:rPr>
        <w:t>服务</w:t>
      </w:r>
      <w:r>
        <w:rPr>
          <w:rFonts w:hint="eastAsia" w:ascii="宋体" w:hAnsi="宋体"/>
          <w:color w:val="000000" w:themeColor="text1"/>
          <w:szCs w:val="21"/>
          <w:highlight w:val="none"/>
          <w14:textFill>
            <w14:solidFill>
              <w14:schemeClr w14:val="tx1"/>
            </w14:solidFill>
          </w14:textFill>
        </w:rPr>
        <w:t>时间、质保期等不</w:t>
      </w:r>
      <w:r>
        <w:rPr>
          <w:rFonts w:hint="eastAsia" w:ascii="宋体" w:hAnsi="宋体"/>
          <w:color w:val="auto"/>
          <w:szCs w:val="21"/>
          <w:highlight w:val="none"/>
        </w:rPr>
        <w:t>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9"/>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41"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41"/>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42"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42"/>
    <w:p>
      <w:pPr>
        <w:rPr>
          <w:color w:val="auto"/>
          <w:highlight w:val="none"/>
        </w:rPr>
      </w:pPr>
      <w:bookmarkStart w:id="43" w:name="_Toc4700"/>
      <w:bookmarkStart w:id="44"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45" w:name="_Toc9022"/>
      <w:r>
        <w:rPr>
          <w:rFonts w:hint="eastAsia" w:ascii="黑体" w:hAnsi="宋体" w:eastAsia="黑体" w:cs="宋体"/>
          <w:b/>
          <w:bCs/>
          <w:color w:val="auto"/>
          <w:kern w:val="0"/>
          <w:sz w:val="32"/>
          <w:szCs w:val="32"/>
          <w:highlight w:val="none"/>
        </w:rPr>
        <w:t>第四章  评标办法及评分标准</w:t>
      </w:r>
      <w:bookmarkEnd w:id="43"/>
      <w:bookmarkEnd w:id="45"/>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3"/>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4"/>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(30分)</w:t>
            </w:r>
          </w:p>
        </w:tc>
        <w:tc>
          <w:tcPr>
            <w:tcW w:w="8243" w:type="dxa"/>
            <w:gridSpan w:val="2"/>
            <w:noWrap w:val="0"/>
            <w:vAlign w:val="center"/>
          </w:tcPr>
          <w:p>
            <w:pPr>
              <w:pStyle w:val="3"/>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3"/>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3"/>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服务质量</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（25分）</w:t>
            </w:r>
          </w:p>
        </w:tc>
        <w:tc>
          <w:tcPr>
            <w:tcW w:w="2140"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default"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rPr>
              <w:t>专业技术水平、人员配备、人员专业素质等</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kern w:val="0"/>
                <w:sz w:val="21"/>
                <w:szCs w:val="21"/>
                <w:highlight w:val="none"/>
                <w:lang w:eastAsia="zh-CN"/>
              </w:rPr>
              <w:t>技术参数</w:t>
            </w:r>
            <w:r>
              <w:rPr>
                <w:rFonts w:hint="eastAsia" w:ascii="宋体" w:hAnsi="宋体" w:cs="宋体"/>
                <w:b w:val="0"/>
                <w:bCs w:val="0"/>
                <w:color w:val="auto"/>
                <w:kern w:val="0"/>
                <w:sz w:val="21"/>
                <w:szCs w:val="21"/>
                <w:highlight w:val="none"/>
                <w:lang w:eastAsia="zh-CN"/>
              </w:rPr>
              <w:t>、</w:t>
            </w:r>
            <w:r>
              <w:rPr>
                <w:rFonts w:hint="eastAsia" w:ascii="宋体" w:hAnsi="宋体" w:cs="宋体"/>
                <w:b w:val="0"/>
                <w:bCs w:val="0"/>
                <w:color w:val="auto"/>
                <w:kern w:val="0"/>
                <w:sz w:val="21"/>
                <w:szCs w:val="21"/>
                <w:highlight w:val="none"/>
                <w:lang w:val="en-US" w:eastAsia="zh-CN"/>
              </w:rPr>
              <w:t>企业综合实力</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rPr>
              <w:t>根据投标人在投标文件中所附</w:t>
            </w:r>
            <w:r>
              <w:rPr>
                <w:rFonts w:hint="eastAsia" w:ascii="宋体" w:hAnsi="宋体" w:cs="宋体"/>
                <w:b w:val="0"/>
                <w:bCs w:val="0"/>
                <w:color w:val="auto"/>
                <w:sz w:val="21"/>
                <w:szCs w:val="21"/>
                <w:highlight w:val="none"/>
                <w:lang w:val="en-US" w:eastAsia="zh-CN"/>
              </w:rPr>
              <w:t>资料</w:t>
            </w:r>
            <w:r>
              <w:rPr>
                <w:rFonts w:hint="eastAsia" w:ascii="宋体" w:hAnsi="宋体" w:eastAsia="宋体" w:cs="宋体"/>
                <w:b w:val="0"/>
                <w:bCs w:val="0"/>
                <w:color w:val="auto"/>
                <w:sz w:val="21"/>
                <w:szCs w:val="21"/>
                <w:highlight w:val="none"/>
              </w:rPr>
              <w:t>进行打分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eastAsia="zh-CN"/>
              </w:rPr>
            </w:pPr>
            <w:r>
              <w:rPr>
                <w:rFonts w:hint="eastAsia" w:ascii="宋体" w:hAnsi="宋体" w:eastAsia="宋体" w:cs="宋体"/>
                <w:b w:val="0"/>
                <w:bCs w:val="0"/>
                <w:color w:val="auto"/>
                <w:sz w:val="21"/>
                <w:szCs w:val="21"/>
                <w:highlight w:val="none"/>
                <w:lang w:eastAsia="zh-CN"/>
              </w:rPr>
              <w:t>商务评价</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(20分)</w:t>
            </w:r>
          </w:p>
        </w:tc>
        <w:tc>
          <w:tcPr>
            <w:tcW w:w="2140"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证书、资信等级、类似业绩、质保期、其他优惠承诺等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提供相关有效证件等资料的复印件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(25分)</w:t>
            </w:r>
          </w:p>
        </w:tc>
        <w:tc>
          <w:tcPr>
            <w:tcW w:w="2140"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lang w:val="en-US" w:eastAsia="zh-CN"/>
              </w:rPr>
            </w:pPr>
            <w:r>
              <w:rPr>
                <w:rFonts w:hint="eastAsia" w:ascii="宋体" w:hAnsi="宋体" w:eastAsia="宋体" w:cs="宋体"/>
                <w:b w:val="0"/>
                <w:bCs w:val="0"/>
                <w:color w:val="auto"/>
                <w:sz w:val="21"/>
                <w:szCs w:val="21"/>
                <w:highlight w:val="none"/>
                <w:lang w:val="en-US" w:eastAsia="zh-CN"/>
              </w:rPr>
              <w:t>培训方案、服务站点、服务响应及时性、售后服务方案</w:t>
            </w:r>
            <w:r>
              <w:rPr>
                <w:rFonts w:hint="eastAsia" w:ascii="宋体" w:hAnsi="宋体" w:cs="宋体"/>
                <w:b w:val="0"/>
                <w:bCs w:val="0"/>
                <w:color w:val="auto"/>
                <w:sz w:val="21"/>
                <w:szCs w:val="21"/>
                <w:highlight w:val="none"/>
                <w:lang w:val="en-US" w:eastAsia="zh-CN"/>
              </w:rPr>
              <w:t>、服务承诺及增值服务</w:t>
            </w:r>
            <w:r>
              <w:rPr>
                <w:rFonts w:hint="eastAsia" w:ascii="宋体" w:hAnsi="宋体" w:eastAsia="宋体" w:cs="宋体"/>
                <w:b w:val="0"/>
                <w:bCs w:val="0"/>
                <w:color w:val="auto"/>
                <w:sz w:val="21"/>
                <w:szCs w:val="21"/>
                <w:highlight w:val="none"/>
                <w:lang w:val="en-US" w:eastAsia="zh-CN"/>
              </w:rPr>
              <w:t>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none"/>
              </w:rPr>
            </w:pPr>
            <w:r>
              <w:rPr>
                <w:rFonts w:hint="eastAsia" w:ascii="宋体" w:hAnsi="宋体" w:cs="宋体"/>
                <w:b w:val="0"/>
                <w:bCs w:val="0"/>
                <w:color w:val="auto"/>
                <w:kern w:val="0"/>
                <w:sz w:val="21"/>
                <w:szCs w:val="21"/>
                <w:highlight w:val="none"/>
                <w:lang w:val="en-US" w:eastAsia="zh-CN"/>
              </w:rPr>
              <w:t>根据</w:t>
            </w:r>
            <w:r>
              <w:rPr>
                <w:rFonts w:hint="eastAsia" w:ascii="宋体" w:hAnsi="宋体" w:eastAsia="宋体" w:cs="宋体"/>
                <w:b w:val="0"/>
                <w:bCs w:val="0"/>
                <w:color w:val="auto"/>
                <w:kern w:val="0"/>
                <w:sz w:val="21"/>
                <w:szCs w:val="21"/>
                <w:highlight w:val="none"/>
                <w:lang w:val="en-US" w:eastAsia="zh-CN"/>
              </w:rPr>
              <w:t>投标人在投标文件中所投产品的售后服务站设立情况（配备有专业售后服务技术人员，提供售后服务人员名单和售后服务地址、电话）</w:t>
            </w:r>
            <w:r>
              <w:rPr>
                <w:rFonts w:hint="eastAsia" w:ascii="宋体" w:hAnsi="宋体" w:cs="宋体"/>
                <w:b w:val="0"/>
                <w:bCs w:val="0"/>
                <w:color w:val="auto"/>
                <w:kern w:val="0"/>
                <w:sz w:val="21"/>
                <w:szCs w:val="21"/>
                <w:highlight w:val="none"/>
                <w:lang w:val="en-US" w:eastAsia="zh-CN"/>
              </w:rPr>
              <w:t>、培训方案、</w:t>
            </w:r>
            <w:r>
              <w:rPr>
                <w:rFonts w:hint="eastAsia" w:ascii="宋体" w:hAnsi="宋体" w:eastAsia="宋体" w:cs="宋体"/>
                <w:b w:val="0"/>
                <w:bCs w:val="0"/>
                <w:color w:val="auto"/>
                <w:kern w:val="2"/>
                <w:sz w:val="21"/>
                <w:szCs w:val="21"/>
                <w:highlight w:val="none"/>
              </w:rPr>
              <w:t>售后服务及时率、服务到位程度、详细的维修时间和处理办法及针对本项目的售后服务方案及相应的安全质量保障措施等内容</w:t>
            </w:r>
            <w:r>
              <w:rPr>
                <w:rFonts w:hint="eastAsia" w:ascii="宋体" w:hAnsi="宋体" w:cs="宋体"/>
                <w:b w:val="0"/>
                <w:bCs w:val="0"/>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44"/>
    <w:p>
      <w:pPr>
        <w:rPr>
          <w:color w:val="auto"/>
          <w:highlight w:val="none"/>
        </w:rPr>
      </w:pPr>
      <w:bookmarkStart w:id="46" w:name="_Toc1482"/>
      <w:bookmarkStart w:id="47" w:name="_Toc1947"/>
      <w:bookmarkStart w:id="48" w:name="_Toc326786897"/>
      <w:bookmarkStart w:id="49" w:name="_Toc256519703"/>
    </w:p>
    <w:p>
      <w:pPr>
        <w:pStyle w:val="4"/>
        <w:snapToGrid w:val="0"/>
        <w:spacing w:before="0" w:after="0" w:line="480" w:lineRule="auto"/>
        <w:jc w:val="center"/>
        <w:rPr>
          <w:color w:val="auto"/>
          <w:sz w:val="28"/>
          <w:szCs w:val="28"/>
          <w:highlight w:val="yellow"/>
        </w:rPr>
      </w:pPr>
      <w:bookmarkStart w:id="50" w:name="_Toc28988"/>
      <w:r>
        <w:rPr>
          <w:rFonts w:hint="eastAsia"/>
          <w:color w:val="auto"/>
          <w:sz w:val="28"/>
          <w:szCs w:val="28"/>
          <w:highlight w:val="none"/>
        </w:rPr>
        <w:t>第五章  采购合同</w:t>
      </w:r>
      <w:bookmarkEnd w:id="50"/>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sz w:val="21"/>
          <w:szCs w:val="21"/>
          <w:lang w:eastAsia="zh-CN"/>
        </w:rPr>
      </w:pPr>
      <w:r>
        <w:rPr>
          <w:rFonts w:hint="eastAsia" w:ascii="宋体" w:hAnsi="宋体"/>
          <w:sz w:val="21"/>
          <w:szCs w:val="21"/>
          <w:lang w:eastAsia="zh-CN"/>
        </w:rPr>
        <w:t>（</w:t>
      </w:r>
      <w:r>
        <w:rPr>
          <w:rFonts w:hint="eastAsia" w:ascii="宋体" w:hAnsi="宋体"/>
          <w:sz w:val="21"/>
          <w:szCs w:val="21"/>
          <w:lang w:val="en-US" w:eastAsia="zh-CN"/>
        </w:rPr>
        <w:t>以实际合同为准</w:t>
      </w:r>
      <w:r>
        <w:rPr>
          <w:rFonts w:hint="eastAsia" w:ascii="宋体" w:hAnsi="宋体"/>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31"/>
      </w:pPr>
    </w:p>
    <w:p>
      <w:pPr>
        <w:pStyle w:val="4"/>
        <w:jc w:val="center"/>
        <w:rPr>
          <w:rFonts w:ascii="宋体" w:hAnsi="宋体" w:cs="宋体"/>
          <w:color w:val="auto"/>
          <w:kern w:val="0"/>
          <w:highlight w:val="none"/>
        </w:rPr>
      </w:pPr>
      <w:bookmarkStart w:id="51" w:name="_Toc2638"/>
      <w:r>
        <w:rPr>
          <w:rFonts w:hint="eastAsia"/>
          <w:color w:val="auto"/>
          <w:sz w:val="32"/>
          <w:szCs w:val="32"/>
          <w:highlight w:val="none"/>
        </w:rPr>
        <w:t>第六章  投标文件格式</w:t>
      </w:r>
      <w:bookmarkEnd w:id="46"/>
      <w:bookmarkEnd w:id="47"/>
      <w:bookmarkEnd w:id="51"/>
    </w:p>
    <w:p>
      <w:pPr>
        <w:spacing w:line="440" w:lineRule="exact"/>
        <w:rPr>
          <w:color w:val="auto"/>
          <w:sz w:val="24"/>
          <w:highlight w:val="none"/>
        </w:rPr>
      </w:pPr>
    </w:p>
    <w:p>
      <w:pPr>
        <w:jc w:val="center"/>
        <w:rPr>
          <w:b/>
          <w:bCs/>
          <w:color w:val="auto"/>
          <w:sz w:val="32"/>
          <w:szCs w:val="32"/>
          <w:highlight w:val="none"/>
        </w:rPr>
      </w:pPr>
      <w:bookmarkStart w:id="52" w:name="_Toc13604"/>
      <w:r>
        <w:rPr>
          <w:rFonts w:hint="eastAsia"/>
          <w:b/>
          <w:bCs/>
          <w:color w:val="auto"/>
          <w:sz w:val="32"/>
          <w:szCs w:val="32"/>
          <w:highlight w:val="none"/>
        </w:rPr>
        <w:t>目    录</w:t>
      </w:r>
      <w:bookmarkEnd w:id="52"/>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53" w:name="_Toc11308"/>
      <w:r>
        <w:rPr>
          <w:rFonts w:hint="eastAsia"/>
          <w:color w:val="auto"/>
          <w:sz w:val="24"/>
          <w:highlight w:val="none"/>
        </w:rPr>
        <w:t>附件1投标文件封面（格式）</w:t>
      </w:r>
      <w:bookmarkEnd w:id="53"/>
    </w:p>
    <w:p>
      <w:pPr>
        <w:snapToGrid w:val="0"/>
        <w:spacing w:line="360" w:lineRule="auto"/>
        <w:ind w:firstLine="480" w:firstLineChars="200"/>
        <w:rPr>
          <w:color w:val="auto"/>
          <w:sz w:val="24"/>
          <w:highlight w:val="none"/>
        </w:rPr>
      </w:pPr>
      <w:bookmarkStart w:id="54" w:name="_Toc25345"/>
      <w:r>
        <w:rPr>
          <w:rFonts w:hint="eastAsia"/>
          <w:color w:val="auto"/>
          <w:sz w:val="24"/>
          <w:highlight w:val="none"/>
        </w:rPr>
        <w:t>附件2 投标书（格式）</w:t>
      </w:r>
      <w:bookmarkEnd w:id="54"/>
    </w:p>
    <w:p>
      <w:pPr>
        <w:snapToGrid w:val="0"/>
        <w:spacing w:line="360" w:lineRule="auto"/>
        <w:ind w:firstLine="480" w:firstLineChars="200"/>
        <w:rPr>
          <w:color w:val="auto"/>
          <w:sz w:val="24"/>
          <w:highlight w:val="none"/>
        </w:rPr>
      </w:pPr>
      <w:bookmarkStart w:id="55" w:name="_Toc10217"/>
      <w:r>
        <w:rPr>
          <w:rFonts w:hint="eastAsia"/>
          <w:color w:val="auto"/>
          <w:sz w:val="24"/>
          <w:highlight w:val="none"/>
        </w:rPr>
        <w:t>附件3 开标一览表（格式）</w:t>
      </w:r>
      <w:bookmarkEnd w:id="55"/>
    </w:p>
    <w:p>
      <w:pPr>
        <w:snapToGrid w:val="0"/>
        <w:spacing w:line="360" w:lineRule="auto"/>
        <w:ind w:firstLine="480" w:firstLineChars="200"/>
        <w:rPr>
          <w:color w:val="auto"/>
          <w:sz w:val="24"/>
          <w:highlight w:val="none"/>
        </w:rPr>
      </w:pPr>
      <w:bookmarkStart w:id="56" w:name="_Toc9579"/>
      <w:r>
        <w:rPr>
          <w:rFonts w:hint="eastAsia"/>
          <w:color w:val="auto"/>
          <w:sz w:val="24"/>
          <w:highlight w:val="none"/>
        </w:rPr>
        <w:t>附件4 投标报价明细表（格式）</w:t>
      </w:r>
      <w:bookmarkEnd w:id="56"/>
    </w:p>
    <w:p>
      <w:pPr>
        <w:snapToGrid w:val="0"/>
        <w:spacing w:line="360" w:lineRule="auto"/>
        <w:ind w:firstLine="480" w:firstLineChars="200"/>
        <w:rPr>
          <w:color w:val="auto"/>
          <w:sz w:val="24"/>
          <w:highlight w:val="none"/>
        </w:rPr>
      </w:pPr>
      <w:bookmarkStart w:id="57" w:name="_Toc28392"/>
      <w:r>
        <w:rPr>
          <w:rFonts w:hint="eastAsia"/>
          <w:color w:val="auto"/>
          <w:sz w:val="24"/>
          <w:highlight w:val="none"/>
        </w:rPr>
        <w:t>附件5技术响应表（格式）</w:t>
      </w:r>
      <w:bookmarkEnd w:id="57"/>
    </w:p>
    <w:p>
      <w:pPr>
        <w:snapToGrid w:val="0"/>
        <w:spacing w:line="360" w:lineRule="auto"/>
        <w:ind w:firstLine="480" w:firstLineChars="200"/>
        <w:rPr>
          <w:color w:val="auto"/>
          <w:sz w:val="24"/>
          <w:highlight w:val="none"/>
        </w:rPr>
      </w:pPr>
      <w:bookmarkStart w:id="58" w:name="_Toc6234"/>
      <w:r>
        <w:rPr>
          <w:rFonts w:hint="eastAsia"/>
          <w:color w:val="auto"/>
          <w:sz w:val="24"/>
          <w:highlight w:val="none"/>
        </w:rPr>
        <w:t>附件6 商务响应表（格式）</w:t>
      </w:r>
      <w:bookmarkEnd w:id="58"/>
    </w:p>
    <w:p>
      <w:pPr>
        <w:snapToGrid w:val="0"/>
        <w:spacing w:line="360" w:lineRule="auto"/>
        <w:ind w:firstLine="480" w:firstLineChars="200"/>
        <w:rPr>
          <w:color w:val="auto"/>
          <w:sz w:val="24"/>
          <w:highlight w:val="none"/>
        </w:rPr>
      </w:pPr>
      <w:bookmarkStart w:id="59"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59"/>
    </w:p>
    <w:p>
      <w:pPr>
        <w:snapToGrid w:val="0"/>
        <w:spacing w:line="360" w:lineRule="auto"/>
        <w:ind w:firstLine="480" w:firstLineChars="200"/>
        <w:rPr>
          <w:color w:val="auto"/>
          <w:sz w:val="24"/>
          <w:highlight w:val="none"/>
        </w:rPr>
      </w:pPr>
      <w:bookmarkStart w:id="60"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60"/>
    </w:p>
    <w:p>
      <w:pPr>
        <w:snapToGrid w:val="0"/>
        <w:spacing w:line="360" w:lineRule="auto"/>
        <w:ind w:firstLine="480" w:firstLineChars="200"/>
        <w:rPr>
          <w:color w:val="auto"/>
          <w:sz w:val="24"/>
          <w:highlight w:val="none"/>
        </w:rPr>
      </w:pPr>
      <w:bookmarkStart w:id="61" w:name="_Toc31857"/>
      <w:r>
        <w:rPr>
          <w:rFonts w:hint="eastAsia"/>
          <w:color w:val="auto"/>
          <w:sz w:val="24"/>
          <w:highlight w:val="none"/>
        </w:rPr>
        <w:t>附件9 证明文件</w:t>
      </w:r>
      <w:bookmarkEnd w:id="61"/>
    </w:p>
    <w:p>
      <w:pPr>
        <w:snapToGrid w:val="0"/>
        <w:spacing w:line="360" w:lineRule="auto"/>
        <w:ind w:firstLine="480" w:firstLineChars="200"/>
        <w:rPr>
          <w:rFonts w:hint="eastAsia"/>
          <w:color w:val="auto"/>
          <w:sz w:val="24"/>
          <w:highlight w:val="none"/>
        </w:rPr>
      </w:pPr>
      <w:bookmarkStart w:id="62" w:name="_Toc23116"/>
      <w:r>
        <w:rPr>
          <w:rFonts w:hint="eastAsia"/>
          <w:color w:val="auto"/>
          <w:sz w:val="24"/>
          <w:highlight w:val="none"/>
        </w:rPr>
        <w:t>附件10 供应商承诺书（格式）</w:t>
      </w:r>
      <w:bookmarkEnd w:id="62"/>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2"/>
        <w:rPr>
          <w:rFonts w:ascii="宋体" w:hAnsi="宋体" w:cs="宋体"/>
          <w:b/>
          <w:bCs/>
          <w:color w:val="auto"/>
          <w:kern w:val="0"/>
          <w:sz w:val="24"/>
          <w:highlight w:val="none"/>
        </w:rPr>
      </w:pPr>
    </w:p>
    <w:p>
      <w:pPr>
        <w:pStyle w:val="3"/>
        <w:rPr>
          <w:rFonts w:hAnsi="宋体"/>
          <w:b/>
          <w:bCs/>
          <w:color w:val="auto"/>
          <w:highlight w:val="none"/>
        </w:rPr>
      </w:pPr>
    </w:p>
    <w:p>
      <w:pPr>
        <w:pStyle w:val="3"/>
        <w:rPr>
          <w:rFonts w:hAnsi="宋体"/>
          <w:b/>
          <w:bCs/>
          <w:color w:val="auto"/>
          <w:highlight w:val="none"/>
        </w:rPr>
      </w:pPr>
    </w:p>
    <w:p>
      <w:pPr>
        <w:rPr>
          <w:color w:val="auto"/>
          <w:highlight w:val="none"/>
        </w:rPr>
      </w:pPr>
      <w:r>
        <w:rPr>
          <w:rFonts w:hint="eastAsia"/>
          <w:color w:val="auto"/>
          <w:highlight w:val="none"/>
        </w:rPr>
        <w:br w:type="page"/>
      </w:r>
    </w:p>
    <w:p>
      <w:pPr>
        <w:pStyle w:val="26"/>
        <w:rPr>
          <w:color w:val="auto"/>
          <w:highlight w:val="none"/>
        </w:rPr>
      </w:pPr>
    </w:p>
    <w:p>
      <w:pPr>
        <w:pStyle w:val="5"/>
        <w:rPr>
          <w:color w:val="auto"/>
          <w:highlight w:val="none"/>
        </w:rPr>
      </w:pPr>
      <w:bookmarkStart w:id="63" w:name="_Toc31798"/>
      <w:bookmarkStart w:id="64" w:name="_Toc24743"/>
      <w:r>
        <w:rPr>
          <w:rFonts w:hint="eastAsia"/>
          <w:color w:val="auto"/>
          <w:highlight w:val="none"/>
        </w:rPr>
        <w:t>附件1               投标文件封面（格式）</w:t>
      </w:r>
      <w:bookmarkEnd w:id="63"/>
      <w:bookmarkEnd w:id="64"/>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eastAsia" w:ascii="宋体" w:hAnsi="宋体" w:eastAsia="宋体" w:cs="宋体"/>
          <w:b/>
          <w:color w:val="auto"/>
          <w:spacing w:val="90"/>
          <w:sz w:val="52"/>
          <w:szCs w:val="52"/>
          <w:highlight w:val="none"/>
          <w:u w:val="none"/>
          <w:lang w:val="en-US" w:eastAsia="zh-CN"/>
        </w:rPr>
      </w:pPr>
      <w:r>
        <w:rPr>
          <w:rFonts w:hint="eastAsia" w:ascii="宋体" w:hAnsi="宋体" w:cs="宋体"/>
          <w:b/>
          <w:snapToGrid w:val="0"/>
          <w:color w:val="auto"/>
          <w:spacing w:val="0"/>
          <w:kern w:val="0"/>
          <w:sz w:val="44"/>
          <w:szCs w:val="44"/>
          <w:highlight w:val="none"/>
          <w:u w:val="none"/>
          <w:lang w:val="en-US" w:eastAsia="zh-CN"/>
        </w:rPr>
        <w:t>驻马店市中心医院放射工作人员个人剂量监测服务项目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3"/>
        <w:spacing w:line="360" w:lineRule="auto"/>
        <w:rPr>
          <w:rFonts w:hint="eastAsia" w:ascii="宋体" w:hAnsi="宋体" w:eastAsia="宋体" w:cs="宋体"/>
          <w:color w:val="auto"/>
          <w:highlight w:val="none"/>
        </w:rPr>
      </w:pPr>
    </w:p>
    <w:p>
      <w:pPr>
        <w:pStyle w:val="3"/>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2"/>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5"/>
        <w:rPr>
          <w:color w:val="auto"/>
          <w:highlight w:val="none"/>
        </w:rPr>
      </w:pPr>
      <w:bookmarkStart w:id="65" w:name="_Toc8818"/>
      <w:bookmarkStart w:id="66" w:name="_Toc14560"/>
      <w:r>
        <w:rPr>
          <w:rFonts w:hint="eastAsia"/>
          <w:color w:val="auto"/>
          <w:highlight w:val="none"/>
        </w:rPr>
        <w:t>附件2               投  标  书（格式）</w:t>
      </w:r>
      <w:bookmarkEnd w:id="65"/>
      <w:bookmarkEnd w:id="66"/>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2、投标报价明细表。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w:t>
      </w:r>
      <w:r>
        <w:rPr>
          <w:rFonts w:hint="eastAsia" w:ascii="宋体" w:hAnsi="宋体" w:cs="宋体"/>
          <w:color w:val="auto"/>
          <w:kern w:val="0"/>
          <w:szCs w:val="21"/>
          <w:highlight w:val="none"/>
          <w:lang w:val="en-US" w:eastAsia="zh-CN"/>
        </w:rPr>
        <w:t xml:space="preserve">    </w:t>
      </w:r>
      <w:r>
        <w:rPr>
          <w:rFonts w:hint="eastAsia" w:ascii="宋体" w:hAnsi="宋体" w:cs="宋体"/>
          <w:color w:val="auto"/>
          <w:kern w:val="0"/>
          <w:szCs w:val="21"/>
          <w:highlight w:val="none"/>
        </w:rPr>
        <w:t xml:space="preserve">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5"/>
        <w:spacing w:before="20" w:after="20"/>
        <w:rPr>
          <w:color w:val="auto"/>
          <w:highlight w:val="none"/>
        </w:rPr>
      </w:pPr>
      <w:bookmarkStart w:id="67" w:name="_Toc7838"/>
      <w:r>
        <w:rPr>
          <w:rFonts w:hint="eastAsia"/>
          <w:color w:val="auto"/>
          <w:highlight w:val="none"/>
        </w:rPr>
        <w:t>附件3               开标一览表</w:t>
      </w:r>
      <w:bookmarkEnd w:id="67"/>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4"/>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大写：计量卡监测费</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lang w:val="en-US" w:eastAsia="zh-CN"/>
              </w:rPr>
              <w:t>元/年/卡</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小写：计量卡监测费</w:t>
            </w:r>
            <w:r>
              <w:rPr>
                <w:rFonts w:hint="eastAsia" w:ascii="宋体" w:hAnsi="宋体"/>
                <w:color w:val="auto"/>
                <w:szCs w:val="21"/>
                <w:highlight w:val="none"/>
                <w:u w:val="single"/>
                <w:lang w:val="en-US" w:eastAsia="zh-CN"/>
              </w:rPr>
              <w:t xml:space="preserve">        </w:t>
            </w:r>
            <w:r>
              <w:rPr>
                <w:rFonts w:hint="eastAsia" w:ascii="宋体" w:hAnsi="宋体"/>
                <w:color w:val="auto"/>
                <w:szCs w:val="21"/>
                <w:highlight w:val="none"/>
                <w:u w:val="none"/>
                <w:lang w:val="en-US" w:eastAsia="zh-CN"/>
              </w:rPr>
              <w:t>元/年/卡</w:t>
            </w:r>
            <w:r>
              <w:rPr>
                <w:rFonts w:hint="eastAsia" w:ascii="宋体" w:hAnsi="宋体"/>
                <w:color w:val="auto"/>
                <w:szCs w:val="21"/>
                <w:highlight w:val="none"/>
                <w:lang w:val="en-US" w:eastAsia="zh-CN"/>
              </w:rPr>
              <w:t>（详见报价明细表）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服务期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lang w:val="en-US" w:eastAsia="zh-CN"/>
              </w:rPr>
              <w:t>服务</w:t>
            </w:r>
            <w:r>
              <w:rPr>
                <w:rFonts w:hint="eastAsia" w:ascii="宋体" w:hAnsi="宋体" w:cs="宋体"/>
                <w:color w:val="auto"/>
                <w:kern w:val="0"/>
                <w:szCs w:val="21"/>
                <w:highlight w:val="none"/>
              </w:rPr>
              <w:t>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hint="eastAsia" w:ascii="宋体" w:hAnsi="宋体" w:eastAsia="宋体"/>
                <w:color w:val="auto"/>
                <w:szCs w:val="21"/>
                <w:highlight w:val="none"/>
                <w:lang w:eastAsia="zh-CN"/>
              </w:rPr>
            </w:pPr>
            <w:r>
              <w:rPr>
                <w:rFonts w:hint="eastAsia" w:ascii="宋体" w:hAnsi="宋体"/>
                <w:color w:val="000000" w:themeColor="text1"/>
                <w:szCs w:val="21"/>
                <w:highlight w:val="none"/>
                <w:lang w:val="en-US" w:eastAsia="zh-CN"/>
                <w14:textFill>
                  <w14:solidFill>
                    <w14:schemeClr w14:val="tx1"/>
                  </w14:solidFill>
                </w14:textFill>
              </w:rPr>
              <w:t>服务质量</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19"/>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2、以上报价应与“投标报价明细表”中的报价相一致。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68" w:name="_Toc11620"/>
      <w:bookmarkStart w:id="69" w:name="_Toc20877"/>
      <w:r>
        <w:rPr>
          <w:rFonts w:hint="eastAsia" w:ascii="宋体" w:hAnsi="宋体"/>
          <w:color w:val="auto"/>
          <w:szCs w:val="21"/>
          <w:highlight w:val="none"/>
        </w:rPr>
        <w:t>投标人（全称并加盖公章）：</w:t>
      </w:r>
      <w:bookmarkEnd w:id="68"/>
      <w:bookmarkEnd w:id="69"/>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70" w:name="_Toc12222"/>
      <w:bookmarkStart w:id="71" w:name="_Toc625"/>
      <w:r>
        <w:rPr>
          <w:rFonts w:hint="eastAsia" w:ascii="宋体" w:hAnsi="宋体"/>
          <w:color w:val="auto"/>
          <w:szCs w:val="21"/>
          <w:highlight w:val="none"/>
        </w:rPr>
        <w:t>法定代表人或其委托代理人（签字）：</w:t>
      </w:r>
      <w:bookmarkEnd w:id="70"/>
      <w:bookmarkEnd w:id="71"/>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72" w:name="_Toc1330"/>
      <w:bookmarkStart w:id="73" w:name="_Toc9950"/>
      <w:r>
        <w:rPr>
          <w:rFonts w:hint="eastAsia" w:ascii="宋体" w:hAnsi="宋体"/>
          <w:color w:val="auto"/>
          <w:szCs w:val="21"/>
          <w:highlight w:val="none"/>
        </w:rPr>
        <w:t>年  月  日</w:t>
      </w:r>
      <w:bookmarkEnd w:id="72"/>
      <w:bookmarkEnd w:id="73"/>
    </w:p>
    <w:p>
      <w:pPr>
        <w:rPr>
          <w:color w:val="auto"/>
          <w:highlight w:val="none"/>
        </w:rPr>
      </w:pPr>
      <w:r>
        <w:rPr>
          <w:color w:val="auto"/>
          <w:highlight w:val="none"/>
        </w:rPr>
        <w:br w:type="page"/>
      </w:r>
    </w:p>
    <w:p>
      <w:pPr>
        <w:rPr>
          <w:color w:val="auto"/>
          <w:highlight w:val="none"/>
        </w:rPr>
      </w:pPr>
    </w:p>
    <w:bookmarkEnd w:id="48"/>
    <w:bookmarkEnd w:id="49"/>
    <w:p>
      <w:pPr>
        <w:pStyle w:val="5"/>
        <w:spacing w:before="20" w:after="20"/>
        <w:rPr>
          <w:color w:val="000000" w:themeColor="text1"/>
          <w:highlight w:val="none"/>
          <w14:textFill>
            <w14:solidFill>
              <w14:schemeClr w14:val="tx1"/>
            </w14:solidFill>
          </w14:textFill>
        </w:rPr>
      </w:pPr>
      <w:bookmarkStart w:id="74" w:name="_Toc24984"/>
      <w:bookmarkStart w:id="75" w:name="_Toc22004"/>
      <w:r>
        <w:rPr>
          <w:rFonts w:hint="eastAsia"/>
          <w:color w:val="000000" w:themeColor="text1"/>
          <w:highlight w:val="none"/>
          <w14:textFill>
            <w14:solidFill>
              <w14:schemeClr w14:val="tx1"/>
            </w14:solidFill>
          </w14:textFill>
        </w:rPr>
        <w:t>附件4               报价明细表</w:t>
      </w:r>
      <w:bookmarkEnd w:id="74"/>
      <w:bookmarkEnd w:id="75"/>
    </w:p>
    <w:p>
      <w:pPr>
        <w:widowControl/>
        <w:wordWrap w:val="0"/>
        <w:snapToGrid w:val="0"/>
        <w:spacing w:before="50" w:after="50"/>
        <w:ind w:left="-3" w:leftChars="-72" w:right="-817" w:rightChars="-389" w:hanging="148" w:hangingChars="62"/>
        <w:jc w:val="left"/>
        <w:rPr>
          <w:rFonts w:ascii="宋体" w:hAnsi="宋体" w:cs="宋体"/>
          <w:color w:val="000000" w:themeColor="text1"/>
          <w:kern w:val="0"/>
          <w:sz w:val="24"/>
          <w:highlight w:val="none"/>
          <w14:textFill>
            <w14:solidFill>
              <w14:schemeClr w14:val="tx1"/>
            </w14:solidFill>
          </w14:textFill>
        </w:rPr>
      </w:pPr>
      <w:r>
        <w:rPr>
          <w:rFonts w:hint="eastAsia" w:cs="宋体"/>
          <w:color w:val="000000" w:themeColor="text1"/>
          <w:kern w:val="0"/>
          <w:sz w:val="24"/>
          <w:highlight w:val="none"/>
          <w:lang w:val="en-US" w:eastAsia="zh-CN"/>
          <w14:textFill>
            <w14:solidFill>
              <w14:schemeClr w14:val="tx1"/>
            </w14:solidFill>
          </w14:textFill>
        </w:rPr>
        <w:t xml:space="preserve">                               </w:t>
      </w:r>
      <w:r>
        <w:rPr>
          <w:rFonts w:hint="eastAsia" w:ascii="宋体" w:hAnsi="宋体" w:cs="宋体"/>
          <w:color w:val="000000" w:themeColor="text1"/>
          <w:kern w:val="0"/>
          <w:sz w:val="24"/>
          <w:highlight w:val="none"/>
          <w14:textFill>
            <w14:solidFill>
              <w14:schemeClr w14:val="tx1"/>
            </w14:solidFill>
          </w14:textFill>
        </w:rPr>
        <w:t xml:space="preserve">                       金额单位：人民币（元）</w:t>
      </w:r>
    </w:p>
    <w:tbl>
      <w:tblPr>
        <w:tblStyle w:val="34"/>
        <w:tblW w:w="9279"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7"/>
        <w:gridCol w:w="2384"/>
        <w:gridCol w:w="1516"/>
        <w:gridCol w:w="1541"/>
        <w:gridCol w:w="1718"/>
        <w:gridCol w:w="120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6" w:hRule="atLeast"/>
        </w:trPr>
        <w:tc>
          <w:tcPr>
            <w:tcW w:w="91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序号</w:t>
            </w:r>
          </w:p>
        </w:tc>
        <w:tc>
          <w:tcPr>
            <w:tcW w:w="238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服务名称</w:t>
            </w:r>
          </w:p>
        </w:tc>
        <w:tc>
          <w:tcPr>
            <w:tcW w:w="151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t>单位</w:t>
            </w:r>
          </w:p>
        </w:tc>
        <w:tc>
          <w:tcPr>
            <w:tcW w:w="1541"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数量</w:t>
            </w:r>
          </w:p>
        </w:tc>
        <w:tc>
          <w:tcPr>
            <w:tcW w:w="1718"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kern w:val="0"/>
                <w:sz w:val="24"/>
                <w:highlight w:val="none"/>
                <w14:textFill>
                  <w14:solidFill>
                    <w14:schemeClr w14:val="tx1"/>
                  </w14:solidFill>
                </w14:textFill>
              </w:rPr>
              <w:t>单价</w:t>
            </w:r>
          </w:p>
        </w:tc>
        <w:tc>
          <w:tcPr>
            <w:tcW w:w="1203"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szCs w:val="24"/>
                <w:highlight w:val="none"/>
                <w:lang w:val="en-US" w:eastAsia="zh-CN" w:bidi="ar-SA"/>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91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1</w:t>
            </w:r>
          </w:p>
        </w:tc>
        <w:tc>
          <w:tcPr>
            <w:tcW w:w="238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color w:val="auto"/>
                <w:sz w:val="24"/>
                <w:szCs w:val="24"/>
                <w:highlight w:val="none"/>
                <w:lang w:val="en-US" w:eastAsia="zh-CN"/>
              </w:rPr>
              <w:t>计量卡监测费</w:t>
            </w:r>
          </w:p>
        </w:tc>
        <w:tc>
          <w:tcPr>
            <w:tcW w:w="151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r>
              <w:rPr>
                <w:rFonts w:hint="eastAsia" w:ascii="宋体" w:hAnsi="宋体"/>
                <w:sz w:val="24"/>
                <w:szCs w:val="24"/>
                <w:u w:val="none"/>
                <w:lang w:val="en-US" w:eastAsia="zh-CN"/>
              </w:rPr>
              <w:t>年/卡</w:t>
            </w:r>
          </w:p>
        </w:tc>
        <w:tc>
          <w:tcPr>
            <w:tcW w:w="1541"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hint="eastAsia" w:ascii="宋体" w:hAnsi="宋体" w:eastAsia="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lang w:val="en-US" w:eastAsia="zh-CN"/>
                <w14:textFill>
                  <w14:solidFill>
                    <w14:schemeClr w14:val="tx1"/>
                  </w14:solidFill>
                </w14:textFill>
              </w:rPr>
              <w:t>1</w:t>
            </w:r>
          </w:p>
        </w:tc>
        <w:tc>
          <w:tcPr>
            <w:tcW w:w="1718"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c>
          <w:tcPr>
            <w:tcW w:w="1203"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000000" w:themeColor="text1"/>
                <w:spacing w:val="20"/>
                <w:kern w:val="0"/>
                <w:sz w:val="24"/>
                <w:highlight w:val="none"/>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 w:hRule="atLeast"/>
        </w:trPr>
        <w:tc>
          <w:tcPr>
            <w:tcW w:w="8076" w:type="dxa"/>
            <w:gridSpan w:val="5"/>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spacing w:val="20"/>
                <w:kern w:val="0"/>
                <w:sz w:val="24"/>
                <w:highlight w:val="none"/>
                <w14:textFill>
                  <w14:solidFill>
                    <w14:schemeClr w14:val="tx1"/>
                  </w14:solidFill>
                </w14:textFill>
              </w:rPr>
              <w:t>投标</w:t>
            </w:r>
            <w:r>
              <w:rPr>
                <w:rFonts w:hint="eastAsia" w:ascii="宋体" w:hAnsi="宋体" w:cs="宋体"/>
                <w:color w:val="000000" w:themeColor="text1"/>
                <w:spacing w:val="20"/>
                <w:kern w:val="0"/>
                <w:sz w:val="24"/>
                <w:highlight w:val="none"/>
                <w:lang w:eastAsia="zh-CN"/>
                <w14:textFill>
                  <w14:solidFill>
                    <w14:schemeClr w14:val="tx1"/>
                  </w14:solidFill>
                </w14:textFill>
              </w:rPr>
              <w:t>报</w:t>
            </w:r>
            <w:r>
              <w:rPr>
                <w:rFonts w:hint="eastAsia" w:ascii="宋体" w:hAnsi="宋体" w:cs="宋体"/>
                <w:color w:val="000000" w:themeColor="text1"/>
                <w:spacing w:val="20"/>
                <w:kern w:val="0"/>
                <w:sz w:val="24"/>
                <w:highlight w:val="none"/>
                <w14:textFill>
                  <w14:solidFill>
                    <w14:schemeClr w14:val="tx1"/>
                  </w14:solidFill>
                </w14:textFill>
              </w:rPr>
              <w:t>价(</w:t>
            </w:r>
            <w:r>
              <w:rPr>
                <w:rFonts w:hint="eastAsia" w:ascii="宋体" w:hAnsi="宋体" w:cs="宋体"/>
                <w:color w:val="000000" w:themeColor="text1"/>
                <w:kern w:val="0"/>
                <w:sz w:val="24"/>
                <w:szCs w:val="21"/>
                <w:highlight w:val="none"/>
                <w14:textFill>
                  <w14:solidFill>
                    <w14:schemeClr w14:val="tx1"/>
                  </w14:solidFill>
                </w14:textFill>
              </w:rPr>
              <w:t>大写)：</w:t>
            </w:r>
            <w:r>
              <w:rPr>
                <w:rFonts w:hint="eastAsia" w:ascii="宋体" w:hAnsi="宋体" w:cs="宋体"/>
                <w:color w:val="000000" w:themeColor="text1"/>
                <w:kern w:val="0"/>
                <w:sz w:val="24"/>
                <w:szCs w:val="21"/>
                <w:highlight w:val="none"/>
                <w:u w:val="single"/>
                <w:lang w:val="en-US" w:eastAsia="zh-CN"/>
                <w14:textFill>
                  <w14:solidFill>
                    <w14:schemeClr w14:val="tx1"/>
                  </w14:solidFill>
                </w14:textFill>
              </w:rPr>
              <w:t xml:space="preserve">        </w:t>
            </w:r>
            <w:r>
              <w:rPr>
                <w:rFonts w:hint="eastAsia" w:ascii="宋体" w:hAnsi="宋体"/>
                <w:sz w:val="24"/>
                <w:szCs w:val="24"/>
                <w:u w:val="none"/>
                <w:lang w:val="en-US" w:eastAsia="zh-CN"/>
              </w:rPr>
              <w:t>元/年/卡</w:t>
            </w:r>
          </w:p>
        </w:tc>
        <w:tc>
          <w:tcPr>
            <w:tcW w:w="1203"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000000" w:themeColor="text1"/>
                <w:spacing w:val="20"/>
                <w:kern w:val="0"/>
                <w:sz w:val="24"/>
                <w:highlight w:val="none"/>
                <w:lang w:val="en-US" w:eastAsia="zh-CN"/>
                <w14:textFill>
                  <w14:solidFill>
                    <w14:schemeClr w14:val="tx1"/>
                  </w14:solidFill>
                </w14:textFill>
              </w:rPr>
            </w:pPr>
            <w:r>
              <w:rPr>
                <w:rFonts w:hint="eastAsia" w:ascii="宋体" w:hAnsi="宋体" w:cs="宋体"/>
                <w:color w:val="000000" w:themeColor="text1"/>
                <w:kern w:val="0"/>
                <w:sz w:val="24"/>
                <w:szCs w:val="21"/>
                <w:highlight w:val="none"/>
                <w14:textFill>
                  <w14:solidFill>
                    <w14:schemeClr w14:val="tx1"/>
                  </w14:solidFill>
                </w14:textFill>
              </w:rPr>
              <w:t>￥</w:t>
            </w:r>
            <w:r>
              <w:rPr>
                <w:rFonts w:hint="eastAsia" w:ascii="宋体" w:hAnsi="宋体" w:cs="宋体"/>
                <w:color w:val="000000" w:themeColor="text1"/>
                <w:kern w:val="0"/>
                <w:sz w:val="24"/>
                <w:szCs w:val="21"/>
                <w:highlight w:val="none"/>
                <w:u w:val="single"/>
                <w:lang w:val="en-US" w:eastAsia="zh-CN"/>
                <w14:textFill>
                  <w14:solidFill>
                    <w14:schemeClr w14:val="tx1"/>
                  </w14:solidFill>
                </w14:textFill>
              </w:rPr>
              <w:t xml:space="preserve">     </w:t>
            </w:r>
            <w:r>
              <w:rPr>
                <w:rFonts w:hint="eastAsia" w:ascii="宋体" w:hAnsi="宋体"/>
                <w:sz w:val="24"/>
                <w:szCs w:val="24"/>
                <w:u w:val="none"/>
                <w:lang w:val="en-US" w:eastAsia="zh-CN"/>
              </w:rPr>
              <w:t>元/年/卡</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5"/>
        <w:rPr>
          <w:rFonts w:hint="eastAsia" w:eastAsia="黑体"/>
          <w:color w:val="auto"/>
          <w:highlight w:val="none"/>
          <w:lang w:val="en-US" w:eastAsia="zh-CN"/>
        </w:rPr>
      </w:pPr>
      <w:r>
        <w:rPr>
          <w:rFonts w:hint="eastAsia"/>
          <w:color w:val="auto"/>
          <w:highlight w:val="none"/>
        </w:rPr>
        <w:br w:type="page"/>
      </w:r>
      <w:bookmarkStart w:id="76" w:name="_Toc226"/>
      <w:bookmarkStart w:id="77" w:name="_Toc15804"/>
      <w:r>
        <w:rPr>
          <w:rFonts w:hint="eastAsia"/>
          <w:color w:val="auto"/>
          <w:highlight w:val="none"/>
        </w:rPr>
        <w:t xml:space="preserve">附件5         </w:t>
      </w:r>
      <w:bookmarkEnd w:id="76"/>
      <w:bookmarkEnd w:id="77"/>
      <w:r>
        <w:rPr>
          <w:rFonts w:hint="eastAsia"/>
          <w:color w:val="auto"/>
          <w:highlight w:val="none"/>
        </w:rPr>
        <w:t xml:space="preserve">     技术响应</w:t>
      </w:r>
      <w:r>
        <w:rPr>
          <w:rFonts w:hint="eastAsia"/>
          <w:color w:val="auto"/>
          <w:highlight w:val="none"/>
          <w:lang w:val="en-US" w:eastAsia="zh-CN"/>
        </w:rPr>
        <w:t>部分</w:t>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技术部分相关证明文件</w:t>
      </w:r>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val="en-US" w:eastAsia="zh-CN"/>
        </w:rPr>
      </w:pPr>
      <w:bookmarkStart w:id="78" w:name="_Toc20420"/>
      <w:bookmarkStart w:id="79" w:name="_Toc29960"/>
      <w:r>
        <w:rPr>
          <w:rFonts w:hint="eastAsia" w:ascii="Arial" w:hAnsi="Arial" w:eastAsia="新宋体"/>
          <w:b/>
          <w:color w:val="auto"/>
          <w:sz w:val="28"/>
          <w:highlight w:val="none"/>
        </w:rPr>
        <w:t>附件6               商务响应</w:t>
      </w:r>
      <w:bookmarkEnd w:id="78"/>
      <w:bookmarkEnd w:id="79"/>
      <w:r>
        <w:rPr>
          <w:rFonts w:hint="eastAsia" w:ascii="Arial" w:hAnsi="Arial" w:eastAsia="新宋体"/>
          <w:b/>
          <w:color w:val="auto"/>
          <w:sz w:val="28"/>
          <w:highlight w:val="none"/>
          <w:lang w:val="en-US" w:eastAsia="zh-CN"/>
        </w:rPr>
        <w:t>部分</w:t>
      </w:r>
    </w:p>
    <w:p>
      <w:pPr>
        <w:widowControl/>
        <w:wordWrap w:val="0"/>
        <w:spacing w:line="460" w:lineRule="exact"/>
        <w:jc w:val="left"/>
        <w:rPr>
          <w:rFonts w:hint="eastAsia" w:ascii="宋体" w:hAnsi="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 xml:space="preserve">  </w:t>
      </w:r>
    </w:p>
    <w:p>
      <w:pPr>
        <w:widowControl/>
        <w:wordWrap w:val="0"/>
        <w:spacing w:line="460" w:lineRule="exact"/>
        <w:ind w:firstLine="643" w:firstLineChars="200"/>
        <w:jc w:val="left"/>
        <w:rPr>
          <w:rFonts w:hint="default" w:ascii="宋体" w:hAnsi="宋体" w:eastAsia="宋体" w:cs="宋体"/>
          <w:b/>
          <w:color w:val="auto"/>
          <w:kern w:val="0"/>
          <w:sz w:val="32"/>
          <w:szCs w:val="32"/>
          <w:highlight w:val="none"/>
          <w:lang w:val="en-US" w:eastAsia="zh-CN"/>
        </w:rPr>
      </w:pPr>
      <w:r>
        <w:rPr>
          <w:rFonts w:hint="eastAsia" w:ascii="宋体" w:hAnsi="宋体" w:cs="宋体"/>
          <w:b/>
          <w:color w:val="auto"/>
          <w:kern w:val="0"/>
          <w:sz w:val="32"/>
          <w:szCs w:val="32"/>
          <w:highlight w:val="none"/>
          <w:lang w:val="en-US" w:eastAsia="zh-CN"/>
        </w:rPr>
        <w:t>商务部分相关证明文件</w:t>
      </w:r>
    </w:p>
    <w:p>
      <w:pPr>
        <w:rPr>
          <w:rFonts w:cs="宋体"/>
          <w:b/>
          <w:color w:val="auto"/>
          <w:kern w:val="0"/>
          <w:sz w:val="24"/>
          <w:highlight w:val="none"/>
        </w:rPr>
      </w:pPr>
    </w:p>
    <w:p>
      <w:pPr>
        <w:pStyle w:val="31"/>
      </w:pPr>
    </w:p>
    <w:p/>
    <w:p>
      <w:pPr>
        <w:pStyle w:val="5"/>
      </w:pPr>
    </w:p>
    <w:p/>
    <w:p>
      <w:pPr>
        <w:pStyle w:val="5"/>
      </w:pPr>
    </w:p>
    <w:p/>
    <w:p>
      <w:pPr>
        <w:pStyle w:val="5"/>
      </w:pPr>
    </w:p>
    <w:p/>
    <w:p>
      <w:pPr>
        <w:pStyle w:val="5"/>
      </w:pPr>
    </w:p>
    <w:p/>
    <w:p>
      <w:pPr>
        <w:pStyle w:val="5"/>
      </w:pPr>
    </w:p>
    <w:p/>
    <w:p>
      <w:pPr>
        <w:pStyle w:val="5"/>
      </w:pPr>
    </w:p>
    <w:p/>
    <w:p>
      <w:pPr>
        <w:pStyle w:val="5"/>
      </w:pPr>
    </w:p>
    <w:p/>
    <w:p>
      <w:pPr>
        <w:pStyle w:val="5"/>
      </w:pPr>
    </w:p>
    <w:p>
      <w:pPr>
        <w:widowControl/>
        <w:wordWrap w:val="0"/>
        <w:spacing w:line="460" w:lineRule="exact"/>
        <w:jc w:val="left"/>
        <w:outlineLvl w:val="0"/>
        <w:rPr>
          <w:rFonts w:ascii="Arial" w:hAnsi="Arial" w:eastAsia="新宋体"/>
          <w:b/>
          <w:color w:val="auto"/>
          <w:sz w:val="28"/>
          <w:highlight w:val="none"/>
        </w:rPr>
      </w:pPr>
      <w:bookmarkStart w:id="80" w:name="_Toc28621"/>
      <w:bookmarkStart w:id="81" w:name="_Toc31526"/>
      <w:r>
        <w:rPr>
          <w:rFonts w:hint="eastAsia" w:ascii="Arial" w:hAnsi="Arial" w:eastAsia="新宋体"/>
          <w:b/>
          <w:color w:val="auto"/>
          <w:sz w:val="28"/>
          <w:highlight w:val="none"/>
        </w:rPr>
        <w:t>附件7               法定代表人身份证明（格式）</w:t>
      </w:r>
      <w:bookmarkEnd w:id="80"/>
      <w:bookmarkEnd w:id="81"/>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4"/>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2"/>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82" w:name="_Toc13976"/>
      <w:bookmarkStart w:id="83" w:name="_Toc30519"/>
      <w:r>
        <w:rPr>
          <w:rFonts w:hint="eastAsia" w:ascii="Arial" w:hAnsi="Arial" w:eastAsia="新宋体"/>
          <w:b/>
          <w:color w:val="auto"/>
          <w:sz w:val="28"/>
          <w:highlight w:val="none"/>
        </w:rPr>
        <w:t>附件8               法定代表人授权书（格式）</w:t>
      </w:r>
      <w:bookmarkEnd w:id="82"/>
      <w:bookmarkEnd w:id="83"/>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4"/>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84" w:name="_Toc24693"/>
      <w:bookmarkStart w:id="85" w:name="_Toc18105"/>
      <w:r>
        <w:rPr>
          <w:rFonts w:hint="eastAsia" w:ascii="Arial" w:hAnsi="Arial" w:eastAsia="新宋体"/>
          <w:b/>
          <w:color w:val="auto"/>
          <w:sz w:val="28"/>
          <w:highlight w:val="none"/>
        </w:rPr>
        <w:t>附件9               证明文件</w:t>
      </w:r>
      <w:bookmarkEnd w:id="84"/>
      <w:bookmarkEnd w:id="85"/>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9"/>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86" w:name="_Toc17966"/>
    </w:p>
    <w:p>
      <w:pPr>
        <w:pStyle w:val="9"/>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9"/>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9"/>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87" w:name="_Toc13726"/>
      <w:bookmarkStart w:id="88" w:name="_Toc12888"/>
      <w:r>
        <w:rPr>
          <w:rFonts w:hint="eastAsia" w:ascii="宋体" w:hAnsi="宋体" w:cs="Lucida Sans Unicode"/>
          <w:b/>
          <w:color w:val="auto"/>
          <w:kern w:val="0"/>
          <w:sz w:val="28"/>
          <w:szCs w:val="28"/>
          <w:highlight w:val="none"/>
        </w:rPr>
        <w:t xml:space="preserve">附件10        </w:t>
      </w:r>
      <w:bookmarkEnd w:id="86"/>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87"/>
      <w:bookmarkEnd w:id="88"/>
    </w:p>
    <w:p>
      <w:pPr>
        <w:bidi w:val="0"/>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sz w:val="24"/>
          <w:szCs w:val="24"/>
        </w:rPr>
      </w:pPr>
      <w:r>
        <w:rPr>
          <w:rFonts w:hint="eastAsia" w:ascii="宋体" w:hAnsi="宋体" w:eastAsia="宋体" w:cs="宋体"/>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sz w:val="24"/>
          <w:szCs w:val="24"/>
        </w:rPr>
      </w:pPr>
      <w:r>
        <w:rPr>
          <w:rFonts w:hint="eastAsia" w:ascii="宋体" w:hAnsi="宋体" w:eastAsia="宋体" w:cs="宋体"/>
          <w:sz w:val="24"/>
          <w:szCs w:val="24"/>
        </w:rPr>
        <w:t>投标人（</w:t>
      </w:r>
      <w:r>
        <w:rPr>
          <w:rFonts w:hint="eastAsia" w:ascii="宋体" w:hAnsi="宋体" w:eastAsia="宋体" w:cs="宋体"/>
          <w:sz w:val="24"/>
          <w:szCs w:val="24"/>
          <w:lang w:val="en-US" w:eastAsia="zh-CN"/>
        </w:rPr>
        <w:t>公司名称</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sz w:val="28"/>
          <w:szCs w:val="28"/>
        </w:rPr>
      </w:pPr>
      <w:r>
        <w:rPr>
          <w:rFonts w:hint="eastAsia" w:ascii="宋体" w:hAnsi="宋体" w:eastAsia="宋体" w:cs="宋体"/>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bidi w:val="0"/>
        <w:rPr>
          <w:rFonts w:hint="eastAsia"/>
          <w:lang w:val="en-US" w:eastAsia="zh-CN"/>
        </w:rPr>
      </w:pPr>
    </w:p>
    <w:p>
      <w:pPr>
        <w:pStyle w:val="33"/>
      </w:pPr>
    </w:p>
    <w:p>
      <w:pPr>
        <w:widowControl/>
        <w:snapToGrid w:val="0"/>
        <w:spacing w:line="360" w:lineRule="auto"/>
        <w:jc w:val="center"/>
        <w:outlineLvl w:val="0"/>
        <w:rPr>
          <w:rFonts w:ascii="宋体" w:hAnsi="宋体" w:cs="Lucida Sans Unicode"/>
          <w:b/>
          <w:color w:val="auto"/>
          <w:kern w:val="0"/>
          <w:sz w:val="24"/>
          <w:highlight w:val="none"/>
        </w:rPr>
      </w:pPr>
      <w:bookmarkStart w:id="89" w:name="_Toc23394"/>
      <w:bookmarkStart w:id="90" w:name="_Toc25094"/>
      <w:r>
        <w:rPr>
          <w:rFonts w:hint="eastAsia" w:ascii="宋体" w:hAnsi="宋体" w:cs="Lucida Sans Unicode"/>
          <w:b/>
          <w:color w:val="auto"/>
          <w:kern w:val="0"/>
          <w:sz w:val="24"/>
          <w:highlight w:val="none"/>
        </w:rPr>
        <w:t>投标人认为有必要的其他资料</w:t>
      </w:r>
      <w:bookmarkEnd w:id="89"/>
      <w:bookmarkEnd w:id="90"/>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center"/>
        <w:rPr>
          <w:b/>
          <w:bCs/>
          <w:color w:val="auto"/>
          <w:sz w:val="28"/>
          <w:szCs w:val="28"/>
          <w:highlight w:val="none"/>
        </w:rPr>
      </w:pPr>
    </w:p>
    <w:p>
      <w:pPr>
        <w:pStyle w:val="9"/>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r>
      <w:rPr>
        <w:rFonts w:hint="eastAsia" w:ascii="宋体" w:hAnsi="宋体" w:cs="宋体"/>
        <w:color w:val="auto"/>
        <w:szCs w:val="21"/>
        <w:highlight w:val="none"/>
        <w:shd w:val="clear" w:color="auto" w:fill="FFFFFF"/>
        <w:lang w:val="en-US" w:eastAsia="zh-CN"/>
      </w:rPr>
      <w:t>驻马店市中心医院放射工作人员个人剂量监测服务项目</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rPr>
        <w:rFonts w:hint="eastAsia"/>
      </w:rPr>
    </w:pPr>
    <w:r>
      <w:rPr>
        <w:rFonts w:hint="eastAsia" w:ascii="宋体" w:hAnsi="宋体" w:cs="宋体"/>
        <w:color w:val="auto"/>
        <w:szCs w:val="21"/>
        <w:highlight w:val="none"/>
        <w:shd w:val="clear" w:color="auto" w:fill="FFFFFF"/>
        <w:lang w:val="en-US" w:eastAsia="zh-CN"/>
      </w:rPr>
      <w:t>驻马店市中心医院放射工作人员个人剂量监测服务项目</w:t>
    </w:r>
    <w:r>
      <w:rPr>
        <w:rFonts w:hint="eastAsia" w:ascii="宋体" w:hAnsi="宋体" w:cs="宋体"/>
        <w:color w:val="auto"/>
        <w:szCs w:val="21"/>
        <w:highlight w:val="none"/>
        <w:u w:val="none"/>
        <w:shd w:val="clear" w:color="auto" w:fill="FFFFFF"/>
        <w:lang w:val="en-US" w:eastAsia="zh-CN"/>
      </w:rPr>
      <w:t>采购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U0MTZjMjFkMjFjOGMwYTIzNWEzZDljNjYxZWI0MmY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1ADF"/>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525212"/>
    <w:rsid w:val="01564054"/>
    <w:rsid w:val="017E6D95"/>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1537C"/>
    <w:rsid w:val="02F40325"/>
    <w:rsid w:val="031126C4"/>
    <w:rsid w:val="036A009A"/>
    <w:rsid w:val="03844805"/>
    <w:rsid w:val="03845791"/>
    <w:rsid w:val="03A011E9"/>
    <w:rsid w:val="03AE7F27"/>
    <w:rsid w:val="03BD2BCD"/>
    <w:rsid w:val="03CC058D"/>
    <w:rsid w:val="03E017D2"/>
    <w:rsid w:val="04416C20"/>
    <w:rsid w:val="047968B1"/>
    <w:rsid w:val="04870542"/>
    <w:rsid w:val="054C0111"/>
    <w:rsid w:val="05545DD3"/>
    <w:rsid w:val="056E2AD6"/>
    <w:rsid w:val="05806815"/>
    <w:rsid w:val="058251D3"/>
    <w:rsid w:val="05945CCE"/>
    <w:rsid w:val="059D05A4"/>
    <w:rsid w:val="059D5E17"/>
    <w:rsid w:val="05AB0A28"/>
    <w:rsid w:val="05AB0F81"/>
    <w:rsid w:val="05B93D6B"/>
    <w:rsid w:val="05D53002"/>
    <w:rsid w:val="05D75738"/>
    <w:rsid w:val="061E7D14"/>
    <w:rsid w:val="06560AED"/>
    <w:rsid w:val="066469C9"/>
    <w:rsid w:val="066646A1"/>
    <w:rsid w:val="06983B20"/>
    <w:rsid w:val="069A3B66"/>
    <w:rsid w:val="06B31420"/>
    <w:rsid w:val="06B91765"/>
    <w:rsid w:val="06CA2AD2"/>
    <w:rsid w:val="06CE3071"/>
    <w:rsid w:val="06D33DBA"/>
    <w:rsid w:val="06E13F9F"/>
    <w:rsid w:val="06FB0AC5"/>
    <w:rsid w:val="070D2D5D"/>
    <w:rsid w:val="07111B8D"/>
    <w:rsid w:val="074A5B92"/>
    <w:rsid w:val="075D0147"/>
    <w:rsid w:val="075E3193"/>
    <w:rsid w:val="078E18EB"/>
    <w:rsid w:val="07B10EA5"/>
    <w:rsid w:val="07CE3FA1"/>
    <w:rsid w:val="07EC2ECB"/>
    <w:rsid w:val="07FE66CB"/>
    <w:rsid w:val="080B4D47"/>
    <w:rsid w:val="08321601"/>
    <w:rsid w:val="083D5C91"/>
    <w:rsid w:val="0847191F"/>
    <w:rsid w:val="084C0874"/>
    <w:rsid w:val="08591DC3"/>
    <w:rsid w:val="087C4541"/>
    <w:rsid w:val="087E5595"/>
    <w:rsid w:val="08C52D6F"/>
    <w:rsid w:val="08EF0201"/>
    <w:rsid w:val="08F41DE8"/>
    <w:rsid w:val="09737462"/>
    <w:rsid w:val="099156C3"/>
    <w:rsid w:val="09A53F39"/>
    <w:rsid w:val="09A60E13"/>
    <w:rsid w:val="09AB2883"/>
    <w:rsid w:val="09D206F0"/>
    <w:rsid w:val="0A321AC2"/>
    <w:rsid w:val="0A343D4E"/>
    <w:rsid w:val="0A3E6D2E"/>
    <w:rsid w:val="0A8455AD"/>
    <w:rsid w:val="0AB359AE"/>
    <w:rsid w:val="0AD13A85"/>
    <w:rsid w:val="0B091954"/>
    <w:rsid w:val="0B637D77"/>
    <w:rsid w:val="0B7006C4"/>
    <w:rsid w:val="0BAC324F"/>
    <w:rsid w:val="0BC11EE9"/>
    <w:rsid w:val="0BF16C73"/>
    <w:rsid w:val="0BF72F1E"/>
    <w:rsid w:val="0C3152C1"/>
    <w:rsid w:val="0C3957A5"/>
    <w:rsid w:val="0C626DA7"/>
    <w:rsid w:val="0C6876AE"/>
    <w:rsid w:val="0C71390F"/>
    <w:rsid w:val="0C720EC8"/>
    <w:rsid w:val="0C942042"/>
    <w:rsid w:val="0C9D50DC"/>
    <w:rsid w:val="0CA5271D"/>
    <w:rsid w:val="0CAC4D10"/>
    <w:rsid w:val="0CC72121"/>
    <w:rsid w:val="0CEE5A21"/>
    <w:rsid w:val="0D05268E"/>
    <w:rsid w:val="0D0646E7"/>
    <w:rsid w:val="0D0C38CA"/>
    <w:rsid w:val="0DC577E0"/>
    <w:rsid w:val="0DDC6319"/>
    <w:rsid w:val="0E0C0D4C"/>
    <w:rsid w:val="0E115DA1"/>
    <w:rsid w:val="0E162D6D"/>
    <w:rsid w:val="0E541CA2"/>
    <w:rsid w:val="0E594756"/>
    <w:rsid w:val="0E95596D"/>
    <w:rsid w:val="0EAE6205"/>
    <w:rsid w:val="0EAE6579"/>
    <w:rsid w:val="0EAF71BF"/>
    <w:rsid w:val="0ECE6257"/>
    <w:rsid w:val="0EE4129D"/>
    <w:rsid w:val="0F171032"/>
    <w:rsid w:val="0F335E69"/>
    <w:rsid w:val="0F372614"/>
    <w:rsid w:val="0F3D59C9"/>
    <w:rsid w:val="0F516D5A"/>
    <w:rsid w:val="0F565B36"/>
    <w:rsid w:val="0F821E7D"/>
    <w:rsid w:val="0FCA42ED"/>
    <w:rsid w:val="0FE7592C"/>
    <w:rsid w:val="0FFD20F0"/>
    <w:rsid w:val="103E6E57"/>
    <w:rsid w:val="1041497B"/>
    <w:rsid w:val="10425FF6"/>
    <w:rsid w:val="106612B1"/>
    <w:rsid w:val="109010E6"/>
    <w:rsid w:val="10B271F4"/>
    <w:rsid w:val="10B537CC"/>
    <w:rsid w:val="10C8275C"/>
    <w:rsid w:val="10C86D3B"/>
    <w:rsid w:val="10E03539"/>
    <w:rsid w:val="10E82D1F"/>
    <w:rsid w:val="10EE5C94"/>
    <w:rsid w:val="10F5757C"/>
    <w:rsid w:val="113329E7"/>
    <w:rsid w:val="113F294C"/>
    <w:rsid w:val="11437C85"/>
    <w:rsid w:val="1166372C"/>
    <w:rsid w:val="11700D10"/>
    <w:rsid w:val="1178125A"/>
    <w:rsid w:val="118441E0"/>
    <w:rsid w:val="1196056D"/>
    <w:rsid w:val="11D34654"/>
    <w:rsid w:val="12010480"/>
    <w:rsid w:val="120E707F"/>
    <w:rsid w:val="121D0051"/>
    <w:rsid w:val="12413D84"/>
    <w:rsid w:val="127A7D1C"/>
    <w:rsid w:val="12836D8B"/>
    <w:rsid w:val="12AB0349"/>
    <w:rsid w:val="12CD57F1"/>
    <w:rsid w:val="12CE7AFA"/>
    <w:rsid w:val="12D67466"/>
    <w:rsid w:val="13272A5D"/>
    <w:rsid w:val="13493108"/>
    <w:rsid w:val="13733928"/>
    <w:rsid w:val="13920D68"/>
    <w:rsid w:val="139C16C9"/>
    <w:rsid w:val="13B63CE1"/>
    <w:rsid w:val="13BC6684"/>
    <w:rsid w:val="13C72B3A"/>
    <w:rsid w:val="13DF575E"/>
    <w:rsid w:val="13E470BD"/>
    <w:rsid w:val="13EE3A98"/>
    <w:rsid w:val="142123F7"/>
    <w:rsid w:val="142A11D8"/>
    <w:rsid w:val="144B544C"/>
    <w:rsid w:val="145B7B45"/>
    <w:rsid w:val="14717443"/>
    <w:rsid w:val="148D52E3"/>
    <w:rsid w:val="14992B90"/>
    <w:rsid w:val="14A95593"/>
    <w:rsid w:val="14AF1856"/>
    <w:rsid w:val="14AF19A3"/>
    <w:rsid w:val="14B53957"/>
    <w:rsid w:val="14C53ECE"/>
    <w:rsid w:val="14CF6CB0"/>
    <w:rsid w:val="14E002E6"/>
    <w:rsid w:val="14FC36BD"/>
    <w:rsid w:val="14FF5EA7"/>
    <w:rsid w:val="151E3A0F"/>
    <w:rsid w:val="15477903"/>
    <w:rsid w:val="1557566D"/>
    <w:rsid w:val="15811F1B"/>
    <w:rsid w:val="15A30135"/>
    <w:rsid w:val="15A34015"/>
    <w:rsid w:val="15BB487B"/>
    <w:rsid w:val="15CE086D"/>
    <w:rsid w:val="15E2236F"/>
    <w:rsid w:val="161D09ED"/>
    <w:rsid w:val="162323A3"/>
    <w:rsid w:val="162F30B1"/>
    <w:rsid w:val="16510F12"/>
    <w:rsid w:val="166448F9"/>
    <w:rsid w:val="1677211D"/>
    <w:rsid w:val="167954F9"/>
    <w:rsid w:val="169F7296"/>
    <w:rsid w:val="16A060BA"/>
    <w:rsid w:val="16A57EAF"/>
    <w:rsid w:val="16AC6E3F"/>
    <w:rsid w:val="16C872D5"/>
    <w:rsid w:val="16D54FA3"/>
    <w:rsid w:val="16D84D9F"/>
    <w:rsid w:val="16E94D3E"/>
    <w:rsid w:val="170D06E0"/>
    <w:rsid w:val="17332185"/>
    <w:rsid w:val="17475951"/>
    <w:rsid w:val="175E1AB9"/>
    <w:rsid w:val="179F2E61"/>
    <w:rsid w:val="17C227C0"/>
    <w:rsid w:val="17EE5BFF"/>
    <w:rsid w:val="18097740"/>
    <w:rsid w:val="185D3C42"/>
    <w:rsid w:val="185F38AF"/>
    <w:rsid w:val="18AD1BEB"/>
    <w:rsid w:val="18B3004A"/>
    <w:rsid w:val="18B96080"/>
    <w:rsid w:val="18F67868"/>
    <w:rsid w:val="18FD7925"/>
    <w:rsid w:val="190B2D88"/>
    <w:rsid w:val="190E6B63"/>
    <w:rsid w:val="19123928"/>
    <w:rsid w:val="19194264"/>
    <w:rsid w:val="19420786"/>
    <w:rsid w:val="19427EC0"/>
    <w:rsid w:val="195711D7"/>
    <w:rsid w:val="195D2A3F"/>
    <w:rsid w:val="198310E9"/>
    <w:rsid w:val="198D747A"/>
    <w:rsid w:val="19A15638"/>
    <w:rsid w:val="1A125525"/>
    <w:rsid w:val="1A5F4342"/>
    <w:rsid w:val="1A616E2C"/>
    <w:rsid w:val="1A8C5D82"/>
    <w:rsid w:val="1A994988"/>
    <w:rsid w:val="1A9B546C"/>
    <w:rsid w:val="1AA3511F"/>
    <w:rsid w:val="1AAE3B54"/>
    <w:rsid w:val="1AC10987"/>
    <w:rsid w:val="1AF423FA"/>
    <w:rsid w:val="1B0C5B32"/>
    <w:rsid w:val="1B0D3E82"/>
    <w:rsid w:val="1B1652AB"/>
    <w:rsid w:val="1B181CD5"/>
    <w:rsid w:val="1B265306"/>
    <w:rsid w:val="1B4F2450"/>
    <w:rsid w:val="1B530868"/>
    <w:rsid w:val="1B8C18B7"/>
    <w:rsid w:val="1BB73AE1"/>
    <w:rsid w:val="1BDA6D68"/>
    <w:rsid w:val="1BF14125"/>
    <w:rsid w:val="1C555978"/>
    <w:rsid w:val="1C6554A1"/>
    <w:rsid w:val="1C7971B7"/>
    <w:rsid w:val="1C917D91"/>
    <w:rsid w:val="1CD402EC"/>
    <w:rsid w:val="1CED16EF"/>
    <w:rsid w:val="1CF02333"/>
    <w:rsid w:val="1D0C33A2"/>
    <w:rsid w:val="1D113E6E"/>
    <w:rsid w:val="1D114E5E"/>
    <w:rsid w:val="1D1F0050"/>
    <w:rsid w:val="1D2222DC"/>
    <w:rsid w:val="1D5B3CDE"/>
    <w:rsid w:val="1D6E2950"/>
    <w:rsid w:val="1D98209B"/>
    <w:rsid w:val="1DA23746"/>
    <w:rsid w:val="1DAA14B9"/>
    <w:rsid w:val="1DD04513"/>
    <w:rsid w:val="1E0345E3"/>
    <w:rsid w:val="1E656063"/>
    <w:rsid w:val="1E6B06A5"/>
    <w:rsid w:val="1E7F7D9E"/>
    <w:rsid w:val="1E840DA4"/>
    <w:rsid w:val="1E9B06F7"/>
    <w:rsid w:val="1EA5444C"/>
    <w:rsid w:val="1EB350EF"/>
    <w:rsid w:val="1EC21749"/>
    <w:rsid w:val="1EEB7C4E"/>
    <w:rsid w:val="1F072441"/>
    <w:rsid w:val="1F171B83"/>
    <w:rsid w:val="1F2D491A"/>
    <w:rsid w:val="1F7369C7"/>
    <w:rsid w:val="1F94547B"/>
    <w:rsid w:val="1FAF308C"/>
    <w:rsid w:val="1FC11109"/>
    <w:rsid w:val="1FEF08C8"/>
    <w:rsid w:val="1FF72E6A"/>
    <w:rsid w:val="201B3ED4"/>
    <w:rsid w:val="20310B02"/>
    <w:rsid w:val="206F0406"/>
    <w:rsid w:val="20784063"/>
    <w:rsid w:val="207E346A"/>
    <w:rsid w:val="208E12C3"/>
    <w:rsid w:val="209502A3"/>
    <w:rsid w:val="210F579E"/>
    <w:rsid w:val="212550B5"/>
    <w:rsid w:val="21592B62"/>
    <w:rsid w:val="21747CD2"/>
    <w:rsid w:val="219263AA"/>
    <w:rsid w:val="219E5782"/>
    <w:rsid w:val="21AC5A21"/>
    <w:rsid w:val="21E72B0B"/>
    <w:rsid w:val="221F2D96"/>
    <w:rsid w:val="22246DB1"/>
    <w:rsid w:val="22440067"/>
    <w:rsid w:val="225A6017"/>
    <w:rsid w:val="227A5532"/>
    <w:rsid w:val="22843A03"/>
    <w:rsid w:val="228E5C2C"/>
    <w:rsid w:val="22A338AB"/>
    <w:rsid w:val="22AD37A2"/>
    <w:rsid w:val="22B31E8A"/>
    <w:rsid w:val="22C05285"/>
    <w:rsid w:val="22C735BD"/>
    <w:rsid w:val="22F06957"/>
    <w:rsid w:val="23122833"/>
    <w:rsid w:val="231D4917"/>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D6E1A"/>
    <w:rsid w:val="24607F91"/>
    <w:rsid w:val="246C581B"/>
    <w:rsid w:val="247C52A2"/>
    <w:rsid w:val="24CC106B"/>
    <w:rsid w:val="24D00598"/>
    <w:rsid w:val="24D725E9"/>
    <w:rsid w:val="25045F70"/>
    <w:rsid w:val="250474F1"/>
    <w:rsid w:val="25056E93"/>
    <w:rsid w:val="25092EBA"/>
    <w:rsid w:val="25241020"/>
    <w:rsid w:val="257572C3"/>
    <w:rsid w:val="25790E85"/>
    <w:rsid w:val="25972C60"/>
    <w:rsid w:val="259D1676"/>
    <w:rsid w:val="25A353EB"/>
    <w:rsid w:val="25B87B65"/>
    <w:rsid w:val="25CB78C3"/>
    <w:rsid w:val="25D54390"/>
    <w:rsid w:val="261879A7"/>
    <w:rsid w:val="261A071C"/>
    <w:rsid w:val="264B0BA4"/>
    <w:rsid w:val="268C5256"/>
    <w:rsid w:val="268E455B"/>
    <w:rsid w:val="26912B30"/>
    <w:rsid w:val="269772F0"/>
    <w:rsid w:val="26A30712"/>
    <w:rsid w:val="26AC0C27"/>
    <w:rsid w:val="26C807A6"/>
    <w:rsid w:val="26DB67BA"/>
    <w:rsid w:val="26E311CD"/>
    <w:rsid w:val="26EF24ED"/>
    <w:rsid w:val="26F1408A"/>
    <w:rsid w:val="26F96584"/>
    <w:rsid w:val="27015370"/>
    <w:rsid w:val="270B421F"/>
    <w:rsid w:val="274E2228"/>
    <w:rsid w:val="27517A93"/>
    <w:rsid w:val="275E53AF"/>
    <w:rsid w:val="276658E8"/>
    <w:rsid w:val="277E30D2"/>
    <w:rsid w:val="27803F2A"/>
    <w:rsid w:val="27A34941"/>
    <w:rsid w:val="27EE3A7B"/>
    <w:rsid w:val="283C23DF"/>
    <w:rsid w:val="283D69F1"/>
    <w:rsid w:val="284C16F5"/>
    <w:rsid w:val="28570AB5"/>
    <w:rsid w:val="28C2534B"/>
    <w:rsid w:val="28C5525A"/>
    <w:rsid w:val="28D14B96"/>
    <w:rsid w:val="29020C46"/>
    <w:rsid w:val="290240C7"/>
    <w:rsid w:val="29274EE0"/>
    <w:rsid w:val="2969197F"/>
    <w:rsid w:val="29746E87"/>
    <w:rsid w:val="297C03C2"/>
    <w:rsid w:val="299573AB"/>
    <w:rsid w:val="29BE5BD0"/>
    <w:rsid w:val="29C01572"/>
    <w:rsid w:val="29E74CE2"/>
    <w:rsid w:val="2A306A36"/>
    <w:rsid w:val="2A5372C6"/>
    <w:rsid w:val="2A5B03D8"/>
    <w:rsid w:val="2A6F6D07"/>
    <w:rsid w:val="2A882500"/>
    <w:rsid w:val="2AB30E06"/>
    <w:rsid w:val="2AB63ABC"/>
    <w:rsid w:val="2B003D00"/>
    <w:rsid w:val="2B074D5E"/>
    <w:rsid w:val="2B100BA9"/>
    <w:rsid w:val="2B1B5825"/>
    <w:rsid w:val="2B1E3AFC"/>
    <w:rsid w:val="2B8D373E"/>
    <w:rsid w:val="2B9E4F56"/>
    <w:rsid w:val="2BDB5A88"/>
    <w:rsid w:val="2BE91C37"/>
    <w:rsid w:val="2BEC3F72"/>
    <w:rsid w:val="2C083572"/>
    <w:rsid w:val="2C185F94"/>
    <w:rsid w:val="2C1F1AC4"/>
    <w:rsid w:val="2C3F3A41"/>
    <w:rsid w:val="2C4431C4"/>
    <w:rsid w:val="2C62059F"/>
    <w:rsid w:val="2C6634FA"/>
    <w:rsid w:val="2CAC022C"/>
    <w:rsid w:val="2CC11807"/>
    <w:rsid w:val="2CF16074"/>
    <w:rsid w:val="2CF81D1B"/>
    <w:rsid w:val="2D3F2453"/>
    <w:rsid w:val="2D835174"/>
    <w:rsid w:val="2D9331F9"/>
    <w:rsid w:val="2DD90B7B"/>
    <w:rsid w:val="2DDD3FC1"/>
    <w:rsid w:val="2DF701D8"/>
    <w:rsid w:val="2DF970A1"/>
    <w:rsid w:val="2E085834"/>
    <w:rsid w:val="2E1034F8"/>
    <w:rsid w:val="2E443652"/>
    <w:rsid w:val="2E505773"/>
    <w:rsid w:val="2E742F70"/>
    <w:rsid w:val="2EDC2A13"/>
    <w:rsid w:val="2EFD7DB9"/>
    <w:rsid w:val="2F1A081D"/>
    <w:rsid w:val="2F1E3DC0"/>
    <w:rsid w:val="2F3112DE"/>
    <w:rsid w:val="2F3B6922"/>
    <w:rsid w:val="2F506C6D"/>
    <w:rsid w:val="2F51291F"/>
    <w:rsid w:val="2F55758A"/>
    <w:rsid w:val="2F7F15AE"/>
    <w:rsid w:val="2FA54796"/>
    <w:rsid w:val="2FA674E2"/>
    <w:rsid w:val="2FFE7D49"/>
    <w:rsid w:val="3002294D"/>
    <w:rsid w:val="3011153D"/>
    <w:rsid w:val="30142680"/>
    <w:rsid w:val="302A5C42"/>
    <w:rsid w:val="30B8125D"/>
    <w:rsid w:val="30BF439A"/>
    <w:rsid w:val="30CF6A37"/>
    <w:rsid w:val="30D250CF"/>
    <w:rsid w:val="31002970"/>
    <w:rsid w:val="311016AD"/>
    <w:rsid w:val="3136622A"/>
    <w:rsid w:val="3139422E"/>
    <w:rsid w:val="31496359"/>
    <w:rsid w:val="31700E4B"/>
    <w:rsid w:val="3172683C"/>
    <w:rsid w:val="31A359FC"/>
    <w:rsid w:val="31AD0D61"/>
    <w:rsid w:val="31CD73BD"/>
    <w:rsid w:val="31D66571"/>
    <w:rsid w:val="31DB4220"/>
    <w:rsid w:val="31DC56CD"/>
    <w:rsid w:val="31E63B94"/>
    <w:rsid w:val="31F27AF7"/>
    <w:rsid w:val="32176602"/>
    <w:rsid w:val="322A7699"/>
    <w:rsid w:val="322B25C6"/>
    <w:rsid w:val="32422E70"/>
    <w:rsid w:val="325E56C6"/>
    <w:rsid w:val="3275698A"/>
    <w:rsid w:val="32B943EC"/>
    <w:rsid w:val="32DC63A0"/>
    <w:rsid w:val="32E429C1"/>
    <w:rsid w:val="330503EE"/>
    <w:rsid w:val="334A3B2A"/>
    <w:rsid w:val="3365592E"/>
    <w:rsid w:val="336A31F3"/>
    <w:rsid w:val="336F6533"/>
    <w:rsid w:val="337E5E2F"/>
    <w:rsid w:val="3384610D"/>
    <w:rsid w:val="33AA5979"/>
    <w:rsid w:val="33AF0C0B"/>
    <w:rsid w:val="33C03E90"/>
    <w:rsid w:val="33C96649"/>
    <w:rsid w:val="33CC3D88"/>
    <w:rsid w:val="33DD0306"/>
    <w:rsid w:val="33FD722F"/>
    <w:rsid w:val="3400362D"/>
    <w:rsid w:val="340B09C5"/>
    <w:rsid w:val="341E4CAB"/>
    <w:rsid w:val="34584EE2"/>
    <w:rsid w:val="347D373F"/>
    <w:rsid w:val="348002E4"/>
    <w:rsid w:val="34956481"/>
    <w:rsid w:val="34A35871"/>
    <w:rsid w:val="34C06C9D"/>
    <w:rsid w:val="34DF24AE"/>
    <w:rsid w:val="351C4931"/>
    <w:rsid w:val="351C4EAC"/>
    <w:rsid w:val="351D4C26"/>
    <w:rsid w:val="352E7D40"/>
    <w:rsid w:val="35361A77"/>
    <w:rsid w:val="35461A22"/>
    <w:rsid w:val="35483CC9"/>
    <w:rsid w:val="35A815CB"/>
    <w:rsid w:val="35AA1B9C"/>
    <w:rsid w:val="35DB09A6"/>
    <w:rsid w:val="3609472F"/>
    <w:rsid w:val="369B4CF0"/>
    <w:rsid w:val="36D62629"/>
    <w:rsid w:val="36D76172"/>
    <w:rsid w:val="36E833BB"/>
    <w:rsid w:val="36EB1E1B"/>
    <w:rsid w:val="36F17F0D"/>
    <w:rsid w:val="36FB720C"/>
    <w:rsid w:val="3735197D"/>
    <w:rsid w:val="373756A2"/>
    <w:rsid w:val="37564896"/>
    <w:rsid w:val="375E0DA6"/>
    <w:rsid w:val="378B61A6"/>
    <w:rsid w:val="37B90F0B"/>
    <w:rsid w:val="37CD3F98"/>
    <w:rsid w:val="37DF75BA"/>
    <w:rsid w:val="37E148E2"/>
    <w:rsid w:val="37F848EE"/>
    <w:rsid w:val="38056AE5"/>
    <w:rsid w:val="38304889"/>
    <w:rsid w:val="38382675"/>
    <w:rsid w:val="383B7B0D"/>
    <w:rsid w:val="3851700B"/>
    <w:rsid w:val="385246B6"/>
    <w:rsid w:val="38805E07"/>
    <w:rsid w:val="38A53DB7"/>
    <w:rsid w:val="38BF3388"/>
    <w:rsid w:val="38CC268D"/>
    <w:rsid w:val="38DF1FDA"/>
    <w:rsid w:val="38EC2960"/>
    <w:rsid w:val="392536E2"/>
    <w:rsid w:val="39465F15"/>
    <w:rsid w:val="396453C5"/>
    <w:rsid w:val="39922CCF"/>
    <w:rsid w:val="39A65327"/>
    <w:rsid w:val="39A65C9B"/>
    <w:rsid w:val="39BC5ED6"/>
    <w:rsid w:val="39EB39E0"/>
    <w:rsid w:val="39EF02D4"/>
    <w:rsid w:val="3A11342A"/>
    <w:rsid w:val="3A153110"/>
    <w:rsid w:val="3A2507C0"/>
    <w:rsid w:val="3A393FA7"/>
    <w:rsid w:val="3A3A5A22"/>
    <w:rsid w:val="3A524858"/>
    <w:rsid w:val="3A64203E"/>
    <w:rsid w:val="3A663D00"/>
    <w:rsid w:val="3A7428D0"/>
    <w:rsid w:val="3A923AE4"/>
    <w:rsid w:val="3AA50E25"/>
    <w:rsid w:val="3AC566E3"/>
    <w:rsid w:val="3AD6747A"/>
    <w:rsid w:val="3B312338"/>
    <w:rsid w:val="3B3D0FF2"/>
    <w:rsid w:val="3B521A18"/>
    <w:rsid w:val="3B923660"/>
    <w:rsid w:val="3BCA44BE"/>
    <w:rsid w:val="3BF13876"/>
    <w:rsid w:val="3C061F3A"/>
    <w:rsid w:val="3C495480"/>
    <w:rsid w:val="3C6F0167"/>
    <w:rsid w:val="3C71667B"/>
    <w:rsid w:val="3C914F3B"/>
    <w:rsid w:val="3CC17F13"/>
    <w:rsid w:val="3CE320A3"/>
    <w:rsid w:val="3CE9196C"/>
    <w:rsid w:val="3CF15105"/>
    <w:rsid w:val="3D0C04B9"/>
    <w:rsid w:val="3D1414C5"/>
    <w:rsid w:val="3D1C763E"/>
    <w:rsid w:val="3D201AA5"/>
    <w:rsid w:val="3D2B37EA"/>
    <w:rsid w:val="3D2F7FF3"/>
    <w:rsid w:val="3D3D1507"/>
    <w:rsid w:val="3D62085B"/>
    <w:rsid w:val="3D7B4622"/>
    <w:rsid w:val="3D942E29"/>
    <w:rsid w:val="3DA53531"/>
    <w:rsid w:val="3DB54E0C"/>
    <w:rsid w:val="3DB900C1"/>
    <w:rsid w:val="3DE91725"/>
    <w:rsid w:val="3DF159B1"/>
    <w:rsid w:val="3E1A106E"/>
    <w:rsid w:val="3E36303B"/>
    <w:rsid w:val="3E526044"/>
    <w:rsid w:val="3E6C2B3A"/>
    <w:rsid w:val="3E8C5311"/>
    <w:rsid w:val="3E8E7E55"/>
    <w:rsid w:val="3EB61473"/>
    <w:rsid w:val="3F315E6B"/>
    <w:rsid w:val="3F5175E2"/>
    <w:rsid w:val="3F56276A"/>
    <w:rsid w:val="3F6C10E0"/>
    <w:rsid w:val="3F963015"/>
    <w:rsid w:val="3F964D35"/>
    <w:rsid w:val="3FA327ED"/>
    <w:rsid w:val="3FA33520"/>
    <w:rsid w:val="3FB11738"/>
    <w:rsid w:val="3FB5581B"/>
    <w:rsid w:val="3FC33D05"/>
    <w:rsid w:val="3FF46B18"/>
    <w:rsid w:val="3FF74A2E"/>
    <w:rsid w:val="3FFC36E2"/>
    <w:rsid w:val="4005572D"/>
    <w:rsid w:val="402833BA"/>
    <w:rsid w:val="40283C2B"/>
    <w:rsid w:val="40394FD1"/>
    <w:rsid w:val="40425879"/>
    <w:rsid w:val="405C1C05"/>
    <w:rsid w:val="40765D15"/>
    <w:rsid w:val="407F2DE9"/>
    <w:rsid w:val="40991379"/>
    <w:rsid w:val="409B3C3D"/>
    <w:rsid w:val="40F701DF"/>
    <w:rsid w:val="40FD480A"/>
    <w:rsid w:val="412A32F8"/>
    <w:rsid w:val="417F433E"/>
    <w:rsid w:val="41B7239D"/>
    <w:rsid w:val="41FF3845"/>
    <w:rsid w:val="4201178F"/>
    <w:rsid w:val="421104A9"/>
    <w:rsid w:val="42143B88"/>
    <w:rsid w:val="42164586"/>
    <w:rsid w:val="425B5DD1"/>
    <w:rsid w:val="4260300C"/>
    <w:rsid w:val="427C799E"/>
    <w:rsid w:val="42800B9B"/>
    <w:rsid w:val="42A06B6C"/>
    <w:rsid w:val="42A27996"/>
    <w:rsid w:val="42AA04E2"/>
    <w:rsid w:val="42EA5650"/>
    <w:rsid w:val="431408DA"/>
    <w:rsid w:val="4331401E"/>
    <w:rsid w:val="43591DDA"/>
    <w:rsid w:val="435A0DF2"/>
    <w:rsid w:val="436C42E1"/>
    <w:rsid w:val="437C210F"/>
    <w:rsid w:val="43847F02"/>
    <w:rsid w:val="438F113C"/>
    <w:rsid w:val="439E7EFB"/>
    <w:rsid w:val="43B1568A"/>
    <w:rsid w:val="43BD7F58"/>
    <w:rsid w:val="43D43ECA"/>
    <w:rsid w:val="43DD452F"/>
    <w:rsid w:val="43DE6CD4"/>
    <w:rsid w:val="43E51150"/>
    <w:rsid w:val="43EF28BB"/>
    <w:rsid w:val="43EF56D3"/>
    <w:rsid w:val="44095C00"/>
    <w:rsid w:val="440A6FD2"/>
    <w:rsid w:val="444946CA"/>
    <w:rsid w:val="444B3F54"/>
    <w:rsid w:val="4476661F"/>
    <w:rsid w:val="447E3AC5"/>
    <w:rsid w:val="448E5DEE"/>
    <w:rsid w:val="44A90BAA"/>
    <w:rsid w:val="44B24A20"/>
    <w:rsid w:val="44BC0BEE"/>
    <w:rsid w:val="44C55A88"/>
    <w:rsid w:val="44F719CF"/>
    <w:rsid w:val="44FB1C9C"/>
    <w:rsid w:val="454F1836"/>
    <w:rsid w:val="45887B45"/>
    <w:rsid w:val="458B66DF"/>
    <w:rsid w:val="45940F0E"/>
    <w:rsid w:val="45AC5DBA"/>
    <w:rsid w:val="45C647AF"/>
    <w:rsid w:val="45DD529D"/>
    <w:rsid w:val="45E57886"/>
    <w:rsid w:val="46003076"/>
    <w:rsid w:val="46026F63"/>
    <w:rsid w:val="46177E29"/>
    <w:rsid w:val="46205B7F"/>
    <w:rsid w:val="465D501C"/>
    <w:rsid w:val="466367DB"/>
    <w:rsid w:val="46686D18"/>
    <w:rsid w:val="46C3037C"/>
    <w:rsid w:val="46FF15E0"/>
    <w:rsid w:val="4700581C"/>
    <w:rsid w:val="4702516A"/>
    <w:rsid w:val="474A4B33"/>
    <w:rsid w:val="47665A15"/>
    <w:rsid w:val="47677941"/>
    <w:rsid w:val="477F1660"/>
    <w:rsid w:val="4788232A"/>
    <w:rsid w:val="478B0398"/>
    <w:rsid w:val="478F5D0B"/>
    <w:rsid w:val="47B8724E"/>
    <w:rsid w:val="47ED7BCA"/>
    <w:rsid w:val="48016F34"/>
    <w:rsid w:val="480556DB"/>
    <w:rsid w:val="48185C56"/>
    <w:rsid w:val="48450F81"/>
    <w:rsid w:val="484E729D"/>
    <w:rsid w:val="48566773"/>
    <w:rsid w:val="485A23C2"/>
    <w:rsid w:val="48A16B62"/>
    <w:rsid w:val="48BC6222"/>
    <w:rsid w:val="48C245E9"/>
    <w:rsid w:val="48DB312A"/>
    <w:rsid w:val="48DF49D9"/>
    <w:rsid w:val="492108CC"/>
    <w:rsid w:val="492E0B35"/>
    <w:rsid w:val="49413F52"/>
    <w:rsid w:val="494F6304"/>
    <w:rsid w:val="4A05334F"/>
    <w:rsid w:val="4A244932"/>
    <w:rsid w:val="4A2922C8"/>
    <w:rsid w:val="4A4117B2"/>
    <w:rsid w:val="4A7A4350"/>
    <w:rsid w:val="4A7E2497"/>
    <w:rsid w:val="4A896826"/>
    <w:rsid w:val="4ABF5E17"/>
    <w:rsid w:val="4AE01A66"/>
    <w:rsid w:val="4AE104D6"/>
    <w:rsid w:val="4AED707B"/>
    <w:rsid w:val="4B015D61"/>
    <w:rsid w:val="4B0B7979"/>
    <w:rsid w:val="4B520DF4"/>
    <w:rsid w:val="4B603107"/>
    <w:rsid w:val="4B9802B0"/>
    <w:rsid w:val="4B9E65BE"/>
    <w:rsid w:val="4B9F33A8"/>
    <w:rsid w:val="4BA80AFD"/>
    <w:rsid w:val="4BB033BA"/>
    <w:rsid w:val="4BB469AD"/>
    <w:rsid w:val="4BC06040"/>
    <w:rsid w:val="4BF441D2"/>
    <w:rsid w:val="4C1C2A09"/>
    <w:rsid w:val="4C3C4DA0"/>
    <w:rsid w:val="4C694192"/>
    <w:rsid w:val="4C7964D9"/>
    <w:rsid w:val="4C9269F6"/>
    <w:rsid w:val="4CC84335"/>
    <w:rsid w:val="4CE9350A"/>
    <w:rsid w:val="4D297BF3"/>
    <w:rsid w:val="4D2D0EAF"/>
    <w:rsid w:val="4D7F0082"/>
    <w:rsid w:val="4D952FD9"/>
    <w:rsid w:val="4D970662"/>
    <w:rsid w:val="4DB33393"/>
    <w:rsid w:val="4DCF1E0D"/>
    <w:rsid w:val="4DD248FA"/>
    <w:rsid w:val="4DD632D9"/>
    <w:rsid w:val="4DE05D9E"/>
    <w:rsid w:val="4DE05DF9"/>
    <w:rsid w:val="4DE44800"/>
    <w:rsid w:val="4DEE0709"/>
    <w:rsid w:val="4DFC14EA"/>
    <w:rsid w:val="4DFF6815"/>
    <w:rsid w:val="4E0A3427"/>
    <w:rsid w:val="4E304B5D"/>
    <w:rsid w:val="4E611B8B"/>
    <w:rsid w:val="4E682F8C"/>
    <w:rsid w:val="4E6A7BB7"/>
    <w:rsid w:val="4F0773B4"/>
    <w:rsid w:val="4F307BB1"/>
    <w:rsid w:val="4F3D562D"/>
    <w:rsid w:val="4F5C4EE0"/>
    <w:rsid w:val="4F6E1972"/>
    <w:rsid w:val="4F943166"/>
    <w:rsid w:val="4FBA02A1"/>
    <w:rsid w:val="4FE7106E"/>
    <w:rsid w:val="50053943"/>
    <w:rsid w:val="50374A3C"/>
    <w:rsid w:val="50550E55"/>
    <w:rsid w:val="509F43E4"/>
    <w:rsid w:val="50A54D3E"/>
    <w:rsid w:val="50F1402B"/>
    <w:rsid w:val="50FD2AD9"/>
    <w:rsid w:val="51097D9A"/>
    <w:rsid w:val="51237D2E"/>
    <w:rsid w:val="515B06D0"/>
    <w:rsid w:val="51996737"/>
    <w:rsid w:val="51B408B8"/>
    <w:rsid w:val="51CC0868"/>
    <w:rsid w:val="51D5340F"/>
    <w:rsid w:val="52382F2A"/>
    <w:rsid w:val="52386E3D"/>
    <w:rsid w:val="523A7DD1"/>
    <w:rsid w:val="523B7711"/>
    <w:rsid w:val="5271774C"/>
    <w:rsid w:val="52DE008D"/>
    <w:rsid w:val="52EE341E"/>
    <w:rsid w:val="52F37FE6"/>
    <w:rsid w:val="52FC1CAF"/>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3EC4BF7"/>
    <w:rsid w:val="53F758A1"/>
    <w:rsid w:val="540D5A7F"/>
    <w:rsid w:val="542E2BC2"/>
    <w:rsid w:val="54352A96"/>
    <w:rsid w:val="54447390"/>
    <w:rsid w:val="545E1D01"/>
    <w:rsid w:val="54935B8F"/>
    <w:rsid w:val="54CC6227"/>
    <w:rsid w:val="54D10F9B"/>
    <w:rsid w:val="54D97871"/>
    <w:rsid w:val="551D586C"/>
    <w:rsid w:val="55200298"/>
    <w:rsid w:val="55335E1B"/>
    <w:rsid w:val="554A04C4"/>
    <w:rsid w:val="554B7EF0"/>
    <w:rsid w:val="556F3D99"/>
    <w:rsid w:val="55860894"/>
    <w:rsid w:val="558F6181"/>
    <w:rsid w:val="55B02DF1"/>
    <w:rsid w:val="55DC290C"/>
    <w:rsid w:val="55F01FA1"/>
    <w:rsid w:val="56130B60"/>
    <w:rsid w:val="56990B7C"/>
    <w:rsid w:val="569E1126"/>
    <w:rsid w:val="56B80DEB"/>
    <w:rsid w:val="56E0560F"/>
    <w:rsid w:val="56E06E61"/>
    <w:rsid w:val="56F653FE"/>
    <w:rsid w:val="575B7AFD"/>
    <w:rsid w:val="57660D3F"/>
    <w:rsid w:val="57D1153D"/>
    <w:rsid w:val="57FA3774"/>
    <w:rsid w:val="58084A3C"/>
    <w:rsid w:val="582772A7"/>
    <w:rsid w:val="58531B77"/>
    <w:rsid w:val="585D2975"/>
    <w:rsid w:val="585F64F9"/>
    <w:rsid w:val="587E3341"/>
    <w:rsid w:val="58CF56D8"/>
    <w:rsid w:val="58D31010"/>
    <w:rsid w:val="58D6741E"/>
    <w:rsid w:val="58E62E0E"/>
    <w:rsid w:val="58EA3D0E"/>
    <w:rsid w:val="58F71269"/>
    <w:rsid w:val="58FE045E"/>
    <w:rsid w:val="59561946"/>
    <w:rsid w:val="59670F51"/>
    <w:rsid w:val="596A44F9"/>
    <w:rsid w:val="596C19BB"/>
    <w:rsid w:val="59790BDB"/>
    <w:rsid w:val="597E3F42"/>
    <w:rsid w:val="598653AC"/>
    <w:rsid w:val="59AC3C86"/>
    <w:rsid w:val="59D42FDA"/>
    <w:rsid w:val="59DA4E01"/>
    <w:rsid w:val="59F64E82"/>
    <w:rsid w:val="5A10435C"/>
    <w:rsid w:val="5A2654CC"/>
    <w:rsid w:val="5A323A44"/>
    <w:rsid w:val="5A395E66"/>
    <w:rsid w:val="5A484352"/>
    <w:rsid w:val="5A5321A5"/>
    <w:rsid w:val="5A8734AF"/>
    <w:rsid w:val="5A9D3E45"/>
    <w:rsid w:val="5AA4101D"/>
    <w:rsid w:val="5AB17576"/>
    <w:rsid w:val="5ABD68E6"/>
    <w:rsid w:val="5ABF73D2"/>
    <w:rsid w:val="5ACB3D8A"/>
    <w:rsid w:val="5AE1508F"/>
    <w:rsid w:val="5AF80256"/>
    <w:rsid w:val="5B110CC9"/>
    <w:rsid w:val="5B1F7B5D"/>
    <w:rsid w:val="5B585171"/>
    <w:rsid w:val="5B585B78"/>
    <w:rsid w:val="5B835E40"/>
    <w:rsid w:val="5B9A2B59"/>
    <w:rsid w:val="5BC0085A"/>
    <w:rsid w:val="5BF03D58"/>
    <w:rsid w:val="5BF20AFB"/>
    <w:rsid w:val="5C1A6BB2"/>
    <w:rsid w:val="5C5355FE"/>
    <w:rsid w:val="5C6F4105"/>
    <w:rsid w:val="5CBB7F6F"/>
    <w:rsid w:val="5D442CB4"/>
    <w:rsid w:val="5D7C3F11"/>
    <w:rsid w:val="5D9D49E0"/>
    <w:rsid w:val="5DDF1821"/>
    <w:rsid w:val="5DE2656A"/>
    <w:rsid w:val="5DEA2F91"/>
    <w:rsid w:val="5DF94AE0"/>
    <w:rsid w:val="5DFA5883"/>
    <w:rsid w:val="5E3146A3"/>
    <w:rsid w:val="5E442F62"/>
    <w:rsid w:val="5E6C2C5B"/>
    <w:rsid w:val="5E6E2DD8"/>
    <w:rsid w:val="5E7251A2"/>
    <w:rsid w:val="5E7C3591"/>
    <w:rsid w:val="5E9D0E18"/>
    <w:rsid w:val="5EA341D7"/>
    <w:rsid w:val="5EA755DE"/>
    <w:rsid w:val="5ED35F0E"/>
    <w:rsid w:val="5EFC1390"/>
    <w:rsid w:val="5EFC3EB6"/>
    <w:rsid w:val="5F03335D"/>
    <w:rsid w:val="5F0368C7"/>
    <w:rsid w:val="5F1544E7"/>
    <w:rsid w:val="5F312D8D"/>
    <w:rsid w:val="5F3C4923"/>
    <w:rsid w:val="5F5A7800"/>
    <w:rsid w:val="5F8F5CC1"/>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3021B3"/>
    <w:rsid w:val="613253FD"/>
    <w:rsid w:val="613F36DB"/>
    <w:rsid w:val="61421F29"/>
    <w:rsid w:val="61712185"/>
    <w:rsid w:val="618B7207"/>
    <w:rsid w:val="61A90D68"/>
    <w:rsid w:val="61D2381C"/>
    <w:rsid w:val="62065A1D"/>
    <w:rsid w:val="621775E2"/>
    <w:rsid w:val="622F7552"/>
    <w:rsid w:val="6250406E"/>
    <w:rsid w:val="627D6831"/>
    <w:rsid w:val="62811B1C"/>
    <w:rsid w:val="62A20409"/>
    <w:rsid w:val="62B54B44"/>
    <w:rsid w:val="62E045DA"/>
    <w:rsid w:val="62E454A1"/>
    <w:rsid w:val="62F36E4C"/>
    <w:rsid w:val="62F47F8F"/>
    <w:rsid w:val="62F7233F"/>
    <w:rsid w:val="631F3FB4"/>
    <w:rsid w:val="6340438B"/>
    <w:rsid w:val="6353238E"/>
    <w:rsid w:val="63612AB8"/>
    <w:rsid w:val="6379289B"/>
    <w:rsid w:val="637D0978"/>
    <w:rsid w:val="638968B0"/>
    <w:rsid w:val="638A282C"/>
    <w:rsid w:val="63A85E90"/>
    <w:rsid w:val="63A962DB"/>
    <w:rsid w:val="63AB1A91"/>
    <w:rsid w:val="63B82D47"/>
    <w:rsid w:val="63EE4692"/>
    <w:rsid w:val="63FD622D"/>
    <w:rsid w:val="643F32F9"/>
    <w:rsid w:val="64582686"/>
    <w:rsid w:val="645A6977"/>
    <w:rsid w:val="64673C87"/>
    <w:rsid w:val="64A251DD"/>
    <w:rsid w:val="64D157D9"/>
    <w:rsid w:val="650242F0"/>
    <w:rsid w:val="653F447E"/>
    <w:rsid w:val="65542778"/>
    <w:rsid w:val="655829AF"/>
    <w:rsid w:val="656B70C3"/>
    <w:rsid w:val="658F4798"/>
    <w:rsid w:val="659B1EBA"/>
    <w:rsid w:val="65B461E9"/>
    <w:rsid w:val="65BE39A8"/>
    <w:rsid w:val="65FB3FBE"/>
    <w:rsid w:val="66247D11"/>
    <w:rsid w:val="66736112"/>
    <w:rsid w:val="667F5B5B"/>
    <w:rsid w:val="6694262A"/>
    <w:rsid w:val="66990381"/>
    <w:rsid w:val="66B31B01"/>
    <w:rsid w:val="66CE1E80"/>
    <w:rsid w:val="66E362F9"/>
    <w:rsid w:val="66E47FD9"/>
    <w:rsid w:val="67071922"/>
    <w:rsid w:val="673B73C0"/>
    <w:rsid w:val="674743C8"/>
    <w:rsid w:val="675608B6"/>
    <w:rsid w:val="67754402"/>
    <w:rsid w:val="677D54ED"/>
    <w:rsid w:val="67B25E27"/>
    <w:rsid w:val="67B4646D"/>
    <w:rsid w:val="67C4383B"/>
    <w:rsid w:val="67D35E1A"/>
    <w:rsid w:val="67F35317"/>
    <w:rsid w:val="680201B7"/>
    <w:rsid w:val="68362BFB"/>
    <w:rsid w:val="683F1130"/>
    <w:rsid w:val="684456A1"/>
    <w:rsid w:val="685E1363"/>
    <w:rsid w:val="687731D1"/>
    <w:rsid w:val="6878475E"/>
    <w:rsid w:val="688E1089"/>
    <w:rsid w:val="68A026F3"/>
    <w:rsid w:val="68AF6C13"/>
    <w:rsid w:val="690E07C7"/>
    <w:rsid w:val="69236A65"/>
    <w:rsid w:val="692E469B"/>
    <w:rsid w:val="69315C48"/>
    <w:rsid w:val="694019EC"/>
    <w:rsid w:val="69584DB4"/>
    <w:rsid w:val="696C3D80"/>
    <w:rsid w:val="698A5EE4"/>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C234DED"/>
    <w:rsid w:val="6C29198B"/>
    <w:rsid w:val="6C3A67D1"/>
    <w:rsid w:val="6C3D2D5C"/>
    <w:rsid w:val="6C4800AA"/>
    <w:rsid w:val="6C4D28F8"/>
    <w:rsid w:val="6C573E9C"/>
    <w:rsid w:val="6C5C23DC"/>
    <w:rsid w:val="6C6D1126"/>
    <w:rsid w:val="6CA35B3A"/>
    <w:rsid w:val="6CA41A5D"/>
    <w:rsid w:val="6CA479DF"/>
    <w:rsid w:val="6CAF588C"/>
    <w:rsid w:val="6CB4638E"/>
    <w:rsid w:val="6CBF3C6A"/>
    <w:rsid w:val="6CBF5306"/>
    <w:rsid w:val="6CE70FA1"/>
    <w:rsid w:val="6CFA6351"/>
    <w:rsid w:val="6CFC3C40"/>
    <w:rsid w:val="6D480984"/>
    <w:rsid w:val="6DB13E57"/>
    <w:rsid w:val="6DC71662"/>
    <w:rsid w:val="6DCD5126"/>
    <w:rsid w:val="6DDB6CB0"/>
    <w:rsid w:val="6DE52ACD"/>
    <w:rsid w:val="6DFC0B44"/>
    <w:rsid w:val="6E0458E7"/>
    <w:rsid w:val="6E212037"/>
    <w:rsid w:val="6E3B221B"/>
    <w:rsid w:val="6E475779"/>
    <w:rsid w:val="6E7764EF"/>
    <w:rsid w:val="6EAD447C"/>
    <w:rsid w:val="6EAE5472"/>
    <w:rsid w:val="6ECD7F59"/>
    <w:rsid w:val="6EED7C80"/>
    <w:rsid w:val="6EF773A4"/>
    <w:rsid w:val="6F2F2D9E"/>
    <w:rsid w:val="6F4147D9"/>
    <w:rsid w:val="6F5C35EA"/>
    <w:rsid w:val="6F6B6A15"/>
    <w:rsid w:val="6F947E4B"/>
    <w:rsid w:val="6FA30BDA"/>
    <w:rsid w:val="6FB21D4C"/>
    <w:rsid w:val="6FB80698"/>
    <w:rsid w:val="6FC51141"/>
    <w:rsid w:val="701021F4"/>
    <w:rsid w:val="7024611F"/>
    <w:rsid w:val="70637B96"/>
    <w:rsid w:val="70797317"/>
    <w:rsid w:val="7099044B"/>
    <w:rsid w:val="709D518F"/>
    <w:rsid w:val="70C759D3"/>
    <w:rsid w:val="70CF2B23"/>
    <w:rsid w:val="70D70CB1"/>
    <w:rsid w:val="710952C1"/>
    <w:rsid w:val="71452CD8"/>
    <w:rsid w:val="7158683A"/>
    <w:rsid w:val="715B2F52"/>
    <w:rsid w:val="71764F23"/>
    <w:rsid w:val="71946576"/>
    <w:rsid w:val="71967E84"/>
    <w:rsid w:val="71A61873"/>
    <w:rsid w:val="71AF4936"/>
    <w:rsid w:val="71B12351"/>
    <w:rsid w:val="71D75D0F"/>
    <w:rsid w:val="721919B3"/>
    <w:rsid w:val="721A6098"/>
    <w:rsid w:val="721D18D3"/>
    <w:rsid w:val="72310D1A"/>
    <w:rsid w:val="725D6B54"/>
    <w:rsid w:val="72986FA0"/>
    <w:rsid w:val="72A17C99"/>
    <w:rsid w:val="72AD7197"/>
    <w:rsid w:val="72AF6F7E"/>
    <w:rsid w:val="72CD226C"/>
    <w:rsid w:val="73047904"/>
    <w:rsid w:val="734C1A6A"/>
    <w:rsid w:val="735C5949"/>
    <w:rsid w:val="73737DA5"/>
    <w:rsid w:val="73740A39"/>
    <w:rsid w:val="73887B3E"/>
    <w:rsid w:val="73892412"/>
    <w:rsid w:val="73AF2114"/>
    <w:rsid w:val="73E96BCA"/>
    <w:rsid w:val="73EE4A6E"/>
    <w:rsid w:val="741048BC"/>
    <w:rsid w:val="742E78D4"/>
    <w:rsid w:val="74317498"/>
    <w:rsid w:val="74335A84"/>
    <w:rsid w:val="74676A28"/>
    <w:rsid w:val="747E40B6"/>
    <w:rsid w:val="74AC3224"/>
    <w:rsid w:val="74BB2C83"/>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F09AA"/>
    <w:rsid w:val="764F3FCC"/>
    <w:rsid w:val="7650339F"/>
    <w:rsid w:val="76603C9A"/>
    <w:rsid w:val="76BB1CAB"/>
    <w:rsid w:val="76C04050"/>
    <w:rsid w:val="76E65049"/>
    <w:rsid w:val="77076007"/>
    <w:rsid w:val="77413F7E"/>
    <w:rsid w:val="7758241F"/>
    <w:rsid w:val="777A7D22"/>
    <w:rsid w:val="77835654"/>
    <w:rsid w:val="7797109C"/>
    <w:rsid w:val="779A2A38"/>
    <w:rsid w:val="77B4450A"/>
    <w:rsid w:val="77B46E73"/>
    <w:rsid w:val="77E37A12"/>
    <w:rsid w:val="77FE3468"/>
    <w:rsid w:val="78250553"/>
    <w:rsid w:val="78546F0C"/>
    <w:rsid w:val="78EE1C79"/>
    <w:rsid w:val="78FA66FA"/>
    <w:rsid w:val="79424F6E"/>
    <w:rsid w:val="797239CC"/>
    <w:rsid w:val="79831473"/>
    <w:rsid w:val="7999527A"/>
    <w:rsid w:val="79AF76C5"/>
    <w:rsid w:val="79C25EE1"/>
    <w:rsid w:val="79CE2967"/>
    <w:rsid w:val="79EA664C"/>
    <w:rsid w:val="79F9627A"/>
    <w:rsid w:val="7A2F3BBF"/>
    <w:rsid w:val="7A2F459A"/>
    <w:rsid w:val="7A517022"/>
    <w:rsid w:val="7A6F5001"/>
    <w:rsid w:val="7AA2343E"/>
    <w:rsid w:val="7ADA73A4"/>
    <w:rsid w:val="7AE66B99"/>
    <w:rsid w:val="7B0A3BCA"/>
    <w:rsid w:val="7B345AA9"/>
    <w:rsid w:val="7B4048C1"/>
    <w:rsid w:val="7B73082F"/>
    <w:rsid w:val="7BC62E00"/>
    <w:rsid w:val="7BE35E2A"/>
    <w:rsid w:val="7BF66C24"/>
    <w:rsid w:val="7BFA1CC7"/>
    <w:rsid w:val="7BFB70B3"/>
    <w:rsid w:val="7C0251DA"/>
    <w:rsid w:val="7C1052F2"/>
    <w:rsid w:val="7C2668D9"/>
    <w:rsid w:val="7C32497F"/>
    <w:rsid w:val="7C3C69AE"/>
    <w:rsid w:val="7C691974"/>
    <w:rsid w:val="7C8A6570"/>
    <w:rsid w:val="7C8B7390"/>
    <w:rsid w:val="7C9B0D0E"/>
    <w:rsid w:val="7CA42B03"/>
    <w:rsid w:val="7CD2318A"/>
    <w:rsid w:val="7CD2702A"/>
    <w:rsid w:val="7CD34C42"/>
    <w:rsid w:val="7CDE3FF9"/>
    <w:rsid w:val="7CE26EBF"/>
    <w:rsid w:val="7CEE3130"/>
    <w:rsid w:val="7D1F6674"/>
    <w:rsid w:val="7D480B34"/>
    <w:rsid w:val="7D777A3E"/>
    <w:rsid w:val="7D9005BC"/>
    <w:rsid w:val="7D9F0AD0"/>
    <w:rsid w:val="7DD12BB7"/>
    <w:rsid w:val="7DFF0955"/>
    <w:rsid w:val="7E0B750E"/>
    <w:rsid w:val="7E1939E8"/>
    <w:rsid w:val="7E2822EA"/>
    <w:rsid w:val="7E355A7B"/>
    <w:rsid w:val="7E6E3E85"/>
    <w:rsid w:val="7E833991"/>
    <w:rsid w:val="7E9C184B"/>
    <w:rsid w:val="7EA72948"/>
    <w:rsid w:val="7EB31EDB"/>
    <w:rsid w:val="7EE70CC0"/>
    <w:rsid w:val="7EEB48DB"/>
    <w:rsid w:val="7EF27444"/>
    <w:rsid w:val="7F265C58"/>
    <w:rsid w:val="7F4C461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b/>
      <w:bCs/>
      <w:kern w:val="44"/>
      <w:sz w:val="44"/>
      <w:szCs w:val="44"/>
    </w:rPr>
  </w:style>
  <w:style w:type="paragraph" w:styleId="5">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character" w:default="1" w:styleId="36">
    <w:name w:val="Default Paragraph Font"/>
    <w:semiHidden/>
    <w:unhideWhenUsed/>
    <w:qFormat/>
    <w:uiPriority w:val="1"/>
  </w:style>
  <w:style w:type="table" w:default="1" w:styleId="3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73"/>
    <w:qFormat/>
    <w:uiPriority w:val="0"/>
  </w:style>
  <w:style w:type="paragraph" w:customStyle="1" w:styleId="3">
    <w:name w:val="Default"/>
    <w:next w:val="1"/>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8">
    <w:name w:val="List Number"/>
    <w:basedOn w:val="1"/>
    <w:qFormat/>
    <w:uiPriority w:val="0"/>
    <w:pPr>
      <w:widowControl/>
      <w:spacing w:beforeAutospacing="1" w:afterAutospacing="1"/>
      <w:jc w:val="left"/>
    </w:pPr>
    <w:rPr>
      <w:rFonts w:ascii="宋体" w:hAnsi="宋体" w:cs="宋体"/>
      <w:kern w:val="0"/>
      <w:sz w:val="24"/>
    </w:rPr>
  </w:style>
  <w:style w:type="paragraph" w:styleId="9">
    <w:name w:val="Normal Indent"/>
    <w:basedOn w:val="1"/>
    <w:qFormat/>
    <w:uiPriority w:val="0"/>
    <w:pPr>
      <w:widowControl/>
      <w:spacing w:beforeAutospacing="1" w:afterAutospacing="1"/>
      <w:jc w:val="left"/>
    </w:pPr>
    <w:rPr>
      <w:rFonts w:ascii="宋体" w:hAnsi="宋体" w:cs="宋体"/>
      <w:kern w:val="0"/>
      <w:sz w:val="24"/>
    </w:rPr>
  </w:style>
  <w:style w:type="paragraph" w:styleId="10">
    <w:name w:val="Document Map"/>
    <w:basedOn w:val="1"/>
    <w:link w:val="75"/>
    <w:qFormat/>
    <w:uiPriority w:val="0"/>
    <w:rPr>
      <w:rFonts w:ascii="宋体" w:hAnsi="Calibri"/>
      <w:sz w:val="18"/>
      <w:szCs w:val="18"/>
    </w:rPr>
  </w:style>
  <w:style w:type="paragraph" w:styleId="11">
    <w:name w:val="annotation text"/>
    <w:basedOn w:val="1"/>
    <w:qFormat/>
    <w:uiPriority w:val="0"/>
    <w:pPr>
      <w:jc w:val="left"/>
    </w:pPr>
  </w:style>
  <w:style w:type="paragraph" w:styleId="12">
    <w:name w:val="Body Text 3"/>
    <w:basedOn w:val="1"/>
    <w:qFormat/>
    <w:uiPriority w:val="0"/>
    <w:rPr>
      <w:sz w:val="16"/>
      <w:szCs w:val="16"/>
    </w:rPr>
  </w:style>
  <w:style w:type="paragraph" w:styleId="13">
    <w:name w:val="Body Text Indent"/>
    <w:basedOn w:val="1"/>
    <w:next w:val="14"/>
    <w:qFormat/>
    <w:uiPriority w:val="0"/>
    <w:pPr>
      <w:widowControl/>
      <w:spacing w:beforeAutospacing="1" w:afterAutospacing="1"/>
      <w:jc w:val="left"/>
    </w:pPr>
    <w:rPr>
      <w:rFonts w:ascii="宋体" w:hAnsi="宋体" w:cs="宋体"/>
      <w:kern w:val="0"/>
      <w:sz w:val="24"/>
    </w:rPr>
  </w:style>
  <w:style w:type="paragraph" w:customStyle="1" w:styleId="14">
    <w:name w:val="目录 51"/>
    <w:next w:val="1"/>
    <w:qFormat/>
    <w:uiPriority w:val="0"/>
    <w:pPr>
      <w:wordWrap w:val="0"/>
      <w:ind w:left="1700"/>
      <w:jc w:val="both"/>
    </w:pPr>
    <w:rPr>
      <w:rFonts w:ascii="Times New Roman" w:hAnsi="Times New Roman" w:eastAsia="Calibri" w:cs="Times New Roman"/>
      <w:sz w:val="21"/>
      <w:lang w:val="en-US" w:eastAsia="zh-CN" w:bidi="ar-SA"/>
    </w:rPr>
  </w:style>
  <w:style w:type="paragraph" w:styleId="15">
    <w:name w:val="List 2"/>
    <w:basedOn w:val="1"/>
    <w:qFormat/>
    <w:uiPriority w:val="0"/>
    <w:pPr>
      <w:ind w:left="100" w:leftChars="200" w:hanging="200" w:hangingChars="200"/>
    </w:pPr>
  </w:style>
  <w:style w:type="paragraph" w:styleId="16">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7">
    <w:name w:val="toc 3"/>
    <w:basedOn w:val="1"/>
    <w:next w:val="1"/>
    <w:qFormat/>
    <w:uiPriority w:val="0"/>
    <w:pPr>
      <w:tabs>
        <w:tab w:val="left" w:pos="709"/>
        <w:tab w:val="right" w:leader="dot" w:pos="8789"/>
      </w:tabs>
      <w:spacing w:line="400" w:lineRule="atLeast"/>
    </w:pPr>
    <w:rPr>
      <w:rFonts w:ascii="宋体"/>
      <w:kern w:val="0"/>
      <w:szCs w:val="20"/>
    </w:rPr>
  </w:style>
  <w:style w:type="paragraph" w:styleId="18">
    <w:name w:val="Plain Text"/>
    <w:basedOn w:val="1"/>
    <w:qFormat/>
    <w:uiPriority w:val="0"/>
    <w:pPr>
      <w:widowControl/>
      <w:spacing w:beforeAutospacing="1" w:afterAutospacing="1"/>
      <w:jc w:val="left"/>
    </w:pPr>
    <w:rPr>
      <w:rFonts w:ascii="宋体" w:hAnsi="宋体" w:cs="宋体"/>
      <w:kern w:val="0"/>
      <w:sz w:val="24"/>
    </w:rPr>
  </w:style>
  <w:style w:type="paragraph" w:styleId="19">
    <w:name w:val="Date"/>
    <w:basedOn w:val="1"/>
    <w:next w:val="1"/>
    <w:qFormat/>
    <w:uiPriority w:val="0"/>
    <w:pPr>
      <w:ind w:left="100" w:leftChars="2500"/>
    </w:pPr>
    <w:rPr>
      <w:rFonts w:ascii="宋体" w:hAnsi="宋体"/>
      <w:sz w:val="28"/>
    </w:rPr>
  </w:style>
  <w:style w:type="paragraph" w:styleId="20">
    <w:name w:val="Body Text Indent 2"/>
    <w:basedOn w:val="1"/>
    <w:qFormat/>
    <w:uiPriority w:val="0"/>
    <w:pPr>
      <w:spacing w:line="480" w:lineRule="auto"/>
      <w:ind w:left="420" w:leftChars="200"/>
    </w:p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envelope return"/>
    <w:basedOn w:val="1"/>
    <w:unhideWhenUsed/>
    <w:qFormat/>
    <w:uiPriority w:val="99"/>
    <w:pPr>
      <w:snapToGrid w:val="0"/>
    </w:pPr>
    <w:rPr>
      <w:rFonts w:ascii="Arial" w:hAnsi="Arial"/>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0"/>
  </w:style>
  <w:style w:type="paragraph" w:styleId="25">
    <w:name w:val="List"/>
    <w:basedOn w:val="1"/>
    <w:qFormat/>
    <w:uiPriority w:val="0"/>
    <w:pPr>
      <w:ind w:left="200" w:hanging="200" w:hangingChars="200"/>
    </w:pPr>
  </w:style>
  <w:style w:type="paragraph" w:styleId="26">
    <w:name w:val="Body Text 2"/>
    <w:basedOn w:val="1"/>
    <w:next w:val="2"/>
    <w:qFormat/>
    <w:uiPriority w:val="0"/>
    <w:pPr>
      <w:spacing w:line="480" w:lineRule="auto"/>
    </w:pPr>
  </w:style>
  <w:style w:type="paragraph" w:styleId="27">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9">
    <w:name w:val="Normal (Web)"/>
    <w:basedOn w:val="1"/>
    <w:qFormat/>
    <w:uiPriority w:val="99"/>
    <w:pPr>
      <w:spacing w:before="100" w:beforeAutospacing="1" w:after="100" w:afterAutospacing="1"/>
      <w:jc w:val="left"/>
    </w:pPr>
    <w:rPr>
      <w:kern w:val="0"/>
      <w:sz w:val="24"/>
    </w:rPr>
  </w:style>
  <w:style w:type="paragraph" w:styleId="30">
    <w:name w:val="Title"/>
    <w:basedOn w:val="1"/>
    <w:qFormat/>
    <w:uiPriority w:val="0"/>
    <w:pPr>
      <w:jc w:val="center"/>
      <w:outlineLvl w:val="0"/>
    </w:pPr>
    <w:rPr>
      <w:rFonts w:ascii="Arial" w:hAnsi="Arial" w:cs="Arial"/>
      <w:b/>
      <w:bCs/>
      <w:sz w:val="32"/>
      <w:szCs w:val="32"/>
    </w:rPr>
  </w:style>
  <w:style w:type="paragraph" w:styleId="31">
    <w:name w:val="Body Text First Indent"/>
    <w:basedOn w:val="2"/>
    <w:next w:val="1"/>
    <w:qFormat/>
    <w:uiPriority w:val="0"/>
    <w:pPr>
      <w:spacing w:line="360" w:lineRule="auto"/>
      <w:ind w:firstLine="420" w:firstLineChars="100"/>
    </w:pPr>
    <w:rPr>
      <w:szCs w:val="21"/>
    </w:rPr>
  </w:style>
  <w:style w:type="paragraph" w:styleId="32">
    <w:name w:val="Body Text First Indent 2"/>
    <w:basedOn w:val="13"/>
    <w:next w:val="33"/>
    <w:qFormat/>
    <w:uiPriority w:val="0"/>
    <w:pPr>
      <w:ind w:firstLine="420" w:firstLineChars="200"/>
    </w:pPr>
  </w:style>
  <w:style w:type="paragraph" w:customStyle="1" w:styleId="33">
    <w:name w:val="样式 正文首行缩进 2 + Arial"/>
    <w:basedOn w:val="1"/>
    <w:next w:val="1"/>
    <w:qFormat/>
    <w:uiPriority w:val="0"/>
    <w:pPr>
      <w:spacing w:after="120" w:line="320" w:lineRule="atLeast"/>
      <w:ind w:firstLine="200" w:firstLineChars="200"/>
    </w:pPr>
    <w:rPr>
      <w:rFonts w:ascii="Arial" w:hAnsi="Arial"/>
      <w:kern w:val="0"/>
    </w:rPr>
  </w:style>
  <w:style w:type="table" w:styleId="35">
    <w:name w:val="Table Grid"/>
    <w:basedOn w:val="3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7">
    <w:name w:val="Strong"/>
    <w:qFormat/>
    <w:uiPriority w:val="0"/>
    <w:rPr>
      <w:b/>
      <w:bCs/>
      <w:szCs w:val="24"/>
    </w:rPr>
  </w:style>
  <w:style w:type="character" w:styleId="38">
    <w:name w:val="page number"/>
    <w:basedOn w:val="36"/>
    <w:qFormat/>
    <w:uiPriority w:val="0"/>
  </w:style>
  <w:style w:type="character" w:styleId="39">
    <w:name w:val="FollowedHyperlink"/>
    <w:qFormat/>
    <w:uiPriority w:val="0"/>
    <w:rPr>
      <w:color w:val="333333"/>
      <w:szCs w:val="24"/>
      <w:u w:val="none"/>
    </w:rPr>
  </w:style>
  <w:style w:type="character" w:styleId="40">
    <w:name w:val="Emphasis"/>
    <w:basedOn w:val="36"/>
    <w:qFormat/>
    <w:uiPriority w:val="0"/>
  </w:style>
  <w:style w:type="character" w:styleId="41">
    <w:name w:val="HTML Definition"/>
    <w:basedOn w:val="36"/>
    <w:qFormat/>
    <w:uiPriority w:val="0"/>
  </w:style>
  <w:style w:type="character" w:styleId="42">
    <w:name w:val="HTML Typewriter"/>
    <w:basedOn w:val="36"/>
    <w:qFormat/>
    <w:uiPriority w:val="0"/>
    <w:rPr>
      <w:rFonts w:hint="default" w:ascii="monospace" w:hAnsi="monospace" w:eastAsia="monospace" w:cs="monospace"/>
      <w:sz w:val="20"/>
    </w:rPr>
  </w:style>
  <w:style w:type="character" w:styleId="43">
    <w:name w:val="HTML Acronym"/>
    <w:basedOn w:val="36"/>
    <w:qFormat/>
    <w:uiPriority w:val="0"/>
  </w:style>
  <w:style w:type="character" w:styleId="44">
    <w:name w:val="HTML Variable"/>
    <w:basedOn w:val="36"/>
    <w:qFormat/>
    <w:uiPriority w:val="0"/>
  </w:style>
  <w:style w:type="character" w:styleId="45">
    <w:name w:val="Hyperlink"/>
    <w:basedOn w:val="36"/>
    <w:qFormat/>
    <w:uiPriority w:val="0"/>
    <w:rPr>
      <w:color w:val="333333"/>
      <w:szCs w:val="24"/>
      <w:u w:val="none"/>
    </w:rPr>
  </w:style>
  <w:style w:type="character" w:styleId="46">
    <w:name w:val="HTML Code"/>
    <w:basedOn w:val="36"/>
    <w:qFormat/>
    <w:uiPriority w:val="0"/>
    <w:rPr>
      <w:rFonts w:ascii="monospace" w:hAnsi="monospace" w:eastAsia="monospace" w:cs="monospace"/>
      <w:sz w:val="20"/>
    </w:rPr>
  </w:style>
  <w:style w:type="character" w:styleId="47">
    <w:name w:val="HTML Cite"/>
    <w:basedOn w:val="36"/>
    <w:qFormat/>
    <w:uiPriority w:val="0"/>
  </w:style>
  <w:style w:type="character" w:styleId="48">
    <w:name w:val="HTML Keyboard"/>
    <w:basedOn w:val="36"/>
    <w:qFormat/>
    <w:uiPriority w:val="0"/>
    <w:rPr>
      <w:rFonts w:hint="default" w:ascii="monospace" w:hAnsi="monospace" w:eastAsia="monospace" w:cs="monospace"/>
      <w:sz w:val="20"/>
    </w:rPr>
  </w:style>
  <w:style w:type="character" w:styleId="49">
    <w:name w:val="HTML Sample"/>
    <w:basedOn w:val="36"/>
    <w:qFormat/>
    <w:uiPriority w:val="0"/>
    <w:rPr>
      <w:rFonts w:hint="default" w:ascii="monospace" w:hAnsi="monospace" w:eastAsia="monospace" w:cs="monospace"/>
    </w:rPr>
  </w:style>
  <w:style w:type="paragraph" w:customStyle="1" w:styleId="50">
    <w:name w:val="No Spacing1"/>
    <w:basedOn w:val="1"/>
    <w:qFormat/>
    <w:uiPriority w:val="0"/>
    <w:pPr>
      <w:spacing w:line="400" w:lineRule="exact"/>
    </w:pPr>
    <w:rPr>
      <w:sz w:val="24"/>
    </w:rPr>
  </w:style>
  <w:style w:type="paragraph" w:customStyle="1" w:styleId="51">
    <w:name w:val="大标题"/>
    <w:basedOn w:val="1"/>
    <w:next w:val="32"/>
    <w:qFormat/>
    <w:uiPriority w:val="0"/>
    <w:pPr>
      <w:jc w:val="center"/>
    </w:pPr>
    <w:rPr>
      <w:rFonts w:ascii="Arial" w:hAnsi="Arial"/>
      <w:b/>
      <w:sz w:val="28"/>
    </w:rPr>
  </w:style>
  <w:style w:type="paragraph" w:customStyle="1" w:styleId="52">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3">
    <w:name w:val="Char"/>
    <w:basedOn w:val="1"/>
    <w:qFormat/>
    <w:uiPriority w:val="0"/>
  </w:style>
  <w:style w:type="paragraph" w:customStyle="1" w:styleId="54">
    <w:name w:val="正文缩进1"/>
    <w:basedOn w:val="1"/>
    <w:qFormat/>
    <w:uiPriority w:val="0"/>
    <w:pPr>
      <w:widowControl/>
      <w:ind w:firstLine="420"/>
      <w:jc w:val="left"/>
    </w:pPr>
    <w:rPr>
      <w:kern w:val="0"/>
      <w:szCs w:val="20"/>
    </w:rPr>
  </w:style>
  <w:style w:type="paragraph" w:customStyle="1" w:styleId="55">
    <w:name w:val="列出段落2"/>
    <w:basedOn w:val="1"/>
    <w:qFormat/>
    <w:uiPriority w:val="34"/>
    <w:pPr>
      <w:ind w:firstLine="420" w:firstLineChars="200"/>
    </w:pPr>
  </w:style>
  <w:style w:type="paragraph" w:customStyle="1" w:styleId="56">
    <w:name w:val="plaintext"/>
    <w:basedOn w:val="1"/>
    <w:qFormat/>
    <w:uiPriority w:val="0"/>
    <w:pPr>
      <w:widowControl/>
      <w:spacing w:beforeAutospacing="1" w:afterAutospacing="1"/>
      <w:jc w:val="left"/>
    </w:pPr>
    <w:rPr>
      <w:rFonts w:ascii="宋体" w:hAnsi="宋体" w:cs="宋体"/>
      <w:kern w:val="0"/>
      <w:sz w:val="24"/>
    </w:rPr>
  </w:style>
  <w:style w:type="paragraph" w:customStyle="1" w:styleId="57">
    <w:name w:val="1"/>
    <w:basedOn w:val="1"/>
    <w:qFormat/>
    <w:uiPriority w:val="0"/>
    <w:pPr>
      <w:widowControl/>
      <w:spacing w:beforeAutospacing="1" w:afterAutospacing="1"/>
      <w:jc w:val="left"/>
    </w:pPr>
    <w:rPr>
      <w:rFonts w:ascii="宋体" w:hAnsi="宋体" w:cs="宋体"/>
      <w:kern w:val="0"/>
      <w:sz w:val="24"/>
    </w:rPr>
  </w:style>
  <w:style w:type="paragraph" w:styleId="58">
    <w:name w:val="No Spacing"/>
    <w:qFormat/>
    <w:uiPriority w:val="1"/>
    <w:rPr>
      <w:rFonts w:ascii="Calibri" w:hAnsi="Calibri" w:eastAsia="宋体" w:cs="Times New Roman"/>
      <w:sz w:val="22"/>
      <w:szCs w:val="22"/>
      <w:lang w:val="en-US" w:eastAsia="zh-CN" w:bidi="ar-SA"/>
    </w:rPr>
  </w:style>
  <w:style w:type="paragraph" w:customStyle="1" w:styleId="59">
    <w:name w:val="_Style 2"/>
    <w:basedOn w:val="1"/>
    <w:qFormat/>
    <w:uiPriority w:val="34"/>
    <w:pPr>
      <w:ind w:firstLine="420" w:firstLineChars="200"/>
    </w:pPr>
    <w:rPr>
      <w:rFonts w:ascii="Calibri" w:hAnsi="Calibri"/>
    </w:rPr>
  </w:style>
  <w:style w:type="paragraph" w:customStyle="1" w:styleId="60">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1">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2">
    <w:name w:val="Char1"/>
    <w:basedOn w:val="1"/>
    <w:qFormat/>
    <w:uiPriority w:val="0"/>
  </w:style>
  <w:style w:type="paragraph" w:customStyle="1" w:styleId="63">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4">
    <w:name w:val="Table Paragraph"/>
    <w:basedOn w:val="1"/>
    <w:qFormat/>
    <w:uiPriority w:val="1"/>
    <w:pPr>
      <w:jc w:val="left"/>
    </w:pPr>
    <w:rPr>
      <w:rFonts w:ascii="宋体" w:hAnsi="宋体" w:cs="宋体"/>
      <w:kern w:val="0"/>
      <w:sz w:val="22"/>
      <w:szCs w:val="22"/>
      <w:lang w:eastAsia="en-US"/>
    </w:rPr>
  </w:style>
  <w:style w:type="paragraph" w:customStyle="1" w:styleId="65">
    <w:name w:val="无间隔1"/>
    <w:basedOn w:val="1"/>
    <w:qFormat/>
    <w:uiPriority w:val="1"/>
    <w:pPr>
      <w:spacing w:line="400" w:lineRule="exact"/>
    </w:pPr>
    <w:rPr>
      <w:sz w:val="24"/>
    </w:rPr>
  </w:style>
  <w:style w:type="paragraph" w:customStyle="1" w:styleId="66">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7">
    <w:name w:val="3"/>
    <w:basedOn w:val="1"/>
    <w:qFormat/>
    <w:uiPriority w:val="0"/>
    <w:pPr>
      <w:widowControl/>
      <w:spacing w:beforeAutospacing="1" w:afterAutospacing="1"/>
      <w:jc w:val="left"/>
    </w:pPr>
    <w:rPr>
      <w:rFonts w:ascii="宋体" w:hAnsi="宋体" w:cs="宋体"/>
      <w:kern w:val="0"/>
      <w:sz w:val="24"/>
    </w:rPr>
  </w:style>
  <w:style w:type="paragraph" w:customStyle="1" w:styleId="68">
    <w:name w:val="列出段落1"/>
    <w:basedOn w:val="1"/>
    <w:qFormat/>
    <w:uiPriority w:val="34"/>
    <w:pPr>
      <w:ind w:firstLine="420" w:firstLineChars="200"/>
    </w:pPr>
  </w:style>
  <w:style w:type="paragraph" w:customStyle="1" w:styleId="69">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70">
    <w:name w:val="a0"/>
    <w:basedOn w:val="1"/>
    <w:qFormat/>
    <w:uiPriority w:val="0"/>
    <w:pPr>
      <w:widowControl/>
      <w:spacing w:beforeAutospacing="1" w:afterAutospacing="1"/>
      <w:jc w:val="left"/>
    </w:pPr>
    <w:rPr>
      <w:rFonts w:ascii="宋体" w:hAnsi="宋体" w:cs="宋体"/>
      <w:kern w:val="0"/>
      <w:sz w:val="24"/>
    </w:rPr>
  </w:style>
  <w:style w:type="paragraph" w:customStyle="1" w:styleId="71">
    <w:name w:val="default"/>
    <w:basedOn w:val="1"/>
    <w:qFormat/>
    <w:uiPriority w:val="0"/>
    <w:pPr>
      <w:widowControl/>
      <w:spacing w:beforeAutospacing="1" w:afterAutospacing="1"/>
      <w:jc w:val="left"/>
    </w:pPr>
    <w:rPr>
      <w:rFonts w:ascii="宋体" w:hAnsi="宋体" w:cs="宋体"/>
      <w:kern w:val="0"/>
      <w:sz w:val="24"/>
    </w:rPr>
  </w:style>
  <w:style w:type="paragraph" w:customStyle="1" w:styleId="72">
    <w:name w:val="列出段落11"/>
    <w:basedOn w:val="1"/>
    <w:qFormat/>
    <w:uiPriority w:val="0"/>
    <w:pPr>
      <w:ind w:firstLine="420" w:firstLineChars="200"/>
    </w:pPr>
    <w:rPr>
      <w:rFonts w:ascii="Calibri" w:hAnsi="Calibri"/>
      <w:szCs w:val="22"/>
    </w:rPr>
  </w:style>
  <w:style w:type="character" w:customStyle="1" w:styleId="73">
    <w:name w:val="正文文本 Char"/>
    <w:basedOn w:val="36"/>
    <w:link w:val="2"/>
    <w:qFormat/>
    <w:uiPriority w:val="0"/>
  </w:style>
  <w:style w:type="character" w:customStyle="1" w:styleId="74">
    <w:name w:val="apple-converted-space"/>
    <w:basedOn w:val="36"/>
    <w:qFormat/>
    <w:uiPriority w:val="0"/>
  </w:style>
  <w:style w:type="character" w:customStyle="1" w:styleId="75">
    <w:name w:val="文档结构图 Char"/>
    <w:link w:val="10"/>
    <w:qFormat/>
    <w:uiPriority w:val="0"/>
    <w:rPr>
      <w:rFonts w:ascii="宋体"/>
      <w:kern w:val="2"/>
      <w:sz w:val="18"/>
      <w:szCs w:val="18"/>
    </w:rPr>
  </w:style>
  <w:style w:type="character" w:customStyle="1" w:styleId="76">
    <w:name w:val="不明显强调1"/>
    <w:qFormat/>
    <w:uiPriority w:val="19"/>
    <w:rPr>
      <w:i/>
      <w:iCs/>
      <w:color w:val="7F7F7F"/>
      <w:szCs w:val="24"/>
    </w:rPr>
  </w:style>
  <w:style w:type="character" w:customStyle="1" w:styleId="77">
    <w:name w:val="font71"/>
    <w:qFormat/>
    <w:uiPriority w:val="0"/>
    <w:rPr>
      <w:rFonts w:hint="eastAsia" w:ascii="宋体" w:hAnsi="宋体" w:eastAsia="宋体" w:cs="宋体"/>
      <w:color w:val="000000"/>
      <w:sz w:val="28"/>
      <w:szCs w:val="28"/>
      <w:u w:val="none"/>
    </w:rPr>
  </w:style>
  <w:style w:type="character" w:customStyle="1" w:styleId="78">
    <w:name w:val="font21"/>
    <w:qFormat/>
    <w:uiPriority w:val="0"/>
    <w:rPr>
      <w:rFonts w:hint="default" w:ascii="Calibri" w:hAnsi="Calibri" w:cs="Calibri"/>
      <w:color w:val="000000"/>
      <w:sz w:val="28"/>
      <w:szCs w:val="28"/>
      <w:u w:val="none"/>
    </w:rPr>
  </w:style>
  <w:style w:type="character" w:customStyle="1" w:styleId="79">
    <w:name w:val="17"/>
    <w:qFormat/>
    <w:uiPriority w:val="0"/>
    <w:rPr>
      <w:rFonts w:hint="eastAsia" w:ascii="宋体" w:hAnsi="宋体" w:eastAsia="宋体"/>
      <w:color w:val="000000"/>
    </w:rPr>
  </w:style>
  <w:style w:type="character" w:customStyle="1" w:styleId="80">
    <w:name w:val="font91"/>
    <w:qFormat/>
    <w:uiPriority w:val="0"/>
    <w:rPr>
      <w:rFonts w:hint="eastAsia" w:ascii="宋体" w:hAnsi="宋体" w:eastAsia="宋体" w:cs="宋体"/>
      <w:color w:val="FF0000"/>
      <w:sz w:val="28"/>
      <w:szCs w:val="28"/>
      <w:u w:val="none"/>
    </w:rPr>
  </w:style>
  <w:style w:type="paragraph" w:customStyle="1" w:styleId="81">
    <w:name w:val="p"/>
    <w:basedOn w:val="1"/>
    <w:qFormat/>
    <w:uiPriority w:val="0"/>
    <w:pPr>
      <w:widowControl/>
      <w:spacing w:line="432" w:lineRule="auto"/>
      <w:jc w:val="left"/>
    </w:pPr>
    <w:rPr>
      <w:rFonts w:ascii="宋体" w:hAnsi="宋体" w:cs="宋体"/>
      <w:kern w:val="0"/>
      <w:sz w:val="24"/>
    </w:rPr>
  </w:style>
  <w:style w:type="paragraph" w:customStyle="1" w:styleId="82">
    <w:name w:val="WPSOffice手动目录 1"/>
    <w:qFormat/>
    <w:uiPriority w:val="0"/>
    <w:rPr>
      <w:rFonts w:ascii="Times New Roman" w:hAnsi="Times New Roman" w:eastAsia="宋体" w:cs="Times New Roman"/>
      <w:lang w:val="en-US" w:eastAsia="zh-CN" w:bidi="ar-SA"/>
    </w:rPr>
  </w:style>
  <w:style w:type="paragraph" w:customStyle="1" w:styleId="83">
    <w:name w:val="*正文_1"/>
    <w:basedOn w:val="1"/>
    <w:next w:val="1"/>
    <w:qFormat/>
    <w:uiPriority w:val="0"/>
    <w:pPr>
      <w:widowControl/>
      <w:ind w:firstLine="482"/>
    </w:pPr>
    <w:rPr>
      <w:rFonts w:ascii="微软雅黑" w:hAnsi="微软雅黑" w:eastAsia="微软雅黑"/>
      <w:kern w:val="0"/>
      <w:szCs w:val="20"/>
    </w:rPr>
  </w:style>
  <w:style w:type="paragraph" w:customStyle="1" w:styleId="84">
    <w:name w:val="表格文字"/>
    <w:basedOn w:val="1"/>
    <w:next w:val="2"/>
    <w:qFormat/>
    <w:uiPriority w:val="0"/>
    <w:pPr>
      <w:adjustRightInd w:val="0"/>
      <w:spacing w:line="420" w:lineRule="atLeast"/>
      <w:jc w:val="left"/>
      <w:textAlignment w:val="baseline"/>
    </w:pPr>
    <w:rPr>
      <w:kern w:val="0"/>
      <w:szCs w:val="20"/>
    </w:rPr>
  </w:style>
  <w:style w:type="character" w:customStyle="1" w:styleId="85">
    <w:name w:val="NormalCharacter"/>
    <w:semiHidden/>
    <w:qFormat/>
    <w:uiPriority w:val="0"/>
    <w:rPr>
      <w:rFonts w:ascii="Times New Roman" w:hAnsi="Times New Roman" w:eastAsia="宋体" w:cs="Times New Roman"/>
      <w:kern w:val="2"/>
      <w:sz w:val="21"/>
      <w:szCs w:val="24"/>
      <w:lang w:val="en-US" w:eastAsia="zh-CN" w:bidi="ar-SA"/>
    </w:rPr>
  </w:style>
  <w:style w:type="paragraph" w:customStyle="1" w:styleId="86">
    <w:name w:val="列表段落1"/>
    <w:basedOn w:val="1"/>
    <w:qFormat/>
    <w:uiPriority w:val="34"/>
    <w:pPr>
      <w:widowControl/>
      <w:ind w:firstLine="420"/>
      <w:jc w:val="left"/>
    </w:pPr>
    <w:rPr>
      <w:kern w:val="0"/>
    </w:rPr>
  </w:style>
  <w:style w:type="paragraph" w:styleId="87">
    <w:name w:val="List Paragraph"/>
    <w:basedOn w:val="1"/>
    <w:qFormat/>
    <w:uiPriority w:val="34"/>
    <w:pPr>
      <w:ind w:firstLine="420" w:firstLineChars="200"/>
    </w:pPr>
  </w:style>
  <w:style w:type="character" w:customStyle="1" w:styleId="88">
    <w:name w:val="hover18"/>
    <w:basedOn w:val="36"/>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31</Pages>
  <Words>14097</Words>
  <Characters>14793</Characters>
  <Lines>50</Lines>
  <Paragraphs>68</Paragraphs>
  <TotalTime>7</TotalTime>
  <ScaleCrop>false</ScaleCrop>
  <LinksUpToDate>false</LinksUpToDate>
  <CharactersWithSpaces>15877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admin</cp:lastModifiedBy>
  <cp:lastPrinted>2021-09-30T00:46:00Z</cp:lastPrinted>
  <dcterms:modified xsi:type="dcterms:W3CDTF">2022-06-17T02:38:01Z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1851269FF45849BC9D1DBC1B82455561</vt:lpwstr>
  </property>
</Properties>
</file>