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9"/>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sz w:val="48"/>
          <w:szCs w:val="48"/>
          <w:lang w:val="en-US" w:eastAsia="zh-CN"/>
        </w:rPr>
      </w:pPr>
      <w:bookmarkStart w:id="0" w:name="_Toc22804073"/>
      <w:bookmarkEnd w:id="0"/>
      <w:bookmarkStart w:id="1" w:name="_Toc22953395"/>
      <w:bookmarkEnd w:id="1"/>
    </w:p>
    <w:p>
      <w:pPr>
        <w:pStyle w:val="19"/>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default" w:ascii="宋体" w:hAnsi="宋体" w:eastAsia="宋体" w:cs="宋体"/>
          <w:b/>
          <w:bCs/>
          <w:sz w:val="48"/>
          <w:szCs w:val="48"/>
          <w:lang w:val="en-US"/>
        </w:rPr>
      </w:pPr>
      <w:r>
        <w:rPr>
          <w:rFonts w:hint="eastAsia" w:cs="宋体"/>
          <w:b/>
          <w:bCs/>
          <w:sz w:val="48"/>
          <w:szCs w:val="48"/>
          <w:lang w:val="en-US" w:eastAsia="zh-CN"/>
        </w:rPr>
        <w:t>驻马店市中心医院四号楼广场景观设计项目</w:t>
      </w:r>
    </w:p>
    <w:p>
      <w:pPr>
        <w:pStyle w:val="19"/>
        <w:bidi w:val="0"/>
        <w:jc w:val="center"/>
        <w:rPr>
          <w:rStyle w:val="44"/>
          <w:rFonts w:hint="eastAsia" w:ascii="宋体" w:hAnsi="宋体" w:eastAsia="宋体" w:cs="宋体"/>
          <w:b/>
          <w:bCs/>
          <w:color w:val="auto"/>
          <w:sz w:val="48"/>
          <w:szCs w:val="48"/>
        </w:rPr>
      </w:pPr>
    </w:p>
    <w:p>
      <w:pPr>
        <w:pStyle w:val="19"/>
        <w:bidi w:val="0"/>
        <w:jc w:val="center"/>
        <w:rPr>
          <w:rStyle w:val="44"/>
          <w:rFonts w:hint="eastAsia" w:ascii="宋体" w:hAnsi="宋体" w:eastAsia="宋体" w:cs="宋体"/>
          <w:b/>
          <w:bCs/>
          <w:color w:val="auto"/>
          <w:sz w:val="48"/>
          <w:szCs w:val="48"/>
        </w:rPr>
      </w:pPr>
    </w:p>
    <w:p>
      <w:pPr>
        <w:pStyle w:val="19"/>
        <w:bidi w:val="0"/>
        <w:jc w:val="center"/>
        <w:rPr>
          <w:rStyle w:val="44"/>
          <w:rFonts w:hint="eastAsia" w:ascii="宋体" w:hAnsi="宋体" w:eastAsia="宋体" w:cs="宋体"/>
          <w:b/>
          <w:bCs/>
          <w:color w:val="auto"/>
          <w:sz w:val="48"/>
          <w:szCs w:val="48"/>
        </w:rPr>
      </w:pPr>
    </w:p>
    <w:p>
      <w:pPr>
        <w:pStyle w:val="19"/>
        <w:bidi w:val="0"/>
        <w:jc w:val="center"/>
        <w:rPr>
          <w:rStyle w:val="44"/>
          <w:rFonts w:hint="eastAsia" w:ascii="宋体" w:hAnsi="宋体" w:eastAsia="宋体" w:cs="宋体"/>
          <w:b/>
          <w:bCs/>
          <w:color w:val="auto"/>
          <w:sz w:val="48"/>
          <w:szCs w:val="48"/>
        </w:rPr>
      </w:pPr>
    </w:p>
    <w:p>
      <w:pPr>
        <w:pStyle w:val="19"/>
        <w:bidi w:val="0"/>
        <w:jc w:val="center"/>
        <w:rPr>
          <w:rStyle w:val="44"/>
          <w:rFonts w:hint="eastAsia" w:ascii="宋体" w:hAnsi="宋体" w:eastAsia="宋体" w:cs="宋体"/>
          <w:b/>
          <w:bCs/>
          <w:color w:val="auto"/>
          <w:szCs w:val="44"/>
        </w:rPr>
      </w:pPr>
      <w:r>
        <w:rPr>
          <w:rStyle w:val="44"/>
          <w:rFonts w:hint="eastAsia" w:cs="宋体"/>
          <w:b/>
          <w:bCs/>
          <w:color w:val="auto"/>
          <w:sz w:val="72"/>
          <w:szCs w:val="72"/>
          <w:lang w:val="en-US" w:eastAsia="zh-CN"/>
        </w:rPr>
        <w:t>采购</w:t>
      </w:r>
      <w:r>
        <w:rPr>
          <w:rStyle w:val="44"/>
          <w:rFonts w:hint="eastAsia" w:ascii="宋体" w:hAnsi="宋体" w:eastAsia="宋体" w:cs="宋体"/>
          <w:b/>
          <w:bCs/>
          <w:color w:val="auto"/>
          <w:sz w:val="72"/>
          <w:szCs w:val="72"/>
        </w:rPr>
        <w:t>文件</w:t>
      </w:r>
    </w:p>
    <w:p>
      <w:pPr>
        <w:tabs>
          <w:tab w:val="left" w:pos="2700"/>
          <w:tab w:val="left" w:pos="2880"/>
          <w:tab w:val="left" w:pos="3060"/>
          <w:tab w:val="left" w:pos="7560"/>
        </w:tabs>
        <w:snapToGrid w:val="0"/>
        <w:spacing w:line="360" w:lineRule="auto"/>
        <w:ind w:firstLine="1928" w:firstLineChars="600"/>
        <w:jc w:val="both"/>
        <w:rPr>
          <w:rFonts w:hint="eastAsia" w:ascii="宋体" w:hAnsi="宋体" w:eastAsia="宋体" w:cs="宋体"/>
          <w:b/>
          <w:bCs/>
          <w:spacing w:val="-10"/>
          <w:sz w:val="34"/>
          <w:szCs w:val="34"/>
          <w:lang w:val="en-US" w:eastAsia="zh-CN"/>
        </w:rPr>
      </w:pPr>
    </w:p>
    <w:p>
      <w:pPr>
        <w:snapToGrid w:val="0"/>
        <w:spacing w:line="380" w:lineRule="exact"/>
        <w:jc w:val="center"/>
        <w:rPr>
          <w:rFonts w:hint="eastAsia" w:ascii="宋体" w:hAnsi="宋体" w:eastAsia="宋体" w:cs="宋体"/>
          <w:b/>
          <w:sz w:val="32"/>
          <w:szCs w:val="32"/>
        </w:rPr>
      </w:pPr>
    </w:p>
    <w:p>
      <w:pPr>
        <w:pStyle w:val="2"/>
        <w:rPr>
          <w:rFonts w:hint="eastAsia"/>
        </w:rPr>
      </w:pPr>
    </w:p>
    <w:p>
      <w:pPr>
        <w:pStyle w:val="57"/>
        <w:rPr>
          <w:rFonts w:hint="eastAsia" w:ascii="宋体" w:hAnsi="宋体" w:eastAsia="宋体" w:cs="宋体"/>
          <w:bCs/>
          <w:sz w:val="2"/>
          <w:szCs w:val="2"/>
        </w:rPr>
      </w:pPr>
    </w:p>
    <w:p>
      <w:pPr>
        <w:rPr>
          <w:rFonts w:hint="eastAsia" w:ascii="宋体" w:hAnsi="宋体" w:eastAsia="宋体" w:cs="宋体"/>
          <w:bCs/>
          <w:sz w:val="2"/>
          <w:szCs w:val="2"/>
        </w:rPr>
      </w:pPr>
    </w:p>
    <w:p>
      <w:pPr>
        <w:spacing w:line="20" w:lineRule="exact"/>
        <w:rPr>
          <w:rFonts w:hint="eastAsia" w:ascii="宋体" w:hAnsi="宋体" w:eastAsia="宋体" w:cs="宋体"/>
          <w:bCs/>
          <w:sz w:val="2"/>
          <w:szCs w:val="2"/>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80"/>
          <w:sz w:val="34"/>
          <w:szCs w:val="34"/>
        </w:rPr>
      </w:pPr>
      <w:r>
        <w:rPr>
          <w:rFonts w:hint="eastAsia" w:ascii="宋体" w:hAnsi="宋体" w:eastAsia="宋体" w:cs="宋体"/>
          <w:b/>
          <w:bCs/>
          <w:spacing w:val="-10"/>
          <w:sz w:val="34"/>
          <w:szCs w:val="34"/>
          <w:lang w:val="en-US" w:eastAsia="zh-CN"/>
        </w:rPr>
        <w:t>采 购</w:t>
      </w:r>
      <w:r>
        <w:rPr>
          <w:rFonts w:hint="eastAsia" w:ascii="宋体" w:hAnsi="宋体" w:eastAsia="宋体" w:cs="宋体"/>
          <w:b/>
          <w:bCs/>
          <w:spacing w:val="-10"/>
          <w:sz w:val="34"/>
          <w:szCs w:val="34"/>
        </w:rPr>
        <w:t xml:space="preserve"> 人：驻马店市中心医院</w:t>
      </w:r>
    </w:p>
    <w:p>
      <w:pPr>
        <w:tabs>
          <w:tab w:val="left" w:pos="2505"/>
          <w:tab w:val="center" w:pos="4535"/>
        </w:tabs>
        <w:snapToGrid w:val="0"/>
        <w:spacing w:line="480" w:lineRule="auto"/>
        <w:jc w:val="center"/>
        <w:rPr>
          <w:rFonts w:hint="eastAsia" w:ascii="宋体" w:hAnsi="宋体" w:eastAsia="宋体" w:cs="宋体"/>
          <w:b/>
          <w:sz w:val="36"/>
          <w:szCs w:val="36"/>
        </w:rPr>
        <w:sectPr>
          <w:pgSz w:w="11923" w:h="16838"/>
          <w:pgMar w:top="1304" w:right="1417" w:bottom="992" w:left="1417" w:header="720" w:footer="720" w:gutter="0"/>
          <w:pgNumType w:fmt="decimal" w:start="1"/>
          <w:cols w:space="720" w:num="1"/>
          <w:docGrid w:type="lines" w:linePitch="312" w:charSpace="0"/>
        </w:sectPr>
      </w:pPr>
      <w:r>
        <w:rPr>
          <w:rFonts w:hint="eastAsia" w:ascii="宋体" w:hAnsi="宋体" w:eastAsia="宋体" w:cs="宋体"/>
          <w:b/>
          <w:bCs/>
          <w:spacing w:val="40"/>
          <w:sz w:val="34"/>
          <w:szCs w:val="34"/>
          <w:lang w:val="en-US" w:eastAsia="zh-CN"/>
        </w:rPr>
        <w:t>2022</w:t>
      </w:r>
      <w:r>
        <w:rPr>
          <w:rFonts w:hint="eastAsia" w:ascii="宋体" w:hAnsi="宋体" w:eastAsia="宋体" w:cs="宋体"/>
          <w:b/>
          <w:bCs/>
          <w:spacing w:val="40"/>
          <w:sz w:val="34"/>
          <w:szCs w:val="34"/>
        </w:rPr>
        <w:t>年</w:t>
      </w:r>
      <w:r>
        <w:rPr>
          <w:rFonts w:hint="eastAsia" w:ascii="宋体" w:hAnsi="宋体" w:cs="宋体"/>
          <w:b/>
          <w:bCs/>
          <w:color w:val="FF0000"/>
          <w:spacing w:val="40"/>
          <w:sz w:val="34"/>
          <w:szCs w:val="34"/>
          <w:lang w:val="en-US" w:eastAsia="zh-CN"/>
        </w:rPr>
        <w:t>06</w:t>
      </w:r>
      <w:r>
        <w:rPr>
          <w:rFonts w:hint="eastAsia" w:ascii="宋体" w:hAnsi="宋体" w:eastAsia="宋体" w:cs="宋体"/>
          <w:b/>
          <w:bCs/>
          <w:spacing w:val="40"/>
          <w:sz w:val="34"/>
          <w:szCs w:val="34"/>
        </w:rPr>
        <w:t>月</w:t>
      </w:r>
    </w:p>
    <w:p>
      <w:pPr>
        <w:rPr>
          <w:rFonts w:ascii="宋体" w:hAnsi="宋体"/>
          <w:bCs/>
          <w:color w:val="auto"/>
          <w:sz w:val="24"/>
          <w:highlight w:val="none"/>
        </w:rPr>
      </w:pPr>
    </w:p>
    <w:p>
      <w:pP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目录</w:t>
      </w:r>
    </w:p>
    <w:p>
      <w:pPr>
        <w:pStyle w:val="51"/>
        <w:rPr>
          <w:color w:val="auto"/>
          <w:highlight w:val="none"/>
        </w:rPr>
      </w:pPr>
    </w:p>
    <w:p>
      <w:pPr>
        <w:pStyle w:val="24"/>
        <w:tabs>
          <w:tab w:val="right" w:leader="dot" w:pos="8958"/>
        </w:tabs>
        <w:snapToGrid w:val="0"/>
        <w:spacing w:line="480" w:lineRule="auto"/>
        <w:rPr>
          <w:rFonts w:ascii="宋体" w:hAnsi="宋体" w:cs="宋体"/>
          <w:color w:val="auto"/>
          <w:szCs w:val="21"/>
          <w:highlight w:val="none"/>
        </w:rPr>
      </w:pPr>
      <w:r>
        <w:rPr>
          <w:rFonts w:hint="eastAsia" w:ascii="宋体" w:hAnsi="宋体" w:cs="宋体"/>
          <w:b/>
          <w:bCs/>
          <w:color w:val="auto"/>
          <w:sz w:val="32"/>
          <w:szCs w:val="32"/>
          <w:highlight w:val="none"/>
        </w:rPr>
        <w:fldChar w:fldCharType="begin"/>
      </w:r>
      <w:r>
        <w:rPr>
          <w:rFonts w:hint="eastAsia" w:ascii="宋体" w:hAnsi="宋体" w:cs="宋体"/>
          <w:b/>
          <w:bCs/>
          <w:color w:val="auto"/>
          <w:sz w:val="32"/>
          <w:szCs w:val="32"/>
          <w:highlight w:val="none"/>
        </w:rPr>
        <w:instrText xml:space="preserve">TOC \o "1-1" \h \u </w:instrText>
      </w:r>
      <w:r>
        <w:rPr>
          <w:rFonts w:hint="eastAsia" w:ascii="宋体" w:hAnsi="宋体" w:cs="宋体"/>
          <w:b/>
          <w:bCs/>
          <w:color w:val="auto"/>
          <w:sz w:val="32"/>
          <w:szCs w:val="32"/>
          <w:highlight w:val="none"/>
        </w:rPr>
        <w:fldChar w:fldCharType="separate"/>
      </w:r>
      <w:r>
        <w:rPr>
          <w:color w:val="auto"/>
          <w:highlight w:val="none"/>
        </w:rPr>
        <w:fldChar w:fldCharType="begin"/>
      </w:r>
      <w:r>
        <w:rPr>
          <w:color w:val="auto"/>
          <w:highlight w:val="none"/>
        </w:rPr>
        <w:instrText xml:space="preserve"> HYPERLINK \l "_Toc9075" </w:instrText>
      </w:r>
      <w:r>
        <w:rPr>
          <w:color w:val="auto"/>
          <w:highlight w:val="none"/>
        </w:rPr>
        <w:fldChar w:fldCharType="separate"/>
      </w:r>
      <w:r>
        <w:rPr>
          <w:rFonts w:hint="eastAsia" w:ascii="宋体" w:hAnsi="宋体" w:cs="宋体"/>
          <w:color w:val="auto"/>
          <w:szCs w:val="21"/>
          <w:highlight w:val="none"/>
        </w:rPr>
        <w:t>第一章  招 标 公 告</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_Toc9075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2</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4"/>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"_Toc25063" </w:instrText>
      </w:r>
      <w:r>
        <w:rPr>
          <w:color w:val="auto"/>
          <w:highlight w:val="none"/>
        </w:rPr>
        <w:fldChar w:fldCharType="separate"/>
      </w:r>
      <w:r>
        <w:rPr>
          <w:rFonts w:hint="eastAsia" w:ascii="宋体" w:hAnsi="宋体" w:cs="宋体"/>
          <w:color w:val="auto"/>
          <w:szCs w:val="21"/>
          <w:highlight w:val="none"/>
        </w:rPr>
        <w:t xml:space="preserve">第二章  </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需求</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_Toc25063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4</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4"/>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"_Toc14504" </w:instrText>
      </w:r>
      <w:r>
        <w:rPr>
          <w:color w:val="auto"/>
          <w:highlight w:val="none"/>
        </w:rPr>
        <w:fldChar w:fldCharType="separate"/>
      </w:r>
      <w:r>
        <w:rPr>
          <w:rFonts w:hint="eastAsia" w:ascii="宋体" w:hAnsi="宋体" w:cs="宋体"/>
          <w:color w:val="auto"/>
          <w:szCs w:val="21"/>
          <w:highlight w:val="none"/>
        </w:rPr>
        <w:t>第三章  投标人须知</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_Toc14504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6</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4"/>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"_Toc9022" </w:instrText>
      </w:r>
      <w:r>
        <w:rPr>
          <w:color w:val="auto"/>
          <w:highlight w:val="none"/>
        </w:rPr>
        <w:fldChar w:fldCharType="separate"/>
      </w:r>
      <w:r>
        <w:rPr>
          <w:rFonts w:hint="eastAsia" w:ascii="宋体" w:hAnsi="宋体" w:cs="宋体"/>
          <w:color w:val="auto"/>
          <w:kern w:val="0"/>
          <w:szCs w:val="21"/>
          <w:highlight w:val="none"/>
        </w:rPr>
        <w:t>第四章  评标办法及评分标准</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_Toc9022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16</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4"/>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"_Toc28988" </w:instrText>
      </w:r>
      <w:r>
        <w:rPr>
          <w:color w:val="auto"/>
          <w:highlight w:val="none"/>
        </w:rPr>
        <w:fldChar w:fldCharType="separate"/>
      </w:r>
      <w:r>
        <w:rPr>
          <w:rFonts w:hint="eastAsia" w:ascii="宋体" w:hAnsi="宋体" w:cs="宋体"/>
          <w:color w:val="auto"/>
          <w:szCs w:val="21"/>
          <w:highlight w:val="none"/>
        </w:rPr>
        <w:t>第五章  采购合同（主要条款）</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_Toc28988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17</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4"/>
        <w:tabs>
          <w:tab w:val="right" w:leader="dot" w:pos="8958"/>
        </w:tabs>
        <w:snapToGrid w:val="0"/>
        <w:spacing w:line="480" w:lineRule="auto"/>
        <w:rPr>
          <w:rFonts w:ascii="宋体" w:hAnsi="宋体" w:cs="宋体"/>
          <w:b/>
          <w:bCs/>
          <w:color w:val="auto"/>
          <w:sz w:val="32"/>
          <w:szCs w:val="32"/>
          <w:highlight w:val="none"/>
        </w:rPr>
      </w:pPr>
      <w:r>
        <w:rPr>
          <w:color w:val="auto"/>
          <w:highlight w:val="none"/>
        </w:rPr>
        <w:fldChar w:fldCharType="begin"/>
      </w:r>
      <w:r>
        <w:rPr>
          <w:color w:val="auto"/>
          <w:highlight w:val="none"/>
        </w:rPr>
        <w:instrText xml:space="preserve"> HYPERLINK \l "_Toc2638" </w:instrText>
      </w:r>
      <w:r>
        <w:rPr>
          <w:color w:val="auto"/>
          <w:highlight w:val="none"/>
        </w:rPr>
        <w:fldChar w:fldCharType="separate"/>
      </w:r>
      <w:r>
        <w:rPr>
          <w:rFonts w:hint="eastAsia" w:ascii="宋体" w:hAnsi="宋体" w:cs="宋体"/>
          <w:color w:val="auto"/>
          <w:szCs w:val="21"/>
          <w:highlight w:val="none"/>
        </w:rPr>
        <w:t>第六章  投标文件格式</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_Toc2638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18</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81"/>
        <w:tabs>
          <w:tab w:val="right" w:leader="dot" w:pos="8300"/>
        </w:tabs>
        <w:snapToGrid w:val="0"/>
        <w:spacing w:line="480" w:lineRule="auto"/>
        <w:rPr>
          <w:rFonts w:ascii="宋体" w:hAnsi="宋体" w:cs="宋体"/>
          <w:color w:val="auto"/>
          <w:sz w:val="32"/>
          <w:szCs w:val="32"/>
          <w:highlight w:val="none"/>
        </w:rPr>
      </w:pPr>
      <w:r>
        <w:rPr>
          <w:rFonts w:hint="eastAsia" w:ascii="宋体" w:hAnsi="宋体" w:cs="宋体"/>
          <w:b/>
          <w:bCs/>
          <w:color w:val="auto"/>
          <w:sz w:val="32"/>
          <w:szCs w:val="32"/>
          <w:highlight w:val="none"/>
        </w:rPr>
        <w:fldChar w:fldCharType="end"/>
      </w:r>
    </w:p>
    <w:p>
      <w:pPr>
        <w:spacing w:line="440" w:lineRule="exact"/>
        <w:rPr>
          <w:rFonts w:ascii="宋体" w:hAnsi="宋体"/>
          <w:b/>
          <w:color w:val="auto"/>
          <w:sz w:val="32"/>
          <w:szCs w:val="32"/>
          <w:highlight w:val="none"/>
        </w:rPr>
      </w:pPr>
    </w:p>
    <w:p>
      <w:pPr>
        <w:spacing w:line="360" w:lineRule="auto"/>
        <w:ind w:firstLine="2409" w:firstLineChars="600"/>
        <w:rPr>
          <w:rFonts w:ascii="宋体" w:hAnsi="宋体"/>
          <w:b/>
          <w:color w:val="auto"/>
          <w:sz w:val="40"/>
          <w:szCs w:val="40"/>
          <w:highlight w:val="none"/>
        </w:rPr>
        <w:sectPr>
          <w:headerReference r:id="rId3" w:type="default"/>
          <w:footerReference r:id="rId4" w:type="default"/>
          <w:pgSz w:w="11906" w:h="16838"/>
          <w:pgMar w:top="1417" w:right="1474" w:bottom="1417" w:left="1474" w:header="851" w:footer="624" w:gutter="0"/>
          <w:pgNumType w:fmt="decimal" w:start="1"/>
          <w:cols w:space="720" w:num="1"/>
          <w:docGrid w:type="lines" w:linePitch="319" w:charSpace="0"/>
        </w:sectPr>
      </w:pPr>
    </w:p>
    <w:p>
      <w:pPr>
        <w:spacing w:line="360" w:lineRule="auto"/>
        <w:jc w:val="center"/>
        <w:outlineLvl w:val="0"/>
        <w:rPr>
          <w:rFonts w:ascii="宋体" w:hAnsi="宋体"/>
          <w:b/>
          <w:color w:val="auto"/>
          <w:sz w:val="32"/>
          <w:szCs w:val="32"/>
          <w:highlight w:val="none"/>
        </w:rPr>
      </w:pPr>
      <w:bookmarkStart w:id="2" w:name="_Toc9075"/>
      <w:r>
        <w:rPr>
          <w:rFonts w:hint="eastAsia" w:ascii="宋体" w:hAnsi="宋体"/>
          <w:b/>
          <w:color w:val="auto"/>
          <w:sz w:val="32"/>
          <w:szCs w:val="32"/>
          <w:highlight w:val="none"/>
        </w:rPr>
        <w:t xml:space="preserve">第一章  </w:t>
      </w:r>
      <w:r>
        <w:rPr>
          <w:rFonts w:hint="eastAsia" w:ascii="宋体" w:hAnsi="宋体"/>
          <w:b/>
          <w:color w:val="auto"/>
          <w:sz w:val="32"/>
          <w:szCs w:val="32"/>
          <w:highlight w:val="none"/>
          <w:lang w:val="en-US" w:eastAsia="zh-CN"/>
        </w:rPr>
        <w:t>竞争性磋商采购</w:t>
      </w:r>
      <w:r>
        <w:rPr>
          <w:rFonts w:hint="eastAsia" w:ascii="宋体" w:hAnsi="宋体"/>
          <w:b/>
          <w:color w:val="auto"/>
          <w:sz w:val="32"/>
          <w:szCs w:val="32"/>
          <w:highlight w:val="none"/>
        </w:rPr>
        <w:t>公告</w:t>
      </w:r>
      <w:bookmarkEnd w:id="2"/>
    </w:p>
    <w:p>
      <w:pPr>
        <w:keepNext w:val="0"/>
        <w:keepLines w:val="0"/>
        <w:pageBreakBefore w:val="0"/>
        <w:widowControl/>
        <w:kinsoku/>
        <w:wordWrap/>
        <w:overflowPunct/>
        <w:topLinePunct w:val="0"/>
        <w:autoSpaceDE/>
        <w:autoSpaceDN/>
        <w:bidi w:val="0"/>
        <w:adjustRightInd w:val="0"/>
        <w:snapToGrid w:val="0"/>
        <w:spacing w:afterAutospacing="0" w:line="360" w:lineRule="auto"/>
        <w:jc w:val="center"/>
        <w:textAlignment w:val="auto"/>
        <w:rPr>
          <w:rFonts w:hint="eastAsia" w:ascii="黑体" w:hAnsi="黑体" w:eastAsia="黑体" w:cs="宋体"/>
          <w:bCs/>
          <w:color w:val="auto"/>
          <w:kern w:val="0"/>
          <w:sz w:val="28"/>
          <w:szCs w:val="28"/>
          <w:u w:val="none"/>
          <w:lang w:val="en-US" w:eastAsia="zh-CN"/>
        </w:rPr>
      </w:pPr>
      <w:r>
        <w:rPr>
          <w:rFonts w:hint="eastAsia" w:ascii="黑体" w:hAnsi="黑体" w:eastAsia="黑体" w:cs="宋体"/>
          <w:bCs/>
          <w:color w:val="auto"/>
          <w:kern w:val="0"/>
          <w:sz w:val="28"/>
          <w:szCs w:val="28"/>
          <w:u w:val="none"/>
          <w:lang w:val="en-US" w:eastAsia="zh-CN"/>
        </w:rPr>
        <w:t>驻马店市中心医院四号楼广场景观设计项目</w:t>
      </w:r>
    </w:p>
    <w:p>
      <w:pPr>
        <w:keepNext w:val="0"/>
        <w:keepLines w:val="0"/>
        <w:pageBreakBefore w:val="0"/>
        <w:widowControl/>
        <w:kinsoku/>
        <w:wordWrap/>
        <w:overflowPunct/>
        <w:topLinePunct w:val="0"/>
        <w:autoSpaceDE/>
        <w:autoSpaceDN/>
        <w:bidi w:val="0"/>
        <w:adjustRightInd w:val="0"/>
        <w:snapToGrid w:val="0"/>
        <w:spacing w:beforeAutospacing="0" w:after="157" w:afterLines="50" w:line="360" w:lineRule="auto"/>
        <w:jc w:val="center"/>
        <w:textAlignment w:val="auto"/>
        <w:rPr>
          <w:rFonts w:hint="eastAsia" w:ascii="黑体" w:hAnsi="黑体" w:eastAsia="黑体" w:cs="宋体"/>
          <w:bCs/>
          <w:color w:val="auto"/>
          <w:kern w:val="0"/>
          <w:sz w:val="28"/>
          <w:szCs w:val="28"/>
        </w:rPr>
      </w:pPr>
      <w:r>
        <w:rPr>
          <w:rFonts w:hint="eastAsia" w:ascii="黑体" w:hAnsi="黑体" w:eastAsia="黑体" w:cs="宋体"/>
          <w:bCs/>
          <w:color w:val="auto"/>
          <w:kern w:val="0"/>
          <w:sz w:val="28"/>
          <w:szCs w:val="28"/>
          <w:u w:val="none"/>
          <w:lang w:val="en-US" w:eastAsia="zh-CN"/>
        </w:rPr>
        <w:t>竞争性磋商</w:t>
      </w:r>
      <w:r>
        <w:rPr>
          <w:rFonts w:hint="eastAsia" w:ascii="黑体" w:hAnsi="黑体" w:eastAsia="黑体" w:cs="宋体"/>
          <w:bCs/>
          <w:color w:val="auto"/>
          <w:kern w:val="0"/>
          <w:sz w:val="28"/>
          <w:szCs w:val="28"/>
        </w:rPr>
        <w:t>公告</w:t>
      </w:r>
    </w:p>
    <w:p>
      <w:pPr>
        <w:keepNext w:val="0"/>
        <w:keepLines w:val="0"/>
        <w:pageBreakBefore w:val="0"/>
        <w:widowControl w:val="0"/>
        <w:kinsoku/>
        <w:wordWrap/>
        <w:overflowPunct/>
        <w:topLinePunct w:val="0"/>
        <w:autoSpaceDE/>
        <w:autoSpaceDN/>
        <w:bidi w:val="0"/>
        <w:adjustRightInd/>
        <w:snapToGrid/>
        <w:spacing w:line="440" w:lineRule="exact"/>
        <w:ind w:left="0" w:firstLine="420" w:firstLineChars="200"/>
        <w:textAlignment w:val="auto"/>
        <w:rPr>
          <w:rFonts w:hint="eastAsia" w:ascii="宋体" w:hAnsi="宋体" w:eastAsia="宋体" w:cs="宋体"/>
        </w:rPr>
      </w:pPr>
      <w:r>
        <w:rPr>
          <w:rFonts w:hint="eastAsia" w:ascii="宋体" w:hAnsi="宋体" w:eastAsia="宋体" w:cs="宋体"/>
        </w:rPr>
        <w:t>驻马店市中心医院现对</w:t>
      </w:r>
      <w:r>
        <w:rPr>
          <w:rFonts w:hint="eastAsia" w:ascii="宋体" w:hAnsi="宋体" w:cs="宋体"/>
          <w:u w:val="single"/>
          <w:lang w:eastAsia="zh-CN"/>
        </w:rPr>
        <w:t>四号楼广场景观设计项目</w:t>
      </w:r>
      <w:r>
        <w:rPr>
          <w:rFonts w:hint="eastAsia" w:ascii="宋体" w:hAnsi="宋体" w:eastAsia="宋体" w:cs="宋体"/>
        </w:rPr>
        <w:t>进行院内</w:t>
      </w:r>
      <w:r>
        <w:rPr>
          <w:rFonts w:hint="eastAsia" w:ascii="宋体" w:hAnsi="宋体" w:eastAsia="宋体" w:cs="宋体"/>
          <w:lang w:val="en-US" w:eastAsia="zh-CN"/>
        </w:rPr>
        <w:t>竞争性磋商采购</w:t>
      </w:r>
      <w:r>
        <w:rPr>
          <w:rFonts w:hint="eastAsia" w:ascii="宋体" w:hAnsi="宋体" w:eastAsia="宋体" w:cs="宋体"/>
        </w:rPr>
        <w:t>，欢迎符合资格条件的供应商前来</w:t>
      </w:r>
      <w:r>
        <w:rPr>
          <w:rFonts w:hint="eastAsia" w:ascii="宋体" w:hAnsi="宋体" w:eastAsia="宋体" w:cs="宋体"/>
          <w:lang w:val="en-US" w:eastAsia="zh-CN"/>
        </w:rPr>
        <w:t>前来报名并获取采购文件</w:t>
      </w:r>
      <w:r>
        <w:rPr>
          <w:rFonts w:hint="eastAsia" w:ascii="宋体" w:hAnsi="宋体" w:eastAsia="宋体" w:cs="宋体"/>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b/>
          <w:bCs/>
        </w:rPr>
      </w:pPr>
      <w:r>
        <w:rPr>
          <w:rFonts w:hint="eastAsia" w:ascii="宋体" w:hAnsi="宋体" w:eastAsia="宋体" w:cs="宋体"/>
          <w:b/>
          <w:bCs/>
          <w:lang w:val="en-US" w:eastAsia="zh-CN"/>
        </w:rPr>
        <w:t xml:space="preserve">一、项目基本情况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1、采购项目名称：</w:t>
      </w:r>
      <w:r>
        <w:rPr>
          <w:rFonts w:hint="eastAsia" w:ascii="宋体" w:hAnsi="宋体" w:cs="宋体"/>
          <w:lang w:val="en-US" w:eastAsia="zh-CN"/>
        </w:rPr>
        <w:t>驻马店市中心医院四号楼广场景观设计项目</w:t>
      </w:r>
      <w:r>
        <w:rPr>
          <w:rFonts w:hint="eastAsia" w:ascii="宋体" w:hAnsi="宋体" w:eastAsia="宋体" w:cs="宋体"/>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 xml:space="preserve">2、采购需求：具体要求详见附件；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3</w:t>
      </w:r>
      <w:bookmarkStart w:id="3" w:name="_Toc26725"/>
      <w:bookmarkEnd w:id="3"/>
      <w:r>
        <w:rPr>
          <w:rFonts w:hint="eastAsia" w:ascii="宋体" w:hAnsi="宋体" w:eastAsia="宋体" w:cs="宋体"/>
          <w:lang w:val="en-US" w:eastAsia="zh-CN"/>
        </w:rPr>
        <w:t xml:space="preserve">、预算金额：222400.00元，自筹资金；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 xml:space="preserve">4、服务地点：采购人指定地点；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bookmarkStart w:id="4" w:name="_Toc21071"/>
      <w:bookmarkEnd w:id="4"/>
      <w:bookmarkStart w:id="5" w:name="_Toc24040"/>
      <w:bookmarkEnd w:id="5"/>
      <w:bookmarkStart w:id="6" w:name="_Toc26079"/>
      <w:bookmarkEnd w:id="6"/>
      <w:bookmarkStart w:id="7" w:name="_Toc19521"/>
      <w:bookmarkEnd w:id="7"/>
      <w:bookmarkStart w:id="8" w:name="_Toc27913"/>
      <w:bookmarkEnd w:id="8"/>
      <w:r>
        <w:rPr>
          <w:rFonts w:hint="eastAsia" w:ascii="宋体" w:hAnsi="宋体" w:eastAsia="宋体" w:cs="宋体"/>
          <w:lang w:val="en-US" w:eastAsia="zh-CN"/>
        </w:rPr>
        <w:t xml:space="preserve">5、合同履行期限：以合同约定为准；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 xml:space="preserve">6、服务要求：合格。（以采购人要求为准）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rPr>
      </w:pPr>
      <w:bookmarkStart w:id="9" w:name="_Toc18607"/>
      <w:bookmarkEnd w:id="9"/>
      <w:bookmarkStart w:id="10" w:name="_Toc23626"/>
      <w:bookmarkEnd w:id="10"/>
      <w:bookmarkStart w:id="11" w:name="_Toc27704"/>
      <w:bookmarkEnd w:id="11"/>
      <w:bookmarkStart w:id="12" w:name="_Toc16639"/>
      <w:bookmarkEnd w:id="12"/>
      <w:r>
        <w:rPr>
          <w:rFonts w:hint="eastAsia" w:ascii="宋体" w:hAnsi="宋体" w:eastAsia="宋体" w:cs="宋体"/>
          <w:b/>
          <w:bCs/>
          <w:lang w:val="en-US" w:eastAsia="zh-CN"/>
        </w:rPr>
        <w:t>二、供应商资格要求：</w:t>
      </w:r>
      <w:r>
        <w:rPr>
          <w:rFonts w:hint="eastAsia" w:ascii="宋体" w:hAnsi="宋体" w:eastAsia="宋体" w:cs="宋体"/>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bookmarkStart w:id="13" w:name="_Toc7823"/>
      <w:bookmarkEnd w:id="13"/>
      <w:bookmarkStart w:id="14" w:name="_Toc30643"/>
      <w:bookmarkEnd w:id="14"/>
      <w:bookmarkStart w:id="15" w:name="_Toc9562"/>
      <w:bookmarkEnd w:id="15"/>
      <w:bookmarkStart w:id="16" w:name="_Toc23395"/>
      <w:bookmarkEnd w:id="16"/>
      <w:bookmarkStart w:id="17" w:name="_Toc30971"/>
      <w:bookmarkEnd w:id="17"/>
      <w:r>
        <w:rPr>
          <w:rFonts w:hint="eastAsia" w:ascii="宋体" w:hAnsi="宋体" w:eastAsia="宋体" w:cs="宋体"/>
          <w:lang w:val="en-US" w:eastAsia="zh-CN"/>
        </w:rPr>
        <w:t xml:space="preserve">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 xml:space="preserve">2、供应商应提供2020年度或2021年度经审计的财务报告或者其基本开户银行出具的资信证明；采购活动前近三个月内或上个季度的依法缴纳税收的凭据和缴纳社会保险的凭据；依法免税或不需要缴纳社会保障资金的供应商，应提供相应文件证明其依法免税或不需要缴纳社会保障资金。（新成立企业从成立之日起计算）；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3、供应商近三年内具有类似业绩，且公司具有一名</w:t>
      </w:r>
      <w:r>
        <w:rPr>
          <w:rFonts w:hint="eastAsia" w:ascii="宋体" w:hAnsi="宋体" w:eastAsia="宋体" w:cs="宋体"/>
          <w:highlight w:val="yellow"/>
          <w:lang w:val="en-US" w:eastAsia="zh-CN"/>
        </w:rPr>
        <w:t>中级及以上</w:t>
      </w:r>
      <w:r>
        <w:rPr>
          <w:rFonts w:hint="eastAsia" w:ascii="宋体" w:hAnsi="宋体" w:cs="宋体"/>
          <w:highlight w:val="yellow"/>
          <w:lang w:val="en-US" w:eastAsia="zh-CN"/>
        </w:rPr>
        <w:t>环境艺术师职称的工程师</w:t>
      </w:r>
      <w:r>
        <w:rPr>
          <w:rFonts w:hint="eastAsia" w:ascii="宋体" w:hAnsi="宋体" w:eastAsia="宋体" w:cs="宋体"/>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 xml:space="preserve">4、具有履行合同所必需的设备和专业技术能力（提供书面声明函）；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 xml:space="preserve">5、参加本采购活动前三年内，在经营活动中没有重大违法记录（提供书面声明函）；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 xml:space="preserve">6、符合法律、行政法规规定的其他条件；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 xml:space="preserve">7、根据《关于在政府采购活动中查询及使用信用记录有关问题的通知》（财库【2016】125号）的规定，对列入失信被执行人、税收违法黑名单、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 xml:space="preserve">8、不接受联合体投标。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b/>
          <w:bCs/>
        </w:rPr>
      </w:pPr>
      <w:r>
        <w:rPr>
          <w:rFonts w:hint="eastAsia" w:ascii="宋体" w:hAnsi="宋体" w:eastAsia="宋体" w:cs="宋体"/>
          <w:b/>
          <w:bCs/>
          <w:lang w:val="en-US" w:eastAsia="zh-CN"/>
        </w:rPr>
        <w:t xml:space="preserve">三、获取采购文件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1报名时间：</w:t>
      </w:r>
      <w:r>
        <w:rPr>
          <w:rFonts w:hint="eastAsia" w:ascii="宋体" w:hAnsi="宋体" w:eastAsia="宋体" w:cs="宋体"/>
          <w:color w:val="FF0000"/>
          <w:lang w:val="en-US" w:eastAsia="zh-CN"/>
        </w:rPr>
        <w:t>2022年06月</w:t>
      </w:r>
      <w:r>
        <w:rPr>
          <w:rFonts w:hint="eastAsia" w:ascii="宋体" w:hAnsi="宋体" w:cs="宋体"/>
          <w:color w:val="FF0000"/>
          <w:lang w:val="en-US" w:eastAsia="zh-CN"/>
        </w:rPr>
        <w:t>17</w:t>
      </w:r>
      <w:r>
        <w:rPr>
          <w:rFonts w:hint="eastAsia" w:ascii="宋体" w:hAnsi="宋体" w:eastAsia="宋体" w:cs="宋体"/>
          <w:color w:val="FF0000"/>
          <w:lang w:val="en-US" w:eastAsia="zh-CN"/>
        </w:rPr>
        <w:t>日-2022年06月</w:t>
      </w:r>
      <w:r>
        <w:rPr>
          <w:rFonts w:hint="eastAsia" w:ascii="宋体" w:hAnsi="宋体" w:cs="宋体"/>
          <w:color w:val="FF0000"/>
          <w:lang w:val="en-US" w:eastAsia="zh-CN"/>
        </w:rPr>
        <w:t>21</w:t>
      </w:r>
      <w:r>
        <w:rPr>
          <w:rFonts w:hint="eastAsia" w:ascii="宋体" w:hAnsi="宋体" w:eastAsia="宋体" w:cs="宋体"/>
          <w:color w:val="FF0000"/>
          <w:lang w:val="en-US" w:eastAsia="zh-CN"/>
        </w:rPr>
        <w:t>日</w:t>
      </w:r>
      <w:r>
        <w:rPr>
          <w:rFonts w:hint="eastAsia" w:ascii="宋体" w:hAnsi="宋体" w:eastAsia="宋体" w:cs="宋体"/>
          <w:lang w:val="en-US" w:eastAsia="zh-CN"/>
        </w:rPr>
        <w:t xml:space="preserve">，上午8：30-11:30，下午14:30-17:30（北京时间，法定节假日除外），报名费用：200元。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 xml:space="preserve">2.每报名任何一个项目的供应商，需交纳2000元投标保证金。凡报名成功的供应商无故不来参与投标的，拒不退还投标保证金，并列入我院黑名单，一年内不得参与我院任何采购活动。凡未中标者，评审结束后三个工作日内凭收据无息退还。中标供应商缴纳相应服务费。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3.采购文件获取方式：供应商须把填写完整的报名登记表及报名登记表要求提供的相关资料扫描件按序排版为PDF格式文件，发送至以下邮箱：</w:t>
      </w: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"mailto:hnwxzb2@163.com%E5%B9%B6%E6%A0%87%E6%98%8EXX" </w:instrText>
      </w:r>
      <w:r>
        <w:rPr>
          <w:rFonts w:hint="eastAsia" w:ascii="宋体" w:hAnsi="宋体" w:eastAsia="宋体" w:cs="宋体"/>
          <w:lang w:val="en-US" w:eastAsia="zh-CN"/>
        </w:rPr>
        <w:fldChar w:fldCharType="separate"/>
      </w:r>
      <w:r>
        <w:rPr>
          <w:rFonts w:hint="eastAsia" w:ascii="宋体" w:hAnsi="宋体" w:eastAsia="宋体" w:cs="宋体"/>
          <w:highlight w:val="none"/>
          <w:lang w:val="en-US" w:eastAsia="zh-CN"/>
        </w:rPr>
        <w:t>934027204@qq.com</w:t>
      </w:r>
      <w:r>
        <w:rPr>
          <w:rFonts w:hint="eastAsia" w:ascii="宋体" w:hAnsi="宋体" w:eastAsia="宋体" w:cs="宋体"/>
        </w:rPr>
        <w:t>并标明XX公司XX</w:t>
      </w:r>
      <w:r>
        <w:rPr>
          <w:rFonts w:hint="eastAsia" w:ascii="宋体" w:hAnsi="宋体" w:eastAsia="宋体" w:cs="宋体"/>
          <w:lang w:val="en-US" w:eastAsia="zh-CN"/>
        </w:rPr>
        <w:fldChar w:fldCharType="end"/>
      </w:r>
      <w:r>
        <w:rPr>
          <w:rFonts w:hint="eastAsia" w:ascii="宋体" w:hAnsi="宋体" w:eastAsia="宋体" w:cs="宋体"/>
          <w:lang w:val="en-US" w:eastAsia="zh-CN"/>
        </w:rPr>
        <w:t xml:space="preserve">项目报名资料；审核通过后按要求交纳报名费及投标保证金。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 xml:space="preserve">4.报名登记表：请从附件中下载。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b/>
          <w:bCs/>
        </w:rPr>
      </w:pPr>
      <w:bookmarkStart w:id="18" w:name="_Toc27480"/>
      <w:bookmarkEnd w:id="18"/>
      <w:bookmarkStart w:id="19" w:name="_Toc10738"/>
      <w:bookmarkEnd w:id="19"/>
      <w:bookmarkStart w:id="20" w:name="_Toc15111"/>
      <w:bookmarkEnd w:id="20"/>
      <w:bookmarkStart w:id="21" w:name="_Toc15135"/>
      <w:bookmarkEnd w:id="21"/>
      <w:bookmarkStart w:id="22" w:name="_Toc25869"/>
      <w:bookmarkEnd w:id="22"/>
      <w:r>
        <w:rPr>
          <w:rFonts w:hint="eastAsia" w:ascii="宋体" w:hAnsi="宋体" w:eastAsia="宋体" w:cs="宋体"/>
          <w:b/>
          <w:bCs/>
          <w:lang w:val="en-US" w:eastAsia="zh-CN"/>
        </w:rPr>
        <w:t xml:space="preserve">四、投标截止时间及地点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 xml:space="preserve">1.时间：详见采购文件。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 xml:space="preserve">2.地点：详见采购文件。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b/>
          <w:bCs/>
        </w:rPr>
      </w:pPr>
      <w:r>
        <w:rPr>
          <w:rFonts w:hint="eastAsia" w:ascii="宋体" w:hAnsi="宋体" w:eastAsia="宋体" w:cs="宋体"/>
          <w:b/>
          <w:bCs/>
          <w:lang w:val="en-US" w:eastAsia="zh-CN"/>
        </w:rPr>
        <w:t xml:space="preserve">五、开标时间及地点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 xml:space="preserve">1.时间：详见采购文件。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 xml:space="preserve">2.地点：详见采购文件。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b/>
          <w:bCs/>
        </w:rPr>
      </w:pPr>
      <w:bookmarkStart w:id="23" w:name="_Toc29784"/>
      <w:bookmarkEnd w:id="23"/>
      <w:bookmarkStart w:id="24" w:name="_Toc30918"/>
      <w:bookmarkEnd w:id="24"/>
      <w:bookmarkStart w:id="25" w:name="_Toc6523"/>
      <w:bookmarkEnd w:id="25"/>
      <w:bookmarkStart w:id="26" w:name="_Toc20287"/>
      <w:bookmarkEnd w:id="26"/>
      <w:r>
        <w:rPr>
          <w:rFonts w:hint="eastAsia" w:ascii="宋体" w:hAnsi="宋体" w:eastAsia="宋体" w:cs="宋体"/>
          <w:b/>
          <w:bCs/>
          <w:lang w:val="en-US" w:eastAsia="zh-CN"/>
        </w:rPr>
        <w:t xml:space="preserve">六、发布公告的媒介及采购公告期限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本次采购公告在《驻马店市中心医院》院内网上发布，采购公告期限为三个工作日。</w:t>
      </w:r>
      <w:bookmarkStart w:id="27" w:name="_Toc35393626"/>
      <w:bookmarkEnd w:id="27"/>
      <w:bookmarkStart w:id="28" w:name="_Toc35393795"/>
      <w:bookmarkEnd w:id="28"/>
      <w:r>
        <w:rPr>
          <w:rFonts w:hint="eastAsia" w:ascii="宋体" w:hAnsi="宋体" w:eastAsia="宋体" w:cs="宋体"/>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b/>
          <w:bCs/>
        </w:rPr>
      </w:pPr>
      <w:bookmarkStart w:id="29" w:name="_Toc16291"/>
      <w:bookmarkEnd w:id="29"/>
      <w:bookmarkStart w:id="30" w:name="_Toc24274"/>
      <w:bookmarkEnd w:id="30"/>
      <w:bookmarkStart w:id="31" w:name="_Toc27370"/>
      <w:bookmarkEnd w:id="31"/>
      <w:bookmarkStart w:id="32" w:name="_Toc31928"/>
      <w:bookmarkEnd w:id="32"/>
      <w:bookmarkStart w:id="33" w:name="_Toc3604"/>
      <w:bookmarkEnd w:id="33"/>
      <w:r>
        <w:rPr>
          <w:rFonts w:hint="eastAsia" w:ascii="宋体" w:hAnsi="宋体" w:eastAsia="宋体" w:cs="宋体"/>
          <w:b/>
          <w:bCs/>
          <w:lang w:val="en-US" w:eastAsia="zh-CN"/>
        </w:rPr>
        <w:t xml:space="preserve">七、凡对本次招标提出询问，请按照以下方式联系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 xml:space="preserve">报名联系人：陈先生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 xml:space="preserve">联系电话：18838148020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 xml:space="preserve">联系人：陈先生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 xml:space="preserve">联系电话：0396-2726379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联系邮箱：</w:t>
      </w: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"mailto:zxyyjzcgbgs@163.com" </w:instrText>
      </w:r>
      <w:r>
        <w:rPr>
          <w:rFonts w:hint="eastAsia" w:ascii="宋体" w:hAnsi="宋体" w:eastAsia="宋体" w:cs="宋体"/>
          <w:lang w:val="en-US" w:eastAsia="zh-CN"/>
        </w:rPr>
        <w:fldChar w:fldCharType="separate"/>
      </w:r>
      <w:r>
        <w:rPr>
          <w:rFonts w:hint="eastAsia" w:ascii="宋体" w:hAnsi="宋体" w:eastAsia="宋体" w:cs="宋体"/>
        </w:rPr>
        <w:t>zxyyjzcgbgs@163.com</w:t>
      </w:r>
      <w:r>
        <w:rPr>
          <w:rFonts w:hint="eastAsia" w:ascii="宋体" w:hAnsi="宋体" w:eastAsia="宋体" w:cs="宋体"/>
          <w:lang w:val="en-US" w:eastAsia="zh-CN"/>
        </w:rPr>
        <w:fldChar w:fldCharType="end"/>
      </w:r>
      <w:r>
        <w:rPr>
          <w:rFonts w:hint="eastAsia" w:ascii="宋体" w:hAnsi="宋体" w:eastAsia="宋体" w:cs="宋体"/>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 xml:space="preserve">监督部门：驻马店市中心医院纪检监察室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 xml:space="preserve">监督电话：0396-2725435 </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440" w:lineRule="exact"/>
        <w:ind w:left="0" w:firstLine="420" w:firstLineChars="200"/>
        <w:jc w:val="center"/>
        <w:textAlignment w:val="auto"/>
        <w:rPr>
          <w:rFonts w:hint="eastAsia" w:ascii="宋体" w:hAnsi="宋体" w:eastAsia="宋体" w:cs="宋体"/>
          <w:lang w:val="en-US" w:eastAsia="zh-CN"/>
        </w:rPr>
      </w:pPr>
      <w:r>
        <w:rPr>
          <w:rFonts w:hint="eastAsia" w:ascii="宋体" w:hAnsi="宋体" w:eastAsia="宋体" w:cs="宋体"/>
          <w:lang w:val="en-US" w:eastAsia="zh-CN"/>
        </w:rPr>
        <w:t xml:space="preserve">                                        </w:t>
      </w:r>
      <w:r>
        <w:rPr>
          <w:rFonts w:hint="eastAsia" w:ascii="宋体" w:hAnsi="宋体" w:eastAsia="宋体" w:cs="宋体"/>
        </w:rPr>
        <w:t>驻马店市中心医院采购</w:t>
      </w:r>
      <w:r>
        <w:rPr>
          <w:rFonts w:hint="eastAsia" w:ascii="宋体" w:hAnsi="宋体" w:eastAsia="宋体" w:cs="宋体"/>
          <w:lang w:val="en-US" w:eastAsia="zh-CN"/>
        </w:rPr>
        <w:t>科</w:t>
      </w:r>
    </w:p>
    <w:p>
      <w:pPr>
        <w:keepNext w:val="0"/>
        <w:keepLines w:val="0"/>
        <w:pageBreakBefore w:val="0"/>
        <w:widowControl w:val="0"/>
        <w:kinsoku/>
        <w:wordWrap/>
        <w:overflowPunct/>
        <w:topLinePunct w:val="0"/>
        <w:autoSpaceDE/>
        <w:autoSpaceDN/>
        <w:bidi w:val="0"/>
        <w:adjustRightInd/>
        <w:snapToGrid/>
        <w:spacing w:line="440" w:lineRule="exact"/>
        <w:ind w:left="0" w:firstLine="420" w:firstLineChars="200"/>
        <w:jc w:val="center"/>
        <w:textAlignment w:val="auto"/>
        <w:rPr>
          <w:rFonts w:hint="eastAsia" w:ascii="宋体" w:hAnsi="宋体" w:eastAsia="宋体" w:cs="宋体"/>
          <w:highlight w:val="yellow"/>
        </w:rPr>
      </w:pPr>
      <w:r>
        <w:rPr>
          <w:rFonts w:hint="eastAsia" w:ascii="宋体" w:hAnsi="宋体" w:eastAsia="宋体" w:cs="宋体"/>
          <w:lang w:val="en-US" w:eastAsia="zh-CN"/>
        </w:rPr>
        <w:t xml:space="preserve">                                   </w:t>
      </w:r>
      <w:r>
        <w:rPr>
          <w:rFonts w:hint="eastAsia" w:ascii="宋体" w:hAnsi="宋体" w:eastAsia="宋体" w:cs="宋体"/>
          <w:color w:val="FF0000"/>
          <w:lang w:val="en-US" w:eastAsia="zh-CN"/>
        </w:rPr>
        <w:t xml:space="preserve"> </w:t>
      </w:r>
      <w:r>
        <w:rPr>
          <w:rFonts w:hint="eastAsia" w:ascii="宋体" w:hAnsi="宋体" w:eastAsia="宋体" w:cs="宋体"/>
          <w:color w:val="auto"/>
          <w:lang w:val="en-US" w:eastAsia="zh-CN"/>
        </w:rPr>
        <w:t xml:space="preserve"> </w:t>
      </w:r>
      <w:r>
        <w:rPr>
          <w:rFonts w:hint="eastAsia" w:ascii="宋体" w:hAnsi="宋体" w:eastAsia="宋体" w:cs="宋体"/>
          <w:color w:val="auto"/>
          <w:highlight w:val="none"/>
          <w:lang w:val="en-US" w:eastAsia="zh-CN"/>
        </w:rPr>
        <w:t xml:space="preserve">  </w:t>
      </w:r>
      <w:r>
        <w:rPr>
          <w:rFonts w:hint="eastAsia" w:ascii="宋体" w:hAnsi="宋体" w:eastAsia="宋体" w:cs="宋体"/>
          <w:color w:val="000000" w:themeColor="text1"/>
          <w:highlight w:val="none"/>
          <w:lang w:val="en-US" w:eastAsia="zh-CN"/>
          <w14:textFill>
            <w14:solidFill>
              <w14:schemeClr w14:val="tx1"/>
            </w14:solidFill>
          </w14:textFill>
        </w:rPr>
        <w:t xml:space="preserve"> </w:t>
      </w:r>
      <w:r>
        <w:rPr>
          <w:rFonts w:hint="eastAsia" w:ascii="宋体" w:hAnsi="宋体" w:eastAsia="宋体" w:cs="宋体"/>
          <w:color w:val="FF0000"/>
          <w:highlight w:val="none"/>
          <w:lang w:val="en-US" w:eastAsia="zh-CN"/>
        </w:rPr>
        <w:t>2022</w:t>
      </w:r>
      <w:r>
        <w:rPr>
          <w:rFonts w:hint="eastAsia" w:ascii="宋体" w:hAnsi="宋体" w:eastAsia="宋体" w:cs="宋体"/>
          <w:color w:val="FF0000"/>
          <w:highlight w:val="none"/>
        </w:rPr>
        <w:t>年</w:t>
      </w:r>
      <w:r>
        <w:rPr>
          <w:rFonts w:hint="eastAsia" w:ascii="宋体" w:hAnsi="宋体" w:eastAsia="宋体" w:cs="宋体"/>
          <w:color w:val="FF0000"/>
          <w:highlight w:val="none"/>
          <w:lang w:val="en-US" w:eastAsia="zh-CN"/>
        </w:rPr>
        <w:t>06</w:t>
      </w:r>
      <w:r>
        <w:rPr>
          <w:rFonts w:hint="eastAsia" w:ascii="宋体" w:hAnsi="宋体" w:eastAsia="宋体" w:cs="宋体"/>
          <w:color w:val="FF0000"/>
          <w:highlight w:val="none"/>
        </w:rPr>
        <w:t>月</w:t>
      </w:r>
      <w:r>
        <w:rPr>
          <w:rFonts w:hint="eastAsia" w:ascii="宋体" w:hAnsi="宋体" w:cs="宋体"/>
          <w:color w:val="FF0000"/>
          <w:highlight w:val="none"/>
          <w:lang w:val="en-US" w:eastAsia="zh-CN"/>
        </w:rPr>
        <w:t>16</w:t>
      </w:r>
      <w:r>
        <w:rPr>
          <w:rFonts w:hint="eastAsia" w:ascii="宋体" w:hAnsi="宋体" w:eastAsia="宋体" w:cs="宋体"/>
          <w:color w:val="FF0000"/>
          <w:highlight w:val="none"/>
        </w:rPr>
        <w:t>日</w:t>
      </w:r>
    </w:p>
    <w:p>
      <w:pPr>
        <w:pStyle w:val="29"/>
        <w:widowControl/>
        <w:snapToGrid w:val="0"/>
        <w:spacing w:before="0" w:beforeAutospacing="0" w:after="0" w:afterAutospacing="0" w:line="360" w:lineRule="auto"/>
        <w:ind w:firstLine="420" w:firstLineChars="200"/>
        <w:rPr>
          <w:rFonts w:ascii="宋体" w:hAnsi="宋体" w:cs="宋体"/>
          <w:color w:val="auto"/>
          <w:sz w:val="21"/>
          <w:szCs w:val="21"/>
          <w:highlight w:val="none"/>
          <w:shd w:val="clear" w:color="auto" w:fill="FFFFFF"/>
        </w:rPr>
      </w:pPr>
    </w:p>
    <w:p>
      <w:pPr>
        <w:rPr>
          <w:rFonts w:hint="eastAsia" w:ascii="宋体" w:hAnsi="宋体"/>
          <w:b/>
          <w:color w:val="auto"/>
          <w:sz w:val="32"/>
          <w:szCs w:val="32"/>
          <w:highlight w:val="none"/>
        </w:rPr>
      </w:pPr>
      <w:bookmarkStart w:id="34" w:name="_Toc25063"/>
      <w:bookmarkStart w:id="35" w:name="_Toc23793"/>
      <w:bookmarkStart w:id="36" w:name="_Toc29890"/>
      <w:r>
        <w:rPr>
          <w:rFonts w:hint="eastAsia" w:ascii="宋体" w:hAnsi="宋体"/>
          <w:b/>
          <w:color w:val="auto"/>
          <w:sz w:val="32"/>
          <w:szCs w:val="32"/>
          <w:highlight w:val="none"/>
        </w:rPr>
        <w:br w:type="page"/>
      </w:r>
    </w:p>
    <w:p>
      <w:pPr>
        <w:widowControl/>
        <w:spacing w:line="360" w:lineRule="auto"/>
        <w:ind w:firstLine="643" w:firstLineChars="200"/>
        <w:jc w:val="center"/>
        <w:rPr>
          <w:rFonts w:ascii="宋体" w:hAnsi="宋体"/>
          <w:b/>
          <w:color w:val="auto"/>
          <w:sz w:val="32"/>
          <w:szCs w:val="32"/>
          <w:highlight w:val="none"/>
        </w:rPr>
      </w:pPr>
      <w:r>
        <w:rPr>
          <w:rFonts w:hint="eastAsia" w:ascii="宋体" w:hAnsi="宋体"/>
          <w:b/>
          <w:color w:val="auto"/>
          <w:sz w:val="32"/>
          <w:szCs w:val="32"/>
          <w:highlight w:val="none"/>
        </w:rPr>
        <w:t xml:space="preserve">第二章  </w:t>
      </w:r>
      <w:r>
        <w:rPr>
          <w:rFonts w:hint="eastAsia" w:ascii="宋体" w:hAnsi="宋体"/>
          <w:b/>
          <w:color w:val="auto"/>
          <w:sz w:val="32"/>
          <w:szCs w:val="32"/>
          <w:highlight w:val="none"/>
          <w:lang w:eastAsia="zh-CN"/>
        </w:rPr>
        <w:t>采购</w:t>
      </w:r>
      <w:r>
        <w:rPr>
          <w:rFonts w:hint="eastAsia" w:ascii="宋体" w:hAnsi="宋体"/>
          <w:b/>
          <w:color w:val="auto"/>
          <w:sz w:val="32"/>
          <w:szCs w:val="32"/>
          <w:highlight w:val="none"/>
        </w:rPr>
        <w:t>需求</w:t>
      </w:r>
      <w:bookmarkEnd w:id="34"/>
      <w:bookmarkStart w:id="37" w:name="_Toc23610"/>
      <w:bookmarkStart w:id="38" w:name="_Toc9989"/>
      <w:bookmarkStart w:id="39" w:name="_Toc31536"/>
    </w:p>
    <w:bookmarkEnd w:id="37"/>
    <w:bookmarkEnd w:id="38"/>
    <w:bookmarkEnd w:id="39"/>
    <w:p>
      <w:pPr>
        <w:pStyle w:val="14"/>
        <w:keepNext w:val="0"/>
        <w:keepLines w:val="0"/>
        <w:pageBreakBefore w:val="0"/>
        <w:kinsoku/>
        <w:wordWrap/>
        <w:overflowPunct/>
        <w:topLinePunct w:val="0"/>
        <w:autoSpaceDE/>
        <w:autoSpaceDN/>
        <w:bidi w:val="0"/>
        <w:adjustRightInd/>
        <w:snapToGrid/>
        <w:spacing w:beforeAutospacing="0" w:afterAutospacing="0" w:line="500" w:lineRule="exact"/>
        <w:jc w:val="both"/>
        <w:rPr>
          <w:rFonts w:hint="eastAsia" w:ascii="宋体" w:hAnsi="宋体" w:eastAsia="宋体" w:cs="宋体"/>
          <w:kern w:val="2"/>
          <w:sz w:val="21"/>
          <w:szCs w:val="24"/>
          <w:lang w:val="en-US" w:eastAsia="zh-CN" w:bidi="ar-SA"/>
        </w:rPr>
      </w:pPr>
      <w:r>
        <w:rPr>
          <w:rFonts w:hint="eastAsia" w:cs="宋体"/>
          <w:kern w:val="2"/>
          <w:sz w:val="21"/>
          <w:szCs w:val="24"/>
          <w:lang w:val="en-US" w:eastAsia="zh-CN" w:bidi="ar-SA"/>
        </w:rPr>
        <w:t>一、</w:t>
      </w:r>
      <w:r>
        <w:rPr>
          <w:rFonts w:hint="eastAsia" w:ascii="宋体" w:hAnsi="宋体" w:eastAsia="宋体" w:cs="宋体"/>
          <w:kern w:val="2"/>
          <w:sz w:val="21"/>
          <w:szCs w:val="24"/>
          <w:lang w:val="en-US" w:eastAsia="zh-CN" w:bidi="ar-SA"/>
        </w:rPr>
        <w:t>项目名称、数量：</w:t>
      </w:r>
      <w:r>
        <w:rPr>
          <w:rFonts w:hint="eastAsia" w:cs="宋体"/>
          <w:kern w:val="2"/>
          <w:sz w:val="21"/>
          <w:szCs w:val="24"/>
          <w:lang w:val="en-US" w:eastAsia="zh-CN" w:bidi="ar-SA"/>
        </w:rPr>
        <w:t>驻马店市中心医院四号楼广场景观设计项目</w:t>
      </w:r>
    </w:p>
    <w:p>
      <w:pPr>
        <w:pStyle w:val="14"/>
        <w:keepNext w:val="0"/>
        <w:keepLines w:val="0"/>
        <w:pageBreakBefore w:val="0"/>
        <w:kinsoku/>
        <w:wordWrap/>
        <w:overflowPunct/>
        <w:topLinePunct w:val="0"/>
        <w:autoSpaceDE/>
        <w:autoSpaceDN/>
        <w:bidi w:val="0"/>
        <w:adjustRightInd/>
        <w:snapToGrid/>
        <w:spacing w:beforeAutospacing="0" w:afterAutospacing="0" w:line="500" w:lineRule="exact"/>
        <w:jc w:val="both"/>
        <w:rPr>
          <w:rFonts w:hint="eastAsia" w:cs="宋体"/>
          <w:kern w:val="2"/>
          <w:sz w:val="21"/>
          <w:szCs w:val="24"/>
          <w:lang w:val="en-US" w:eastAsia="zh-CN" w:bidi="ar-SA"/>
        </w:rPr>
      </w:pPr>
      <w:r>
        <w:rPr>
          <w:rFonts w:hint="eastAsia" w:cs="宋体"/>
          <w:kern w:val="2"/>
          <w:sz w:val="21"/>
          <w:szCs w:val="24"/>
          <w:lang w:val="en-US" w:eastAsia="zh-CN" w:bidi="ar-SA"/>
        </w:rPr>
        <w:t>二、项目用途说明：对驻马店市中心医院四号楼广场景观设计</w:t>
      </w:r>
      <w:r>
        <w:rPr>
          <w:rFonts w:hint="eastAsia" w:ascii="宋体" w:hAnsi="宋体" w:eastAsia="宋体" w:cs="宋体"/>
          <w:kern w:val="2"/>
          <w:sz w:val="21"/>
          <w:szCs w:val="24"/>
          <w:lang w:val="en-US" w:eastAsia="zh-CN" w:bidi="ar-SA"/>
        </w:rPr>
        <w:t xml:space="preserve"> </w:t>
      </w:r>
      <w:r>
        <w:rPr>
          <w:rFonts w:hint="eastAsia" w:cs="宋体"/>
          <w:kern w:val="2"/>
          <w:sz w:val="21"/>
          <w:szCs w:val="24"/>
          <w:lang w:val="en-US" w:eastAsia="zh-CN" w:bidi="ar-SA"/>
        </w:rPr>
        <w:t xml:space="preserve">    </w:t>
      </w:r>
    </w:p>
    <w:p>
      <w:pPr>
        <w:pStyle w:val="14"/>
        <w:keepNext w:val="0"/>
        <w:keepLines w:val="0"/>
        <w:pageBreakBefore w:val="0"/>
        <w:kinsoku/>
        <w:wordWrap/>
        <w:overflowPunct/>
        <w:topLinePunct w:val="0"/>
        <w:autoSpaceDE/>
        <w:autoSpaceDN/>
        <w:bidi w:val="0"/>
        <w:adjustRightInd/>
        <w:snapToGrid/>
        <w:spacing w:beforeAutospacing="0" w:afterAutospacing="0" w:line="500" w:lineRule="exact"/>
        <w:jc w:val="both"/>
        <w:rPr>
          <w:rFonts w:hint="eastAsia" w:cs="宋体"/>
          <w:kern w:val="2"/>
          <w:sz w:val="21"/>
          <w:szCs w:val="24"/>
          <w:lang w:val="en-US" w:eastAsia="zh-CN" w:bidi="ar-SA"/>
        </w:rPr>
      </w:pPr>
      <w:r>
        <w:rPr>
          <w:rFonts w:hint="eastAsia" w:cs="宋体"/>
          <w:kern w:val="2"/>
          <w:sz w:val="21"/>
          <w:szCs w:val="24"/>
          <w:lang w:val="en-US" w:eastAsia="zh-CN" w:bidi="ar-SA"/>
        </w:rPr>
        <w:t>三、配置规格、附件及零配件（包括专用工具）：</w:t>
      </w:r>
    </w:p>
    <w:p>
      <w:pPr>
        <w:pStyle w:val="14"/>
        <w:keepNext w:val="0"/>
        <w:keepLines w:val="0"/>
        <w:pageBreakBefore w:val="0"/>
        <w:kinsoku/>
        <w:wordWrap/>
        <w:overflowPunct/>
        <w:topLinePunct w:val="0"/>
        <w:autoSpaceDE/>
        <w:autoSpaceDN/>
        <w:bidi w:val="0"/>
        <w:adjustRightInd/>
        <w:snapToGrid/>
        <w:spacing w:beforeAutospacing="0" w:afterAutospacing="0" w:line="500" w:lineRule="exact"/>
        <w:ind w:firstLine="420" w:firstLineChars="200"/>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四号楼广场景观项目建筑面积约为2472平方米。</w:t>
      </w:r>
    </w:p>
    <w:p>
      <w:pPr>
        <w:pStyle w:val="14"/>
        <w:keepNext w:val="0"/>
        <w:keepLines w:val="0"/>
        <w:pageBreakBefore w:val="0"/>
        <w:kinsoku/>
        <w:wordWrap/>
        <w:overflowPunct/>
        <w:topLinePunct w:val="0"/>
        <w:autoSpaceDE/>
        <w:autoSpaceDN/>
        <w:bidi w:val="0"/>
        <w:adjustRightInd/>
        <w:snapToGrid/>
        <w:spacing w:beforeAutospacing="0" w:afterAutospacing="0" w:line="500" w:lineRule="exact"/>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四、详细技术要求、参数及产品资料等：</w:t>
      </w:r>
    </w:p>
    <w:p>
      <w:pPr>
        <w:pStyle w:val="14"/>
        <w:keepNext w:val="0"/>
        <w:keepLines w:val="0"/>
        <w:pageBreakBefore w:val="0"/>
        <w:kinsoku/>
        <w:wordWrap/>
        <w:overflowPunct/>
        <w:topLinePunct w:val="0"/>
        <w:autoSpaceDE/>
        <w:autoSpaceDN/>
        <w:bidi w:val="0"/>
        <w:adjustRightInd/>
        <w:snapToGrid/>
        <w:spacing w:beforeAutospacing="0" w:afterAutospacing="0" w:line="500" w:lineRule="exact"/>
        <w:ind w:firstLine="420" w:firstLineChars="200"/>
        <w:jc w:val="both"/>
        <w:rPr>
          <w:rFonts w:hint="eastAsia" w:cs="宋体"/>
          <w:kern w:val="2"/>
          <w:sz w:val="21"/>
          <w:szCs w:val="24"/>
          <w:lang w:val="en-US" w:eastAsia="zh-CN" w:bidi="ar-SA"/>
        </w:rPr>
      </w:pPr>
      <w:r>
        <w:rPr>
          <w:rFonts w:hint="eastAsia" w:cs="宋体"/>
          <w:kern w:val="2"/>
          <w:sz w:val="21"/>
          <w:szCs w:val="24"/>
          <w:lang w:val="en-US" w:eastAsia="zh-CN" w:bidi="ar-SA"/>
        </w:rPr>
        <w:t>①、税务登记证、营业执照、组织机构代码或三证合一的营业执照。②、法人签字并加盖公章的委托书。③、被委托人的身份证。④、失信被执行人、重大税收违法案件当事人名单、政府采购严重违法失信行为记录名单查询记录（“信用中国”及“中国政府采购网”查询记录）。⑤、“近三年内参加招投标活动在经营活动中没有重大违法违纪记录”的书面声明。⑥、公司具有履行合同所必需的设备和专业技术能力；近三年内有类似业绩，且公司具有一名</w:t>
      </w:r>
      <w:r>
        <w:rPr>
          <w:rFonts w:hint="eastAsia" w:ascii="宋体" w:hAnsi="宋体" w:eastAsia="宋体" w:cs="宋体"/>
          <w:highlight w:val="none"/>
          <w:lang w:val="en-US" w:eastAsia="zh-CN"/>
        </w:rPr>
        <w:t>中级及以上</w:t>
      </w:r>
      <w:r>
        <w:rPr>
          <w:rFonts w:hint="eastAsia" w:ascii="宋体" w:hAnsi="宋体" w:cs="宋体"/>
          <w:highlight w:val="none"/>
          <w:lang w:val="en-US" w:eastAsia="zh-CN"/>
        </w:rPr>
        <w:t>环境艺术师职称的工程师</w:t>
      </w:r>
      <w:r>
        <w:rPr>
          <w:rFonts w:hint="eastAsia" w:cs="宋体"/>
          <w:kern w:val="2"/>
          <w:sz w:val="21"/>
          <w:szCs w:val="24"/>
          <w:highlight w:val="none"/>
          <w:lang w:val="en-US" w:eastAsia="zh-CN" w:bidi="ar-SA"/>
        </w:rPr>
        <w:t>。开标时，投标企业需提供上述证件的原件或复印件</w:t>
      </w:r>
      <w:r>
        <w:rPr>
          <w:rFonts w:hint="eastAsia" w:cs="宋体"/>
          <w:kern w:val="2"/>
          <w:sz w:val="21"/>
          <w:szCs w:val="24"/>
          <w:lang w:val="en-US" w:eastAsia="zh-CN" w:bidi="ar-SA"/>
        </w:rPr>
        <w:t>加公章由评委审验。</w:t>
      </w:r>
    </w:p>
    <w:p>
      <w:pPr>
        <w:pStyle w:val="14"/>
        <w:keepNext w:val="0"/>
        <w:keepLines w:val="0"/>
        <w:pageBreakBefore w:val="0"/>
        <w:kinsoku/>
        <w:wordWrap/>
        <w:overflowPunct/>
        <w:topLinePunct w:val="0"/>
        <w:autoSpaceDE/>
        <w:autoSpaceDN/>
        <w:bidi w:val="0"/>
        <w:adjustRightInd/>
        <w:snapToGrid/>
        <w:spacing w:beforeAutospacing="0" w:afterAutospacing="0" w:line="500" w:lineRule="exact"/>
        <w:jc w:val="both"/>
        <w:rPr>
          <w:rFonts w:hint="eastAsia" w:cs="宋体"/>
          <w:kern w:val="2"/>
          <w:sz w:val="21"/>
          <w:szCs w:val="24"/>
          <w:lang w:val="en-US" w:eastAsia="zh-CN" w:bidi="ar-SA"/>
        </w:rPr>
      </w:pPr>
      <w:r>
        <w:rPr>
          <w:rFonts w:hint="eastAsia" w:cs="宋体"/>
          <w:kern w:val="2"/>
          <w:sz w:val="21"/>
          <w:szCs w:val="24"/>
          <w:lang w:val="en-US" w:eastAsia="zh-CN" w:bidi="ar-SA"/>
        </w:rPr>
        <w:t>五、售后服务条件及交货日期（或工期）：</w:t>
      </w:r>
    </w:p>
    <w:bookmarkEnd w:id="35"/>
    <w:bookmarkEnd w:id="36"/>
    <w:p>
      <w:pPr>
        <w:pStyle w:val="14"/>
        <w:keepNext w:val="0"/>
        <w:keepLines w:val="0"/>
        <w:pageBreakBefore w:val="0"/>
        <w:kinsoku/>
        <w:wordWrap/>
        <w:overflowPunct/>
        <w:topLinePunct w:val="0"/>
        <w:autoSpaceDE/>
        <w:autoSpaceDN/>
        <w:bidi w:val="0"/>
        <w:adjustRightInd/>
        <w:snapToGrid/>
        <w:spacing w:beforeAutospacing="0" w:afterAutospacing="0" w:line="500" w:lineRule="exact"/>
        <w:ind w:firstLine="420" w:firstLineChars="200"/>
        <w:jc w:val="both"/>
        <w:rPr>
          <w:rFonts w:hint="eastAsia" w:cs="宋体"/>
          <w:kern w:val="2"/>
          <w:sz w:val="21"/>
          <w:szCs w:val="24"/>
          <w:lang w:val="en-US" w:eastAsia="zh-CN" w:bidi="ar-SA"/>
        </w:rPr>
      </w:pPr>
      <w:r>
        <w:rPr>
          <w:rFonts w:hint="eastAsia" w:cs="宋体"/>
          <w:kern w:val="2"/>
          <w:sz w:val="21"/>
          <w:szCs w:val="24"/>
          <w:lang w:val="en-US" w:eastAsia="zh-CN" w:bidi="ar-SA"/>
        </w:rPr>
        <w:t>合同外增项按原招标优惠比率结算。</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color w:val="auto"/>
          <w:sz w:val="30"/>
          <w:szCs w:val="30"/>
          <w:highlight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b/>
          <w:bCs/>
          <w:color w:val="auto"/>
          <w:sz w:val="30"/>
          <w:szCs w:val="30"/>
          <w:highlight w:val="none"/>
        </w:rPr>
      </w:pPr>
      <w:r>
        <w:rPr>
          <w:rFonts w:hint="eastAsia"/>
          <w:b/>
          <w:bCs/>
          <w:color w:val="auto"/>
          <w:sz w:val="30"/>
          <w:szCs w:val="30"/>
          <w:highlight w:val="none"/>
        </w:rPr>
        <w:t>商务要求</w:t>
      </w:r>
    </w:p>
    <w:tbl>
      <w:tblPr>
        <w:tblStyle w:val="33"/>
        <w:tblpPr w:leftFromText="180" w:rightFromText="180" w:vertAnchor="text" w:tblpXSpec="center" w:tblpY="1"/>
        <w:tblOverlap w:val="never"/>
        <w:tblW w:w="948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32"/>
        <w:gridCol w:w="73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4"/>
              <w:ind w:left="0" w:lef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合同签订时间</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4"/>
              <w:ind w:left="0"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自中标通知书发出之日起三十个日历日内。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4"/>
              <w:ind w:left="0" w:lef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服务地点</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4"/>
              <w:ind w:left="0" w:leftChars="0"/>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4"/>
              <w:ind w:left="0" w:lef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合同履行期限</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4"/>
              <w:ind w:left="0" w:leftChars="0"/>
              <w:jc w:val="left"/>
              <w:rPr>
                <w:rFonts w:hint="default" w:ascii="宋体" w:hAnsi="宋体" w:eastAsia="宋体" w:cs="宋体"/>
                <w:color w:val="FF0000"/>
                <w:sz w:val="21"/>
                <w:szCs w:val="21"/>
                <w:lang w:val="en-US" w:eastAsia="zh-CN"/>
              </w:rPr>
            </w:pPr>
            <w:r>
              <w:rPr>
                <w:rFonts w:hint="eastAsia" w:ascii="宋体" w:hAnsi="宋体" w:eastAsia="宋体" w:cs="宋体"/>
                <w:sz w:val="21"/>
                <w:szCs w:val="21"/>
                <w:lang w:val="en-US" w:eastAsia="zh-CN"/>
              </w:rPr>
              <w:t>以合同约定为准。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4"/>
              <w:ind w:left="0" w:lef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验   收</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4"/>
              <w:ind w:left="0"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由采购人按照有关规定组织验收。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4"/>
              <w:ind w:left="0" w:left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服务要求</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4"/>
              <w:ind w:left="0" w:leftChars="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合格。</w:t>
            </w:r>
            <w:r>
              <w:rPr>
                <w:rFonts w:hint="eastAsia" w:cs="宋体"/>
                <w:color w:val="auto"/>
                <w:sz w:val="21"/>
                <w:szCs w:val="21"/>
                <w:highlight w:val="none"/>
                <w:lang w:val="en-US" w:eastAsia="zh-CN"/>
              </w:rPr>
              <w:t>（以采购人要求为准）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4"/>
              <w:ind w:left="0" w:lef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付款方式</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4"/>
              <w:ind w:left="0"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以合同签订为准。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7"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4"/>
              <w:ind w:left="0" w:lef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售后技术服务要求、售后服务保障要求</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4"/>
              <w:ind w:left="0"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中标人须提供后期服务保障和技术支持。</w:t>
            </w:r>
          </w:p>
        </w:tc>
      </w:tr>
    </w:tbl>
    <w:p>
      <w:pPr>
        <w:snapToGrid w:val="0"/>
        <w:spacing w:line="480" w:lineRule="auto"/>
        <w:jc w:val="center"/>
        <w:rPr>
          <w:rFonts w:hint="eastAsia"/>
          <w:b/>
          <w:bCs/>
          <w:color w:val="auto"/>
          <w:sz w:val="30"/>
          <w:szCs w:val="30"/>
          <w:highlight w:val="none"/>
        </w:rPr>
      </w:pPr>
    </w:p>
    <w:p>
      <w:pPr>
        <w:snapToGrid w:val="0"/>
        <w:spacing w:line="480" w:lineRule="auto"/>
        <w:jc w:val="center"/>
        <w:rPr>
          <w:rFonts w:hint="eastAsia"/>
          <w:b/>
          <w:bCs/>
          <w:color w:val="auto"/>
          <w:sz w:val="30"/>
          <w:szCs w:val="30"/>
          <w:highlight w:val="none"/>
        </w:rPr>
      </w:pPr>
    </w:p>
    <w:p>
      <w:pPr>
        <w:snapToGrid w:val="0"/>
        <w:spacing w:line="480" w:lineRule="auto"/>
        <w:jc w:val="center"/>
        <w:rPr>
          <w:b/>
          <w:bCs/>
          <w:color w:val="auto"/>
          <w:sz w:val="30"/>
          <w:szCs w:val="30"/>
          <w:highlight w:val="none"/>
        </w:rPr>
      </w:pPr>
      <w:r>
        <w:rPr>
          <w:rFonts w:hint="eastAsia"/>
          <w:b/>
          <w:bCs/>
          <w:color w:val="auto"/>
          <w:sz w:val="30"/>
          <w:szCs w:val="30"/>
          <w:highlight w:val="none"/>
        </w:rPr>
        <w:t xml:space="preserve"> 采购人对项目的特殊要求及说明</w:t>
      </w:r>
    </w:p>
    <w:tbl>
      <w:tblPr>
        <w:tblStyle w:val="33"/>
        <w:tblW w:w="936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26"/>
        <w:gridCol w:w="73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46" w:hRule="atLeast"/>
          <w:jc w:val="center"/>
        </w:trPr>
        <w:tc>
          <w:tcPr>
            <w:tcW w:w="202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采购人的特殊要求及说明理由</w:t>
            </w:r>
          </w:p>
        </w:tc>
        <w:tc>
          <w:tcPr>
            <w:tcW w:w="7343"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不接受联合体投标，不允许转包和分包。</w:t>
            </w:r>
          </w:p>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、授权评标委员会确定一名中标人并推荐两名中标候选人。</w:t>
            </w:r>
          </w:p>
          <w:p>
            <w:pPr>
              <w:widowControl/>
              <w:snapToGrid w:val="0"/>
              <w:spacing w:line="360" w:lineRule="auto"/>
              <w:rPr>
                <w:rFonts w:ascii="宋体" w:hAnsi="宋体" w:cs="宋体"/>
                <w:color w:val="auto"/>
                <w:spacing w:val="14"/>
                <w:szCs w:val="21"/>
                <w:highlight w:val="none"/>
              </w:rPr>
            </w:pPr>
            <w:r>
              <w:rPr>
                <w:rFonts w:hint="eastAsia"/>
                <w:color w:val="auto"/>
                <w:sz w:val="21"/>
                <w:szCs w:val="21"/>
                <w:highlight w:val="none"/>
                <w:lang w:val="en-US" w:eastAsia="zh-CN"/>
              </w:rPr>
              <w:t>3</w:t>
            </w:r>
            <w:r>
              <w:rPr>
                <w:rFonts w:hint="eastAsia"/>
                <w:color w:val="auto"/>
                <w:sz w:val="21"/>
                <w:szCs w:val="21"/>
                <w:highlight w:val="none"/>
              </w:rPr>
              <w:t>、</w:t>
            </w:r>
            <w:r>
              <w:rPr>
                <w:rFonts w:hint="eastAsia" w:ascii="宋体" w:hAnsi="宋体" w:cs="宋体"/>
                <w:color w:val="auto"/>
                <w:spacing w:val="14"/>
                <w:szCs w:val="21"/>
                <w:highlight w:val="none"/>
              </w:rPr>
              <w:t>供应商应根据</w:t>
            </w:r>
            <w:r>
              <w:rPr>
                <w:rFonts w:hint="eastAsia" w:ascii="宋体" w:hAnsi="宋体" w:cs="宋体"/>
                <w:color w:val="auto"/>
                <w:spacing w:val="14"/>
                <w:szCs w:val="21"/>
                <w:highlight w:val="none"/>
                <w:lang w:eastAsia="zh-CN"/>
              </w:rPr>
              <w:t>采购</w:t>
            </w:r>
            <w:r>
              <w:rPr>
                <w:rFonts w:hint="eastAsia" w:ascii="宋体" w:hAnsi="宋体" w:cs="宋体"/>
                <w:color w:val="auto"/>
                <w:spacing w:val="14"/>
                <w:szCs w:val="21"/>
                <w:highlight w:val="none"/>
              </w:rPr>
              <w:t>文件的要求提供技术响应表、商务响应表等内容以对</w:t>
            </w:r>
            <w:r>
              <w:rPr>
                <w:rFonts w:hint="eastAsia" w:ascii="宋体" w:hAnsi="宋体" w:cs="宋体"/>
                <w:color w:val="auto"/>
                <w:spacing w:val="14"/>
                <w:szCs w:val="21"/>
                <w:highlight w:val="none"/>
                <w:lang w:eastAsia="zh-CN"/>
              </w:rPr>
              <w:t>采购</w:t>
            </w:r>
            <w:r>
              <w:rPr>
                <w:rFonts w:hint="eastAsia" w:ascii="宋体" w:hAnsi="宋体" w:cs="宋体"/>
                <w:color w:val="auto"/>
                <w:spacing w:val="14"/>
                <w:szCs w:val="21"/>
                <w:highlight w:val="none"/>
              </w:rPr>
              <w:t>文件作出响应。</w:t>
            </w:r>
          </w:p>
        </w:tc>
      </w:tr>
    </w:tbl>
    <w:p>
      <w:pPr>
        <w:rPr>
          <w:color w:val="auto"/>
          <w:highlight w:val="none"/>
        </w:rPr>
      </w:pPr>
    </w:p>
    <w:p>
      <w:pPr>
        <w:jc w:val="center"/>
        <w:rPr>
          <w:rFonts w:hint="eastAsia"/>
          <w:b/>
          <w:bCs/>
          <w:color w:val="auto"/>
          <w:sz w:val="32"/>
          <w:szCs w:val="32"/>
          <w:highlight w:val="none"/>
        </w:rPr>
      </w:pPr>
      <w:bookmarkStart w:id="40" w:name="_Toc14504"/>
    </w:p>
    <w:p>
      <w:pPr>
        <w:jc w:val="center"/>
        <w:rPr>
          <w:rFonts w:hint="eastAsia"/>
          <w:b/>
          <w:bCs/>
          <w:color w:val="auto"/>
          <w:sz w:val="32"/>
          <w:szCs w:val="32"/>
          <w:highlight w:val="none"/>
        </w:rPr>
      </w:pPr>
    </w:p>
    <w:p>
      <w:pPr>
        <w:rPr>
          <w:rFonts w:hint="eastAsia"/>
          <w:b/>
          <w:bCs/>
          <w:color w:val="auto"/>
          <w:sz w:val="32"/>
          <w:szCs w:val="32"/>
          <w:highlight w:val="none"/>
        </w:rPr>
      </w:pPr>
      <w:r>
        <w:rPr>
          <w:rFonts w:hint="eastAsia"/>
          <w:b/>
          <w:bCs/>
          <w:color w:val="auto"/>
          <w:sz w:val="32"/>
          <w:szCs w:val="32"/>
          <w:highlight w:val="none"/>
        </w:rPr>
        <w:br w:type="page"/>
      </w:r>
    </w:p>
    <w:p>
      <w:pPr>
        <w:jc w:val="center"/>
        <w:rPr>
          <w:b/>
          <w:bCs/>
          <w:color w:val="auto"/>
          <w:sz w:val="32"/>
          <w:szCs w:val="32"/>
          <w:highlight w:val="none"/>
        </w:rPr>
      </w:pPr>
      <w:r>
        <w:rPr>
          <w:rFonts w:hint="eastAsia"/>
          <w:b/>
          <w:bCs/>
          <w:color w:val="auto"/>
          <w:sz w:val="32"/>
          <w:szCs w:val="32"/>
          <w:highlight w:val="none"/>
        </w:rPr>
        <w:t>第三章  投标人须知</w:t>
      </w:r>
      <w:bookmarkEnd w:id="40"/>
    </w:p>
    <w:p>
      <w:pPr>
        <w:snapToGrid w:val="0"/>
        <w:spacing w:beforeLines="50" w:line="360" w:lineRule="auto"/>
        <w:jc w:val="center"/>
        <w:rPr>
          <w:rFonts w:ascii="宋体" w:hAnsi="宋体"/>
          <w:color w:val="auto"/>
          <w:sz w:val="28"/>
          <w:szCs w:val="28"/>
          <w:highlight w:val="none"/>
        </w:rPr>
      </w:pPr>
      <w:r>
        <w:rPr>
          <w:rFonts w:hint="eastAsia" w:ascii="宋体" w:hAnsi="宋体"/>
          <w:color w:val="auto"/>
          <w:sz w:val="28"/>
          <w:szCs w:val="28"/>
          <w:highlight w:val="none"/>
        </w:rPr>
        <w:t>投标人须知前附表</w:t>
      </w:r>
    </w:p>
    <w:tbl>
      <w:tblPr>
        <w:tblStyle w:val="33"/>
        <w:tblW w:w="9840" w:type="dxa"/>
        <w:jc w:val="center"/>
        <w:tblLayout w:type="fixed"/>
        <w:tblCellMar>
          <w:top w:w="0" w:type="dxa"/>
          <w:left w:w="0" w:type="dxa"/>
          <w:bottom w:w="0" w:type="dxa"/>
          <w:right w:w="0" w:type="dxa"/>
        </w:tblCellMar>
      </w:tblPr>
      <w:tblGrid>
        <w:gridCol w:w="926"/>
        <w:gridCol w:w="8914"/>
      </w:tblGrid>
      <w:tr>
        <w:tblPrEx>
          <w:tblCellMar>
            <w:top w:w="0" w:type="dxa"/>
            <w:left w:w="0" w:type="dxa"/>
            <w:bottom w:w="0" w:type="dxa"/>
            <w:right w:w="0" w:type="dxa"/>
          </w:tblCellMar>
        </w:tblPrEx>
        <w:trPr>
          <w:trHeight w:val="450" w:hRule="atLeast"/>
          <w:jc w:val="center"/>
        </w:trPr>
        <w:tc>
          <w:tcPr>
            <w:tcW w:w="926" w:type="dxa"/>
            <w:tcBorders>
              <w:top w:val="single" w:color="auto" w:sz="8"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8914"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内容、要求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outlineLvl w:val="0"/>
              <w:rPr>
                <w:rFonts w:hint="eastAsia" w:ascii="宋体" w:hAnsi="宋体" w:eastAsia="宋体" w:cs="宋体"/>
              </w:rPr>
            </w:pPr>
            <w:r>
              <w:rPr>
                <w:rFonts w:hint="eastAsia"/>
                <w:color w:val="auto"/>
                <w:highlight w:val="none"/>
              </w:rPr>
              <w:t>1.1 项目名称：</w:t>
            </w:r>
            <w:r>
              <w:rPr>
                <w:rFonts w:hint="eastAsia"/>
                <w:color w:val="auto"/>
                <w:highlight w:val="none"/>
                <w:lang w:val="en-US" w:eastAsia="zh-CN"/>
              </w:rPr>
              <w:t>驻马店市中心医院四号楼广场景观设计项目</w:t>
            </w:r>
          </w:p>
          <w:p>
            <w:pPr>
              <w:widowControl/>
              <w:snapToGrid w:val="0"/>
              <w:spacing w:line="440" w:lineRule="exact"/>
              <w:jc w:val="left"/>
              <w:outlineLvl w:val="0"/>
              <w:rPr>
                <w:rFonts w:hint="eastAsia"/>
                <w:color w:val="auto"/>
                <w:highlight w:val="none"/>
              </w:rPr>
            </w:pPr>
            <w:r>
              <w:rPr>
                <w:rFonts w:hint="eastAsia"/>
                <w:color w:val="auto"/>
                <w:highlight w:val="none"/>
              </w:rPr>
              <w:t>1.2 采购人名称：驻马店市中心医院</w:t>
            </w:r>
          </w:p>
          <w:p>
            <w:pPr>
              <w:widowControl/>
              <w:snapToGrid w:val="0"/>
              <w:spacing w:line="440" w:lineRule="exact"/>
              <w:jc w:val="left"/>
              <w:outlineLvl w:val="0"/>
              <w:rPr>
                <w:rFonts w:ascii="Times New Roman" w:hAnsi="Times New Roman" w:eastAsia="宋体" w:cs="Times New Roman"/>
                <w:color w:val="auto"/>
                <w:kern w:val="2"/>
                <w:sz w:val="21"/>
                <w:szCs w:val="24"/>
                <w:highlight w:val="none"/>
                <w:lang w:val="en-US" w:eastAsia="zh-CN" w:bidi="ar-SA"/>
              </w:rPr>
            </w:pPr>
            <w:r>
              <w:rPr>
                <w:rFonts w:hint="eastAsia"/>
                <w:color w:val="auto"/>
                <w:highlight w:val="none"/>
              </w:rPr>
              <w:t>1.</w:t>
            </w:r>
            <w:r>
              <w:rPr>
                <w:rFonts w:hint="eastAsia"/>
                <w:color w:val="auto"/>
                <w:highlight w:val="none"/>
                <w:lang w:val="en-US" w:eastAsia="zh-CN"/>
              </w:rPr>
              <w:t>3</w:t>
            </w:r>
            <w:r>
              <w:rPr>
                <w:rFonts w:hint="eastAsia"/>
                <w:color w:val="auto"/>
                <w:highlight w:val="none"/>
              </w:rPr>
              <w:t>采购范围：详</w:t>
            </w:r>
            <w:r>
              <w:rPr>
                <w:rFonts w:hint="eastAsia"/>
                <w:color w:val="auto"/>
                <w:highlight w:val="none"/>
                <w:lang w:val="en-US" w:eastAsia="zh-CN"/>
              </w:rPr>
              <w:t>见第二章采购</w:t>
            </w:r>
            <w:r>
              <w:rPr>
                <w:rFonts w:hint="eastAsia"/>
                <w:color w:val="auto"/>
                <w:highlight w:val="none"/>
              </w:rPr>
              <w:t>需求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rPr>
                <w:rFonts w:ascii="宋体" w:hAnsi="宋体" w:cs="宋体"/>
                <w:color w:val="auto"/>
                <w:kern w:val="0"/>
                <w:szCs w:val="21"/>
                <w:highlight w:val="none"/>
              </w:rPr>
            </w:pPr>
            <w:r>
              <w:rPr>
                <w:rFonts w:hint="eastAsia" w:ascii="宋体" w:hAnsi="宋体" w:cs="宋体"/>
                <w:color w:val="auto"/>
                <w:kern w:val="0"/>
                <w:szCs w:val="21"/>
                <w:highlight w:val="none"/>
              </w:rPr>
              <w:t>合格投标人：具备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公告第二项规定的条件。</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采购预算（最高投标限价）：</w:t>
            </w:r>
            <w:r>
              <w:rPr>
                <w:rFonts w:hint="eastAsia" w:ascii="宋体" w:hAnsi="宋体" w:eastAsia="宋体" w:cs="宋体"/>
                <w:lang w:val="en-US" w:eastAsia="zh-CN"/>
              </w:rPr>
              <w:t>222400</w:t>
            </w:r>
            <w:r>
              <w:rPr>
                <w:rFonts w:hint="eastAsia" w:ascii="宋体" w:hAnsi="宋体" w:cs="宋体"/>
                <w:color w:val="auto"/>
                <w:kern w:val="0"/>
                <w:szCs w:val="21"/>
                <w:highlight w:val="none"/>
                <w:lang w:val="en-US" w:eastAsia="zh-CN"/>
              </w:rPr>
              <w:t>.00</w:t>
            </w:r>
            <w:r>
              <w:rPr>
                <w:rFonts w:hint="eastAsia" w:ascii="宋体" w:hAnsi="宋体" w:cs="宋体"/>
                <w:color w:val="auto"/>
                <w:kern w:val="0"/>
                <w:szCs w:val="21"/>
                <w:highlight w:val="none"/>
              </w:rPr>
              <w:t>元</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3.1 本项目投标以人民币报价。</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3.2 供应商的报价超过采购预算，采购人不能支付的，按废标处理。</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3.3 本项目</w:t>
            </w:r>
            <w:r>
              <w:rPr>
                <w:rFonts w:hint="eastAsia" w:ascii="宋体" w:hAnsi="宋体" w:cs="宋体"/>
                <w:color w:val="auto"/>
                <w:kern w:val="0"/>
                <w:szCs w:val="21"/>
                <w:highlight w:val="none"/>
                <w:lang w:val="en-US" w:eastAsia="zh-CN"/>
              </w:rPr>
              <w:t>由成交供应商缴纳</w:t>
            </w:r>
            <w:r>
              <w:rPr>
                <w:rFonts w:hint="eastAsia" w:ascii="宋体" w:hAnsi="宋体" w:cs="宋体"/>
                <w:color w:val="auto"/>
                <w:kern w:val="0"/>
                <w:szCs w:val="21"/>
                <w:highlight w:val="none"/>
              </w:rPr>
              <w:t>招标代理服务费。</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现场踏勘或标前答疑：本项目不组织现场踏勘或标前答疑会。</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pPr>
            <w:r>
              <w:rPr>
                <w:rFonts w:hint="eastAsia"/>
              </w:rPr>
              <w:t>投标文件组成</w:t>
            </w:r>
            <w:r>
              <w:rPr>
                <w:rFonts w:hint="eastAsia" w:ascii="宋体" w:hAnsi="宋体" w:eastAsia="宋体" w:cs="宋体"/>
              </w:rPr>
              <w:t>：纸质投标文件正本1份</w:t>
            </w:r>
            <w:r>
              <w:rPr>
                <w:rFonts w:hint="eastAsia" w:ascii="宋体" w:hAnsi="宋体" w:eastAsia="宋体" w:cs="宋体"/>
                <w:lang w:eastAsia="zh-CN"/>
              </w:rPr>
              <w:t>、</w:t>
            </w:r>
            <w:r>
              <w:rPr>
                <w:rFonts w:hint="eastAsia" w:ascii="宋体" w:hAnsi="宋体" w:eastAsia="宋体" w:cs="宋体"/>
                <w:lang w:val="en-US" w:eastAsia="zh-CN"/>
              </w:rPr>
              <w:t>副本2份</w:t>
            </w:r>
            <w:r>
              <w:rPr>
                <w:rFonts w:hint="eastAsia" w:ascii="宋体" w:hAnsi="宋体" w:eastAsia="宋体" w:cs="宋体"/>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投标截止时间</w:t>
            </w:r>
            <w:r>
              <w:rPr>
                <w:rFonts w:hint="eastAsia" w:ascii="宋体" w:hAnsi="宋体" w:cs="宋体"/>
                <w:color w:val="auto"/>
                <w:kern w:val="0"/>
                <w:szCs w:val="21"/>
                <w:highlight w:val="none"/>
                <w:lang w:val="en-US" w:eastAsia="zh-CN"/>
              </w:rPr>
              <w:t>及开标时间</w:t>
            </w:r>
            <w:r>
              <w:rPr>
                <w:rFonts w:hint="eastAsia" w:ascii="宋体" w:hAnsi="宋体" w:cs="宋体"/>
                <w:color w:val="auto"/>
                <w:kern w:val="0"/>
                <w:szCs w:val="21"/>
                <w:highlight w:val="none"/>
              </w:rPr>
              <w:t>：</w:t>
            </w:r>
            <w:r>
              <w:rPr>
                <w:rFonts w:hint="eastAsia" w:ascii="宋体" w:hAnsi="宋体" w:cs="宋体"/>
                <w:color w:val="000000"/>
                <w:szCs w:val="21"/>
                <w:highlight w:val="none"/>
                <w:lang w:val="en-US" w:eastAsia="zh-CN"/>
              </w:rPr>
              <w:t>另行通知</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投标文件递交地点</w:t>
            </w:r>
            <w:r>
              <w:rPr>
                <w:rFonts w:hint="eastAsia" w:ascii="宋体" w:hAnsi="宋体" w:cs="宋体"/>
                <w:color w:val="auto"/>
                <w:kern w:val="0"/>
                <w:szCs w:val="21"/>
                <w:highlight w:val="none"/>
                <w:lang w:val="en-US" w:eastAsia="zh-CN"/>
              </w:rPr>
              <w:t>及开标地点</w:t>
            </w:r>
            <w:r>
              <w:rPr>
                <w:rFonts w:hint="eastAsia" w:ascii="宋体" w:hAnsi="宋体" w:cs="宋体"/>
                <w:color w:val="auto"/>
                <w:kern w:val="0"/>
                <w:szCs w:val="21"/>
                <w:highlight w:val="none"/>
              </w:rPr>
              <w:t>：</w:t>
            </w:r>
            <w:r>
              <w:rPr>
                <w:rFonts w:hint="eastAsia" w:ascii="宋体" w:hAnsi="宋体" w:cs="宋体"/>
                <w:color w:val="000000"/>
                <w:szCs w:val="21"/>
                <w:highlight w:val="none"/>
                <w:lang w:val="en-US" w:eastAsia="zh-CN"/>
              </w:rPr>
              <w:t>另行通知</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评审委员会成</w:t>
            </w:r>
            <w:r>
              <w:rPr>
                <w:rFonts w:hint="eastAsia" w:ascii="宋体" w:hAnsi="宋体" w:cs="宋体"/>
                <w:color w:val="auto"/>
                <w:kern w:val="0"/>
                <w:szCs w:val="21"/>
                <w:highlight w:val="none"/>
              </w:rPr>
              <w:t>员：</w:t>
            </w:r>
            <w:r>
              <w:rPr>
                <w:rFonts w:hint="eastAsia" w:ascii="宋体" w:hAnsi="宋体" w:cs="宋体"/>
                <w:color w:val="auto"/>
                <w:szCs w:val="21"/>
                <w:highlight w:val="none"/>
                <w:lang w:val="en-US" w:eastAsia="zh-CN"/>
              </w:rPr>
              <w:t>3</w:t>
            </w:r>
            <w:r>
              <w:rPr>
                <w:rFonts w:hint="eastAsia" w:ascii="宋体" w:hAnsi="宋体" w:cs="宋体"/>
                <w:color w:val="auto"/>
                <w:highlight w:val="none"/>
              </w:rPr>
              <w:t>人</w:t>
            </w:r>
            <w:r>
              <w:rPr>
                <w:rFonts w:hint="eastAsia" w:ascii="宋体" w:hAnsi="宋体" w:cs="宋体"/>
                <w:color w:val="auto"/>
                <w:highlight w:val="none"/>
                <w:lang w:val="en-US" w:eastAsia="zh-CN"/>
              </w:rPr>
              <w:t>及以上单数</w:t>
            </w:r>
            <w:r>
              <w:rPr>
                <w:rFonts w:hint="eastAsia" w:ascii="宋体" w:hAnsi="宋体" w:cs="宋体"/>
                <w:color w:val="auto"/>
                <w:kern w:val="0"/>
                <w:szCs w:val="21"/>
                <w:highlight w:val="none"/>
              </w:rPr>
              <w:t>。</w:t>
            </w:r>
          </w:p>
          <w:p>
            <w:pPr>
              <w:widowControl/>
              <w:spacing w:line="440" w:lineRule="exact"/>
              <w:jc w:val="left"/>
              <w:rPr>
                <w:rFonts w:ascii="宋体" w:hAnsi="宋体" w:cs="宋体"/>
                <w:color w:val="auto"/>
                <w:kern w:val="0"/>
                <w:szCs w:val="21"/>
                <w:highlight w:val="none"/>
              </w:rPr>
            </w:pPr>
            <w:r>
              <w:rPr>
                <w:rFonts w:hint="eastAsia" w:ascii="宋体" w:hAnsi="宋体" w:cs="宋体"/>
                <w:color w:val="auto"/>
                <w:szCs w:val="21"/>
                <w:highlight w:val="none"/>
              </w:rPr>
              <w:t>专家确定方式：</w:t>
            </w:r>
            <w:r>
              <w:rPr>
                <w:rFonts w:hint="eastAsia" w:ascii="宋体" w:hAnsi="宋体" w:cs="宋体"/>
                <w:color w:val="auto"/>
                <w:kern w:val="0"/>
                <w:szCs w:val="21"/>
                <w:highlight w:val="none"/>
              </w:rPr>
              <w:t>由采购人</w:t>
            </w:r>
            <w:r>
              <w:rPr>
                <w:rFonts w:hint="eastAsia" w:ascii="宋体" w:hAnsi="宋体" w:cs="宋体"/>
                <w:color w:val="auto"/>
                <w:kern w:val="0"/>
                <w:szCs w:val="21"/>
                <w:highlight w:val="none"/>
                <w:lang w:val="en-US" w:eastAsia="zh-CN"/>
              </w:rPr>
              <w:t>抽取相关的技术人员组成</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8 </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240" w:lineRule="auto"/>
              <w:rPr>
                <w:rFonts w:ascii="宋体" w:hAnsi="宋体" w:cs="宋体"/>
                <w:color w:val="auto"/>
                <w:kern w:val="0"/>
                <w:szCs w:val="21"/>
                <w:highlight w:val="none"/>
              </w:rPr>
            </w:pPr>
            <w:r>
              <w:rPr>
                <w:rFonts w:hint="eastAsia" w:ascii="宋体" w:hAnsi="宋体" w:cs="宋体"/>
                <w:color w:val="auto"/>
                <w:szCs w:val="21"/>
                <w:highlight w:val="none"/>
              </w:rPr>
              <w:t>评标办法：</w:t>
            </w:r>
            <w:r>
              <w:rPr>
                <w:rFonts w:hint="eastAsia" w:ascii="宋体" w:hAnsi="宋体" w:cs="宋体"/>
                <w:color w:val="auto"/>
                <w:kern w:val="0"/>
                <w:szCs w:val="21"/>
                <w:highlight w:val="none"/>
              </w:rPr>
              <w:t>本项目采用</w:t>
            </w:r>
            <w:r>
              <w:rPr>
                <w:rFonts w:hint="eastAsia" w:ascii="宋体" w:hAnsi="宋体" w:cs="宋体"/>
                <w:color w:val="auto"/>
                <w:szCs w:val="21"/>
                <w:highlight w:val="none"/>
              </w:rPr>
              <w:t>综合评分法</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中标公告及中标通知书：由采购人授权评标委员会确定一名中标人并推荐两名中标候选人。评审结束后</w:t>
            </w:r>
            <w:r>
              <w:rPr>
                <w:rFonts w:hint="eastAsia" w:ascii="宋体" w:hAnsi="宋体" w:cs="宋体"/>
                <w:color w:val="auto"/>
                <w:kern w:val="0"/>
                <w:szCs w:val="21"/>
                <w:highlight w:val="none"/>
                <w:lang w:val="en-US" w:eastAsia="zh-CN"/>
              </w:rPr>
              <w:t>在</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驻马店市中心医院网</w:t>
            </w:r>
            <w:r>
              <w:rPr>
                <w:rFonts w:hint="eastAsia" w:ascii="宋体" w:hAnsi="宋体" w:cs="宋体"/>
                <w:color w:val="auto"/>
                <w:kern w:val="0"/>
                <w:szCs w:val="21"/>
                <w:highlight w:val="none"/>
                <w:lang w:eastAsia="zh-CN"/>
              </w:rPr>
              <w:t>》</w:t>
            </w:r>
            <w:r>
              <w:rPr>
                <w:rFonts w:hint="eastAsia" w:ascii="宋体" w:hAnsi="宋体" w:cs="Arial"/>
                <w:color w:val="auto"/>
                <w:kern w:val="0"/>
                <w:szCs w:val="21"/>
                <w:highlight w:val="none"/>
              </w:rPr>
              <w:t>上</w:t>
            </w:r>
            <w:r>
              <w:rPr>
                <w:rFonts w:hint="eastAsia" w:ascii="宋体" w:hAnsi="宋体" w:cs="宋体"/>
                <w:color w:val="auto"/>
                <w:kern w:val="0"/>
                <w:szCs w:val="21"/>
                <w:highlight w:val="none"/>
              </w:rPr>
              <w:t>发布中标公告，</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签订合同：自中标通知书发出之日起</w:t>
            </w:r>
            <w:r>
              <w:rPr>
                <w:rFonts w:hint="eastAsia" w:ascii="宋体" w:hAnsi="宋体" w:cs="宋体"/>
                <w:color w:val="auto"/>
                <w:kern w:val="0"/>
                <w:szCs w:val="21"/>
                <w:highlight w:val="none"/>
                <w:lang w:val="en-US" w:eastAsia="zh-CN"/>
              </w:rPr>
              <w:t>三十</w:t>
            </w:r>
            <w:r>
              <w:rPr>
                <w:rFonts w:hint="eastAsia" w:ascii="宋体" w:hAnsi="宋体" w:cs="宋体"/>
                <w:color w:val="auto"/>
                <w:kern w:val="0"/>
                <w:szCs w:val="21"/>
                <w:highlight w:val="none"/>
              </w:rPr>
              <w:t>个</w:t>
            </w:r>
            <w:r>
              <w:rPr>
                <w:rFonts w:hint="eastAsia" w:ascii="宋体" w:hAnsi="宋体" w:cs="宋体"/>
                <w:color w:val="auto"/>
                <w:kern w:val="0"/>
                <w:szCs w:val="21"/>
                <w:highlight w:val="none"/>
                <w:lang w:val="en-US" w:eastAsia="zh-CN"/>
              </w:rPr>
              <w:t>日历</w:t>
            </w:r>
            <w:r>
              <w:rPr>
                <w:rFonts w:hint="eastAsia" w:ascii="宋体" w:hAnsi="宋体" w:cs="宋体"/>
                <w:color w:val="auto"/>
                <w:kern w:val="0"/>
                <w:szCs w:val="21"/>
                <w:highlight w:val="none"/>
              </w:rPr>
              <w:t>日内。</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FF0000"/>
                <w:kern w:val="0"/>
                <w:szCs w:val="21"/>
                <w:highlight w:val="none"/>
              </w:rPr>
            </w:pPr>
            <w:r>
              <w:rPr>
                <w:rFonts w:hint="eastAsia" w:ascii="宋体" w:hAnsi="宋体" w:cs="宋体"/>
                <w:color w:val="auto"/>
                <w:kern w:val="0"/>
                <w:szCs w:val="21"/>
                <w:highlight w:val="none"/>
              </w:rPr>
              <w:t>11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FF0000"/>
                <w:kern w:val="0"/>
                <w:szCs w:val="21"/>
                <w:highlight w:val="none"/>
              </w:rPr>
            </w:pPr>
            <w:r>
              <w:rPr>
                <w:rFonts w:hint="eastAsia" w:ascii="宋体" w:hAnsi="宋体" w:cs="宋体"/>
                <w:color w:val="auto"/>
                <w:kern w:val="0"/>
                <w:szCs w:val="21"/>
                <w:highlight w:val="none"/>
              </w:rPr>
              <w:t>采购资金来源：自筹资金。</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付款方式：详见第二章</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投标文件有效期：投标</w:t>
            </w:r>
            <w:r>
              <w:rPr>
                <w:rFonts w:hint="eastAsia" w:ascii="宋体" w:hAnsi="宋体" w:cs="宋体"/>
                <w:color w:val="auto"/>
                <w:kern w:val="0"/>
                <w:szCs w:val="21"/>
                <w:highlight w:val="none"/>
                <w:lang w:val="en-US" w:eastAsia="zh-CN"/>
              </w:rPr>
              <w:t>文件递交</w:t>
            </w:r>
            <w:r>
              <w:rPr>
                <w:rFonts w:hint="eastAsia" w:ascii="宋体" w:hAnsi="宋体" w:cs="宋体"/>
                <w:color w:val="auto"/>
                <w:kern w:val="0"/>
                <w:szCs w:val="21"/>
                <w:highlight w:val="none"/>
              </w:rPr>
              <w:t>截止期结束后</w:t>
            </w:r>
            <w:r>
              <w:rPr>
                <w:rFonts w:hint="eastAsia" w:ascii="宋体" w:hAnsi="宋体" w:cs="宋体"/>
                <w:color w:val="auto"/>
                <w:kern w:val="0"/>
                <w:szCs w:val="21"/>
                <w:highlight w:val="none"/>
                <w:lang w:val="en-US" w:eastAsia="zh-CN"/>
              </w:rPr>
              <w:t>90</w:t>
            </w:r>
            <w:r>
              <w:rPr>
                <w:rFonts w:hint="eastAsia" w:ascii="宋体" w:hAnsi="宋体" w:cs="宋体"/>
                <w:color w:val="auto"/>
                <w:kern w:val="0"/>
                <w:szCs w:val="21"/>
                <w:highlight w:val="none"/>
              </w:rPr>
              <w:t>日。中标人的投标文件是合同的组成部分,有效期至合同完全履行止。 </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rPr>
              <w:t>供应商须提供信用中国网站、中国政府采购网网站查询的网页截图。</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lang w:val="en-US" w:eastAsia="zh-CN"/>
              </w:rPr>
              <w:t>商品包装和快递包装应符合《商品包装政府采购需求标准（试行）》和《快递包装政府采购需求标准（试行）》规定，商品的包装和快递包装验收标准应符合《商品包装政府采购需求标准（试行）》和《快递包装政府采购需求标准（试行）》规定，并提供相关的检测报告</w:t>
            </w:r>
            <w:r>
              <w:rPr>
                <w:rFonts w:hint="eastAsia" w:ascii="宋体" w:hAnsi="宋体" w:cs="宋体"/>
                <w:color w:val="auto"/>
                <w:szCs w:val="21"/>
                <w:highlight w:val="none"/>
              </w:rPr>
              <w:t>。</w:t>
            </w:r>
          </w:p>
        </w:tc>
      </w:tr>
      <w:tr>
        <w:tblPrEx>
          <w:tblCellMar>
            <w:top w:w="0" w:type="dxa"/>
            <w:left w:w="0" w:type="dxa"/>
            <w:bottom w:w="0" w:type="dxa"/>
            <w:right w:w="0" w:type="dxa"/>
          </w:tblCellMar>
        </w:tblPrEx>
        <w:trPr>
          <w:trHeight w:val="699"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ascii="宋体" w:hAnsi="宋体" w:cs="宋体"/>
                <w:color w:val="auto"/>
                <w:kern w:val="0"/>
                <w:szCs w:val="21"/>
                <w:highlight w:val="none"/>
              </w:rPr>
            </w:pPr>
            <w:r>
              <w:rPr>
                <w:rFonts w:hint="eastAsia" w:ascii="宋体" w:hAnsi="宋体" w:cs="宋体"/>
                <w:bCs/>
                <w:color w:val="auto"/>
                <w:kern w:val="0"/>
                <w:szCs w:val="21"/>
                <w:highlight w:val="none"/>
              </w:rPr>
              <w:t>质疑和投诉：供应商认为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bCs/>
                <w:color w:val="auto"/>
                <w:kern w:val="0"/>
                <w:szCs w:val="21"/>
                <w:highlight w:val="none"/>
                <w:lang w:eastAsia="zh-CN"/>
              </w:rPr>
              <w:t>。</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未在规定时间内作出答复的，可以在答复期满后15个工作日内向同级财政部门投诉。</w:t>
            </w:r>
          </w:p>
        </w:tc>
      </w:tr>
      <w:tr>
        <w:tblPrEx>
          <w:tblCellMar>
            <w:top w:w="0" w:type="dxa"/>
            <w:left w:w="0" w:type="dxa"/>
            <w:bottom w:w="0" w:type="dxa"/>
            <w:right w:w="0" w:type="dxa"/>
          </w:tblCellMar>
        </w:tblPrEx>
        <w:trPr>
          <w:trHeight w:val="851"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color w:val="auto"/>
                <w:highlight w:val="none"/>
              </w:rPr>
            </w:pPr>
            <w:r>
              <w:rPr>
                <w:rFonts w:hint="eastAsia"/>
                <w:color w:val="auto"/>
                <w:highlight w:val="none"/>
              </w:rPr>
              <w:t>解释：1、构成本</w:t>
            </w:r>
            <w:r>
              <w:rPr>
                <w:rFonts w:hint="eastAsia"/>
                <w:color w:val="auto"/>
                <w:highlight w:val="none"/>
                <w:lang w:val="en-US" w:eastAsia="zh-CN"/>
              </w:rPr>
              <w:t>采购</w:t>
            </w:r>
            <w:r>
              <w:rPr>
                <w:rFonts w:hint="eastAsia"/>
                <w:color w:val="auto"/>
                <w:highlight w:val="none"/>
              </w:rPr>
              <w:t>文件的各个组成文件应互为解释，互为说明；如有不明确或不一致，构成合同文件组成内容的，以合同文件约定内容为准；除</w:t>
            </w:r>
            <w:r>
              <w:rPr>
                <w:rFonts w:hint="eastAsia"/>
                <w:color w:val="auto"/>
                <w:highlight w:val="none"/>
                <w:lang w:val="en-US" w:eastAsia="zh-CN"/>
              </w:rPr>
              <w:t>采购</w:t>
            </w:r>
            <w:r>
              <w:rPr>
                <w:rFonts w:hint="eastAsia"/>
                <w:color w:val="auto"/>
                <w:highlight w:val="none"/>
              </w:rPr>
              <w:t>文件中有特殊规定外，仅适用于招标投标阶段的规定，按</w:t>
            </w:r>
            <w:r>
              <w:rPr>
                <w:rFonts w:hint="eastAsia"/>
                <w:color w:val="auto"/>
                <w:highlight w:val="none"/>
                <w:lang w:val="en-US" w:eastAsia="zh-CN"/>
              </w:rPr>
              <w:t>采购</w:t>
            </w:r>
            <w:r>
              <w:rPr>
                <w:rFonts w:hint="eastAsia"/>
                <w:color w:val="auto"/>
                <w:highlight w:val="none"/>
              </w:rPr>
              <w:t>公告、供应商须知、评标办法、投标文件格式的先后顺序解释；同一组成文件中就同一事项的规定或约定不一致的，以编排顺序在后者为准；当</w:t>
            </w:r>
            <w:r>
              <w:rPr>
                <w:rFonts w:hint="eastAsia"/>
                <w:color w:val="auto"/>
                <w:highlight w:val="none"/>
                <w:lang w:val="en-US" w:eastAsia="zh-CN"/>
              </w:rPr>
              <w:t>采购</w:t>
            </w:r>
            <w:r>
              <w:rPr>
                <w:rFonts w:hint="eastAsia"/>
                <w:color w:val="auto"/>
                <w:highlight w:val="none"/>
              </w:rPr>
              <w:t>文件与</w:t>
            </w:r>
            <w:r>
              <w:rPr>
                <w:rFonts w:hint="eastAsia"/>
                <w:color w:val="auto"/>
                <w:highlight w:val="none"/>
                <w:lang w:val="en-US" w:eastAsia="zh-CN"/>
              </w:rPr>
              <w:t>采购</w:t>
            </w:r>
            <w:r>
              <w:rPr>
                <w:rFonts w:hint="eastAsia"/>
                <w:color w:val="auto"/>
                <w:highlight w:val="none"/>
              </w:rPr>
              <w:t>文件的澄清、修改或补充通知就同一内容的表述不一致时，以最后发出的书面文件为准。合同文件约定或后者明显错误的除外。</w:t>
            </w:r>
          </w:p>
          <w:p>
            <w:pPr>
              <w:widowControl/>
              <w:spacing w:line="360" w:lineRule="auto"/>
              <w:jc w:val="left"/>
              <w:textAlignment w:val="bottom"/>
              <w:rPr>
                <w:rFonts w:ascii="宋体" w:hAnsi="宋体" w:cs="宋体"/>
                <w:color w:val="auto"/>
                <w:kern w:val="0"/>
                <w:szCs w:val="21"/>
                <w:highlight w:val="none"/>
              </w:rPr>
            </w:pPr>
            <w:r>
              <w:rPr>
                <w:rFonts w:hint="eastAsia"/>
                <w:color w:val="auto"/>
                <w:highlight w:val="none"/>
              </w:rPr>
              <w:t>2、本</w:t>
            </w:r>
            <w:r>
              <w:rPr>
                <w:rFonts w:hint="eastAsia"/>
                <w:color w:val="auto"/>
                <w:highlight w:val="none"/>
                <w:lang w:val="en-US" w:eastAsia="zh-CN"/>
              </w:rPr>
              <w:t>采购</w:t>
            </w:r>
            <w:r>
              <w:rPr>
                <w:rFonts w:hint="eastAsia"/>
                <w:color w:val="auto"/>
                <w:highlight w:val="none"/>
              </w:rPr>
              <w:t>文件解释权归采购人。</w:t>
            </w:r>
          </w:p>
        </w:tc>
      </w:tr>
    </w:tbl>
    <w:p>
      <w:pPr>
        <w:rPr>
          <w:color w:val="auto"/>
          <w:highlight w:val="none"/>
        </w:rPr>
      </w:pPr>
    </w:p>
    <w:p>
      <w:pPr>
        <w:keepNext w:val="0"/>
        <w:keepLines w:val="0"/>
        <w:pageBreakBefore w:val="0"/>
        <w:widowControl/>
        <w:kinsoku/>
        <w:wordWrap/>
        <w:overflowPunct/>
        <w:topLinePunct w:val="0"/>
        <w:bidi w:val="0"/>
        <w:snapToGrid w:val="0"/>
        <w:spacing w:line="360" w:lineRule="auto"/>
        <w:ind w:firstLine="2760"/>
        <w:jc w:val="left"/>
        <w:rPr>
          <w:rFonts w:ascii="宋体" w:hAnsi="宋体" w:cs="宋体"/>
          <w:color w:val="auto"/>
          <w:kern w:val="0"/>
          <w:sz w:val="24"/>
          <w:highlight w:val="none"/>
        </w:rPr>
      </w:pPr>
      <w:r>
        <w:rPr>
          <w:rFonts w:hint="eastAsia" w:ascii="黑体" w:hAnsi="宋体" w:eastAsia="黑体" w:cs="宋体"/>
          <w:b/>
          <w:bCs/>
          <w:color w:val="auto"/>
          <w:kern w:val="0"/>
          <w:sz w:val="28"/>
          <w:szCs w:val="28"/>
          <w:highlight w:val="none"/>
        </w:rPr>
        <w:t>一 、说 明</w:t>
      </w:r>
    </w:p>
    <w:p>
      <w:pPr>
        <w:keepNext w:val="0"/>
        <w:keepLines w:val="0"/>
        <w:pageBreakBefore w:val="0"/>
        <w:kinsoku/>
        <w:wordWrap/>
        <w:overflowPunct/>
        <w:topLinePunct w:val="0"/>
        <w:bidi w:val="0"/>
        <w:snapToGrid w:val="0"/>
        <w:spacing w:line="360" w:lineRule="auto"/>
        <w:rPr>
          <w:color w:val="auto"/>
          <w:highlight w:val="none"/>
        </w:rPr>
      </w:pP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1.适用范围</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auto"/>
          <w:kern w:val="0"/>
          <w:szCs w:val="21"/>
          <w:highlight w:val="none"/>
        </w:rPr>
        <w:t>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文件仅适用于</w:t>
      </w:r>
      <w:r>
        <w:rPr>
          <w:rFonts w:hint="eastAsia" w:ascii="宋体" w:hAnsi="宋体" w:cs="宋体"/>
          <w:color w:val="auto"/>
          <w:kern w:val="0"/>
          <w:szCs w:val="21"/>
          <w:highlight w:val="none"/>
          <w:lang w:val="en-US" w:eastAsia="zh-CN"/>
        </w:rPr>
        <w:t>采购</w:t>
      </w:r>
      <w:r>
        <w:rPr>
          <w:rFonts w:hint="eastAsia" w:ascii="宋体" w:hAnsi="宋体" w:cs="宋体"/>
          <w:color w:val="000000" w:themeColor="text1"/>
          <w:kern w:val="0"/>
          <w:szCs w:val="21"/>
          <w:highlight w:val="none"/>
          <w14:textFill>
            <w14:solidFill>
              <w14:schemeClr w14:val="tx1"/>
            </w14:solidFill>
          </w14:textFill>
        </w:rPr>
        <w:t>公告中所叙述项目的</w:t>
      </w:r>
      <w:r>
        <w:rPr>
          <w:rFonts w:hint="eastAsia" w:ascii="宋体" w:hAnsi="宋体" w:eastAsia="宋体" w:cs="宋体"/>
          <w:color w:val="000000" w:themeColor="text1"/>
          <w:kern w:val="0"/>
          <w:szCs w:val="21"/>
          <w:highlight w:val="none"/>
          <w14:textFill>
            <w14:solidFill>
              <w14:schemeClr w14:val="tx1"/>
            </w14:solidFill>
          </w14:textFill>
        </w:rPr>
        <w:t>服务</w:t>
      </w:r>
      <w:r>
        <w:rPr>
          <w:rFonts w:hint="eastAsia" w:ascii="宋体" w:hAnsi="宋体" w:cs="宋体"/>
          <w:color w:val="000000" w:themeColor="text1"/>
          <w:kern w:val="0"/>
          <w:szCs w:val="21"/>
          <w:highlight w:val="none"/>
          <w14:textFill>
            <w14:solidFill>
              <w14:schemeClr w14:val="tx1"/>
            </w14:solidFill>
          </w14:textFill>
        </w:rPr>
        <w:t>采购。</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2.定义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auto"/>
          <w:kern w:val="0"/>
          <w:szCs w:val="21"/>
          <w:highlight w:val="none"/>
        </w:rPr>
        <w:t>2.1 “采购人</w:t>
      </w:r>
      <w:r>
        <w:rPr>
          <w:rFonts w:hint="eastAsia" w:ascii="宋体" w:hAnsi="宋体" w:cs="宋体"/>
          <w:color w:val="000000" w:themeColor="text1"/>
          <w:kern w:val="0"/>
          <w:szCs w:val="21"/>
          <w:highlight w:val="none"/>
          <w14:textFill>
            <w14:solidFill>
              <w14:schemeClr w14:val="tx1"/>
            </w14:solidFill>
          </w14:textFill>
        </w:rPr>
        <w:t>”系指本次采购项目的业主方。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2.2 “投标人”系指</w:t>
      </w:r>
      <w:r>
        <w:rPr>
          <w:rFonts w:hint="eastAsia" w:ascii="宋体" w:hAnsi="宋体" w:cs="宋体"/>
          <w:color w:val="000000" w:themeColor="text1"/>
          <w:kern w:val="0"/>
          <w:szCs w:val="21"/>
          <w:highlight w:val="none"/>
          <w:lang w:val="en-US" w:eastAsia="zh-CN"/>
          <w14:textFill>
            <w14:solidFill>
              <w14:schemeClr w14:val="tx1"/>
            </w14:solidFill>
          </w14:textFill>
        </w:rPr>
        <w:t>领取</w:t>
      </w:r>
      <w:r>
        <w:rPr>
          <w:rFonts w:hint="eastAsia" w:ascii="宋体" w:hAnsi="宋体" w:cs="宋体"/>
          <w:color w:val="000000" w:themeColor="text1"/>
          <w:kern w:val="0"/>
          <w:szCs w:val="21"/>
          <w:highlight w:val="none"/>
          <w14:textFill>
            <w14:solidFill>
              <w14:schemeClr w14:val="tx1"/>
            </w14:solidFill>
          </w14:textFill>
        </w:rPr>
        <w:t>了本</w:t>
      </w:r>
      <w:r>
        <w:rPr>
          <w:rFonts w:hint="eastAsia" w:ascii="宋体" w:hAnsi="宋体" w:cs="宋体"/>
          <w:color w:val="000000" w:themeColor="text1"/>
          <w:kern w:val="0"/>
          <w:szCs w:val="21"/>
          <w:highlight w:val="none"/>
          <w:lang w:val="en-US" w:eastAsia="zh-CN"/>
          <w14:textFill>
            <w14:solidFill>
              <w14:schemeClr w14:val="tx1"/>
            </w14:solidFill>
          </w14:textFill>
        </w:rPr>
        <w:t>采购</w:t>
      </w:r>
      <w:r>
        <w:rPr>
          <w:rFonts w:hint="eastAsia" w:ascii="宋体" w:hAnsi="宋体" w:cs="宋体"/>
          <w:color w:val="000000" w:themeColor="text1"/>
          <w:kern w:val="0"/>
          <w:szCs w:val="21"/>
          <w:highlight w:val="none"/>
          <w14:textFill>
            <w14:solidFill>
              <w14:schemeClr w14:val="tx1"/>
            </w14:solidFill>
          </w14:textFill>
        </w:rPr>
        <w:t>文件，且已经提交本次投标文件的投标人。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2.3 “投标人代表”系指代表投标人参加本次</w:t>
      </w:r>
      <w:r>
        <w:rPr>
          <w:rFonts w:hint="eastAsia" w:ascii="宋体" w:hAnsi="宋体" w:cs="宋体"/>
          <w:color w:val="000000" w:themeColor="text1"/>
          <w:kern w:val="0"/>
          <w:szCs w:val="21"/>
          <w:highlight w:val="none"/>
          <w:lang w:val="en-US" w:eastAsia="zh-CN"/>
          <w14:textFill>
            <w14:solidFill>
              <w14:schemeClr w14:val="tx1"/>
            </w14:solidFill>
          </w14:textFill>
        </w:rPr>
        <w:t>采购</w:t>
      </w:r>
      <w:r>
        <w:rPr>
          <w:rFonts w:hint="eastAsia" w:ascii="宋体" w:hAnsi="宋体" w:cs="宋体"/>
          <w:color w:val="000000" w:themeColor="text1"/>
          <w:kern w:val="0"/>
          <w:szCs w:val="21"/>
          <w:highlight w:val="none"/>
          <w14:textFill>
            <w14:solidFill>
              <w14:schemeClr w14:val="tx1"/>
            </w14:solidFill>
          </w14:textFill>
        </w:rPr>
        <w:t>活动的投标人的法定代表人或其委托代理人。</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2.4 “服务”系指供应商按采购文件规定向采购人提供的一切工作内容。</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3.本次采购预算（最高限价）为</w:t>
      </w:r>
      <w:r>
        <w:rPr>
          <w:rFonts w:hint="eastAsia" w:ascii="宋体" w:hAnsi="宋体" w:cs="宋体"/>
          <w:b/>
          <w:bCs/>
          <w:color w:val="auto"/>
          <w:kern w:val="0"/>
          <w:szCs w:val="21"/>
          <w:highlight w:val="none"/>
          <w:lang w:val="en-US" w:eastAsia="zh-CN"/>
        </w:rPr>
        <w:t>22</w:t>
      </w:r>
      <w:bookmarkStart w:id="91" w:name="_GoBack"/>
      <w:bookmarkEnd w:id="91"/>
      <w:r>
        <w:rPr>
          <w:rFonts w:hint="eastAsia" w:ascii="宋体" w:hAnsi="宋体" w:cs="宋体"/>
          <w:b/>
          <w:bCs/>
          <w:color w:val="auto"/>
          <w:kern w:val="0"/>
          <w:szCs w:val="21"/>
          <w:highlight w:val="none"/>
          <w:lang w:val="en-US" w:eastAsia="zh-CN"/>
        </w:rPr>
        <w:t>2400.00</w:t>
      </w:r>
      <w:r>
        <w:rPr>
          <w:rFonts w:hint="eastAsia" w:ascii="宋体" w:hAnsi="宋体" w:cs="宋体"/>
          <w:b/>
          <w:bCs/>
          <w:color w:val="auto"/>
          <w:kern w:val="0"/>
          <w:szCs w:val="21"/>
          <w:highlight w:val="none"/>
        </w:rPr>
        <w:t>元</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szCs w:val="21"/>
          <w:highlight w:val="none"/>
        </w:rPr>
      </w:pPr>
      <w:r>
        <w:rPr>
          <w:rFonts w:hint="eastAsia" w:ascii="宋体" w:hAnsi="宋体" w:cs="宋体"/>
          <w:b/>
          <w:bCs/>
          <w:color w:val="auto"/>
          <w:kern w:val="0"/>
          <w:szCs w:val="21"/>
          <w:highlight w:val="none"/>
        </w:rPr>
        <w:t>4.投标人应提交的证明文件</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4.2供应商应提供2020年度</w:t>
      </w:r>
      <w:r>
        <w:rPr>
          <w:rFonts w:hint="eastAsia" w:ascii="宋体" w:hAnsi="宋体" w:cs="宋体"/>
          <w:color w:val="auto"/>
          <w:kern w:val="2"/>
          <w:sz w:val="21"/>
          <w:szCs w:val="24"/>
          <w:lang w:val="en-US" w:eastAsia="zh-CN" w:bidi="ar-SA"/>
        </w:rPr>
        <w:t>或2021年度</w:t>
      </w:r>
      <w:r>
        <w:rPr>
          <w:rFonts w:hint="eastAsia" w:ascii="宋体" w:hAnsi="宋体" w:eastAsia="宋体" w:cs="宋体"/>
          <w:color w:val="auto"/>
          <w:kern w:val="2"/>
          <w:sz w:val="21"/>
          <w:szCs w:val="24"/>
          <w:lang w:val="en-US" w:eastAsia="zh-CN" w:bidi="ar-SA"/>
        </w:rPr>
        <w:t>经审计的财务报告或者其基本开户银行出具的资信证明；采购活动前近三个月内或上个季度的依法缴纳税收的凭据和缴纳社会保险的凭据；依法免税或不需要缴纳社会保障资金的供应商，应提供相应文件证明其依法免税或不需要缴纳社会保障资金。（新成立企业从成立之日起计算）；</w:t>
      </w:r>
    </w:p>
    <w:p>
      <w:pPr>
        <w:pStyle w:val="2"/>
        <w:keepNext w:val="0"/>
        <w:keepLines w:val="0"/>
        <w:pageBreakBefore w:val="0"/>
        <w:kinsoku/>
        <w:overflowPunct/>
        <w:topLinePunct w:val="0"/>
        <w:bidi w:val="0"/>
        <w:spacing w:line="440" w:lineRule="exact"/>
        <w:ind w:firstLineChars="200"/>
        <w:textAlignment w:val="auto"/>
        <w:rPr>
          <w:rFonts w:hint="eastAsia" w:ascii="宋体" w:hAnsi="宋体" w:cs="宋体"/>
          <w:sz w:val="21"/>
          <w:lang w:val="en-US" w:eastAsia="zh-CN"/>
        </w:rPr>
      </w:pPr>
      <w:r>
        <w:rPr>
          <w:rFonts w:hint="eastAsia" w:ascii="宋体" w:hAnsi="宋体" w:cs="宋体"/>
          <w:sz w:val="21"/>
          <w:lang w:val="en-US" w:eastAsia="zh-CN"/>
        </w:rPr>
        <w:t>4.3</w:t>
      </w:r>
      <w:r>
        <w:rPr>
          <w:rFonts w:hint="eastAsia" w:ascii="宋体" w:hAnsi="宋体" w:eastAsia="宋体" w:cs="宋体"/>
          <w:lang w:val="en-US" w:eastAsia="zh-CN"/>
        </w:rPr>
        <w:t>供应商近三年内具有类似业绩，且公司具有一名</w:t>
      </w:r>
      <w:r>
        <w:rPr>
          <w:rFonts w:hint="eastAsia" w:ascii="宋体" w:hAnsi="宋体" w:eastAsia="宋体" w:cs="宋体"/>
          <w:highlight w:val="none"/>
          <w:lang w:val="en-US" w:eastAsia="zh-CN"/>
        </w:rPr>
        <w:t>中级及以上</w:t>
      </w:r>
      <w:r>
        <w:rPr>
          <w:rFonts w:hint="eastAsia" w:ascii="宋体" w:hAnsi="宋体" w:cs="宋体"/>
          <w:highlight w:val="none"/>
          <w:lang w:val="en-US" w:eastAsia="zh-CN"/>
        </w:rPr>
        <w:t>环境艺术师职称的工程师</w:t>
      </w:r>
      <w:r>
        <w:rPr>
          <w:rFonts w:hint="eastAsia" w:ascii="宋体" w:hAnsi="宋体" w:eastAsia="宋体" w:cs="宋体"/>
          <w:lang w:val="en-US" w:eastAsia="zh-CN"/>
        </w:rPr>
        <w:t>；</w:t>
      </w:r>
    </w:p>
    <w:p>
      <w:pPr>
        <w:pStyle w:val="2"/>
        <w:keepNext w:val="0"/>
        <w:keepLines w:val="0"/>
        <w:pageBreakBefore w:val="0"/>
        <w:kinsoku/>
        <w:overflowPunct/>
        <w:topLinePunct w:val="0"/>
        <w:bidi w:val="0"/>
        <w:spacing w:line="440" w:lineRule="exact"/>
        <w:ind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cs="宋体"/>
          <w:sz w:val="21"/>
          <w:lang w:val="en-US" w:eastAsia="zh-CN"/>
        </w:rPr>
        <w:t>4.4</w:t>
      </w:r>
      <w:r>
        <w:rPr>
          <w:rFonts w:hint="eastAsia" w:ascii="宋体" w:hAnsi="宋体" w:eastAsia="宋体" w:cs="宋体"/>
          <w:color w:val="auto"/>
          <w:kern w:val="2"/>
          <w:sz w:val="21"/>
          <w:szCs w:val="24"/>
          <w:lang w:val="en-US" w:eastAsia="zh-CN" w:bidi="ar-SA"/>
        </w:rPr>
        <w:t>具有履行合同所必需的设备和专业技术能力（提供书面声明函）；</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cs="宋体"/>
          <w:color w:val="auto"/>
          <w:kern w:val="2"/>
          <w:sz w:val="21"/>
          <w:szCs w:val="24"/>
          <w:lang w:val="en-US" w:eastAsia="zh-CN" w:bidi="ar-SA"/>
        </w:rPr>
        <w:t>4.5</w:t>
      </w:r>
      <w:r>
        <w:rPr>
          <w:rFonts w:hint="eastAsia" w:ascii="宋体" w:hAnsi="宋体" w:eastAsia="宋体" w:cs="宋体"/>
          <w:color w:val="auto"/>
          <w:kern w:val="2"/>
          <w:sz w:val="21"/>
          <w:szCs w:val="24"/>
          <w:lang w:val="en-US" w:eastAsia="zh-CN" w:bidi="ar-SA"/>
        </w:rPr>
        <w:t>参加本采购活动前三年内，在经营活动中没有重大违法记录（提供书面声明函）；</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lang w:val="en-US" w:eastAsia="zh-CN"/>
        </w:rPr>
      </w:pPr>
      <w:r>
        <w:rPr>
          <w:rFonts w:hint="eastAsia" w:ascii="宋体" w:hAnsi="宋体" w:cs="宋体"/>
          <w:color w:val="auto"/>
          <w:lang w:val="en-US" w:eastAsia="zh-CN"/>
        </w:rPr>
        <w:t>4.6</w:t>
      </w:r>
      <w:r>
        <w:rPr>
          <w:rFonts w:hint="eastAsia" w:ascii="宋体" w:hAnsi="宋体" w:eastAsia="宋体" w:cs="宋体"/>
          <w:color w:val="auto"/>
          <w:lang w:val="en-US" w:eastAsia="zh-CN"/>
        </w:rPr>
        <w:t>根据《关于在政府采购活动中查询及使用信用记录有关问题的通知》（财库【2016】125号）的规定，对列入失信被执行人、</w:t>
      </w:r>
      <w:r>
        <w:rPr>
          <w:rFonts w:hint="eastAsia" w:ascii="宋体" w:hAnsi="宋体" w:cs="宋体"/>
          <w:color w:val="auto"/>
          <w:lang w:val="en-US" w:eastAsia="zh-CN"/>
        </w:rPr>
        <w:t>税收违法黑名单</w:t>
      </w:r>
      <w:r>
        <w:rPr>
          <w:rFonts w:hint="eastAsia" w:ascii="宋体" w:hAnsi="宋体" w:eastAsia="宋体" w:cs="宋体"/>
          <w:color w:val="auto"/>
          <w:lang w:val="en-US" w:eastAsia="zh-CN"/>
        </w:rPr>
        <w:t>、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5.投标费用</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不论投标结果如何，投标人均应自行承担所有与投标有关的全部费用。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6.联合体投标：本项目不接受联合体投标。</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7.关联企业投标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7.1 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文件所称关联企业,是指存在关联关系的企业。“关联关系”的界定适用《中华人民共和国公司法》第二百一十六条、《中华人民共和国政府采购法实施条例》第十八条之规定。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7.3 为采购项目提供整体设计、规范编制或者项目管理、监理、检测等服务的供应商，不得再参加该采购项目的投标活动。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8.转包与分包</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8.1本项目不允许采取转包方式履行合同。</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8.2本项目不允许采取分包方式履行合同。</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9.特别说明：</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9.1 投标人投标所使用的资格、信誉、荣誉、业绩与企业认证必须为本法人所拥有。  </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9.2</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投标人代表只能接受一个投标人的委托参加投标。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9.3《政府采购法》第二十二条第五款“参加政府采购活动前三年内，在经营活动中没有重大违法记录”，“重大违法记录”包括投标人或者其法定代表人、董事、监事、高级管理人员因经营活动中的违法行为受到行政处罚，但警告和罚款额在人民币3万元以下的行政处罚除外；投标人或其法定代表人、董事、监事、高级管理人员因经营活动中的违法行为受到刑事处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9.4投标人在投标活动中提供虚假材料或从事其他违法活动的,其投标无效，由相关部门查处。</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10.质疑和投诉</w:t>
      </w:r>
    </w:p>
    <w:p>
      <w:pPr>
        <w:keepNext w:val="0"/>
        <w:keepLines w:val="0"/>
        <w:pageBreakBefore w:val="0"/>
        <w:widowControl/>
        <w:kinsoku/>
        <w:wordWrap/>
        <w:overflowPunct/>
        <w:topLinePunct w:val="0"/>
        <w:bidi w:val="0"/>
        <w:snapToGrid w:val="0"/>
        <w:spacing w:line="360" w:lineRule="auto"/>
        <w:ind w:firstLine="411" w:firstLineChars="196"/>
        <w:jc w:val="left"/>
        <w:rPr>
          <w:rFonts w:ascii="宋体" w:hAnsi="宋体" w:cs="宋体"/>
          <w:color w:val="auto"/>
          <w:kern w:val="0"/>
          <w:szCs w:val="21"/>
          <w:highlight w:val="none"/>
        </w:rPr>
      </w:pPr>
      <w:r>
        <w:rPr>
          <w:rFonts w:hint="eastAsia" w:ascii="宋体" w:hAnsi="宋体" w:cs="宋体"/>
          <w:color w:val="auto"/>
          <w:kern w:val="0"/>
          <w:szCs w:val="21"/>
          <w:highlight w:val="none"/>
        </w:rPr>
        <w:t>10.1 </w:t>
      </w:r>
      <w:r>
        <w:rPr>
          <w:rFonts w:hint="eastAsia" w:ascii="宋体" w:hAnsi="宋体" w:cs="宋体"/>
          <w:bCs/>
          <w:color w:val="auto"/>
          <w:kern w:val="0"/>
          <w:szCs w:val="21"/>
          <w:highlight w:val="none"/>
        </w:rPr>
        <w:t>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w:t>
      </w:r>
      <w:r>
        <w:rPr>
          <w:rFonts w:hint="eastAsia" w:ascii="宋体" w:hAnsi="宋体" w:cs="宋体"/>
          <w:color w:val="auto"/>
          <w:kern w:val="0"/>
          <w:szCs w:val="21"/>
          <w:highlight w:val="none"/>
          <w:lang w:val="en-US" w:eastAsia="zh-CN"/>
        </w:rPr>
        <w:t>医院纪检</w:t>
      </w:r>
      <w:r>
        <w:rPr>
          <w:rFonts w:hint="eastAsia" w:ascii="宋体" w:hAnsi="宋体" w:cs="宋体"/>
          <w:color w:val="auto"/>
          <w:kern w:val="0"/>
          <w:szCs w:val="21"/>
          <w:highlight w:val="none"/>
        </w:rPr>
        <w:t>部门投诉。</w:t>
      </w:r>
    </w:p>
    <w:p>
      <w:pPr>
        <w:keepNext w:val="0"/>
        <w:keepLines w:val="0"/>
        <w:pageBreakBefore w:val="0"/>
        <w:widowControl/>
        <w:shd w:val="clear" w:color="auto" w:fill="FFFFFF"/>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10.2 </w:t>
      </w:r>
      <w:r>
        <w:rPr>
          <w:rFonts w:hint="eastAsia" w:ascii="宋体" w:hAnsi="宋体" w:cs="宋体"/>
          <w:bCs/>
          <w:color w:val="auto"/>
          <w:kern w:val="0"/>
          <w:szCs w:val="21"/>
          <w:highlight w:val="none"/>
        </w:rPr>
        <w:t>质疑、投诉应当采用书面形式，质疑书、投诉书均应明确阐述</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过程和中标结果中使自己合法权益受到损害的实质性内容，提供相关事实、依据和证据及其来源或线索，便于有关单位调查、答复和处理。</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11.投标人的风险</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投标人没有按照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文件要求提供全部资料，或者投标人没有对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文件在各方面都作出实质性响应是投标人的风险，并可能导致其投标被拒绝。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二、</w:t>
      </w:r>
      <w:r>
        <w:rPr>
          <w:rFonts w:hint="eastAsia" w:ascii="黑体" w:hAnsi="宋体" w:eastAsia="黑体" w:cs="宋体"/>
          <w:b/>
          <w:bCs/>
          <w:color w:val="auto"/>
          <w:kern w:val="0"/>
          <w:sz w:val="32"/>
          <w:szCs w:val="32"/>
          <w:highlight w:val="none"/>
          <w:lang w:val="en-US" w:eastAsia="zh-CN"/>
        </w:rPr>
        <w:t>采购</w:t>
      </w:r>
      <w:r>
        <w:rPr>
          <w:rFonts w:hint="eastAsia" w:ascii="黑体" w:hAnsi="宋体" w:eastAsia="黑体" w:cs="宋体"/>
          <w:b/>
          <w:bCs/>
          <w:color w:val="auto"/>
          <w:kern w:val="0"/>
          <w:sz w:val="32"/>
          <w:szCs w:val="32"/>
          <w:highlight w:val="none"/>
        </w:rPr>
        <w:t>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12.</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文件的构成。本</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文件由以下部分组成：</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12.1 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需求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12.3 投标人须知</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12.4 评标办法</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12.5 合同主要条款</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12.6 投标文件格式</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bCs/>
          <w:color w:val="auto"/>
          <w:kern w:val="0"/>
          <w:szCs w:val="21"/>
          <w:highlight w:val="none"/>
        </w:rPr>
      </w:pPr>
      <w:r>
        <w:rPr>
          <w:rFonts w:hint="eastAsia" w:ascii="宋体" w:hAnsi="宋体" w:cs="宋体"/>
          <w:b/>
          <w:bCs/>
          <w:color w:val="auto"/>
          <w:kern w:val="0"/>
          <w:szCs w:val="21"/>
          <w:highlight w:val="none"/>
        </w:rPr>
        <w:t>13.</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文件的澄清与修改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13.1 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对已发出的</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文件进行必要澄清、修改或补充的，应当在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文件要求提交投标文件截止时间</w:t>
      </w:r>
      <w:r>
        <w:rPr>
          <w:rFonts w:hint="eastAsia" w:ascii="宋体" w:hAnsi="宋体" w:cs="宋体"/>
          <w:color w:val="auto"/>
          <w:kern w:val="0"/>
          <w:szCs w:val="21"/>
          <w:highlight w:val="none"/>
          <w:lang w:val="en-US" w:eastAsia="zh-CN"/>
        </w:rPr>
        <w:t>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前，在</w:t>
      </w:r>
      <w:r>
        <w:rPr>
          <w:rFonts w:hint="eastAsia" w:ascii="宋体" w:hAnsi="宋体" w:cs="宋体"/>
          <w:color w:val="auto"/>
          <w:kern w:val="0"/>
          <w:szCs w:val="21"/>
          <w:highlight w:val="none"/>
          <w:lang w:val="en-US" w:eastAsia="zh-CN"/>
        </w:rPr>
        <w:t>原采购公告发布</w:t>
      </w:r>
      <w:r>
        <w:rPr>
          <w:rFonts w:hint="eastAsia" w:ascii="宋体" w:hAnsi="宋体" w:cs="宋体"/>
          <w:color w:val="auto"/>
          <w:kern w:val="0"/>
          <w:szCs w:val="21"/>
          <w:highlight w:val="none"/>
        </w:rPr>
        <w:t>相关媒体上发布更正公告或变更公告。</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文件公示期间对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文件进行的澄清、修改或补充不受上述限制。</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文件澄清、修改或补充的内容为</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文件的组成部分。</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13.3 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文件的澄清、修改或补充都应以法定形式发布。采购人未对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文件进行的澄清、修改或补充无效，评标时不予认可。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13.4 </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可以视招标具体情况延长投标截止时间和开标时间，但至少应当在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文件要求提交投标文件的截止时间3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前，将变更时间</w:t>
      </w:r>
      <w:r>
        <w:rPr>
          <w:rFonts w:hint="eastAsia" w:ascii="宋体" w:hAnsi="宋体" w:cs="宋体"/>
          <w:color w:val="auto"/>
          <w:kern w:val="0"/>
          <w:szCs w:val="21"/>
          <w:highlight w:val="none"/>
          <w:lang w:val="en-US" w:eastAsia="zh-CN"/>
        </w:rPr>
        <w:t>通知所有潜在投标人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2229" w:firstLineChars="694"/>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三</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投标文件的编制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14.要求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14.1 投标人应仔细阅读</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文件的所有内容，按照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文件提供的格式编写投标文件，不得缺少或留空任何</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文件要求填写的表格或提交的资料。</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文件提供格式的按格式填列，未提供格式的可自行拟定。投标文件应对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文件的要求作出实质性响应（包括投标人资格要求、技术要求、商务要求和投标文件格式中对投标的要求），投标人对所提供的全部资料的合法性、真实性负责。</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14.2 投标人应完整签署投标文件格式附件中《投标书》和《抵制商业贿赂承诺》，不得增减或修改内容。否则视为对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15.投标文件的语言和计量单位</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15.1投标文件以及投标人与采购人就有关投标事宜的所有来往函电均应使用简体中文书写。</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15.2 关于投标计量单位，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文件已有明确规定的，使用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文件规定的计量单位；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文件没有规定的，应采用中华人民共和国法定计量单位。否则视为对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15.3 原版为外文的证书类文件，以及由外国人做出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16.投标文件的组成</w:t>
      </w:r>
      <w:r>
        <w:rPr>
          <w:rFonts w:hint="eastAsia" w:ascii="宋体" w:hAnsi="宋体" w:cs="宋体"/>
          <w:color w:val="auto"/>
          <w:kern w:val="0"/>
          <w:szCs w:val="21"/>
          <w:highlight w:val="none"/>
        </w:rPr>
        <w:t>。</w:t>
      </w:r>
      <w:r>
        <w:rPr>
          <w:rFonts w:hint="eastAsia" w:ascii="宋体" w:hAnsi="宋体" w:cs="宋体"/>
          <w:b/>
          <w:bCs/>
          <w:color w:val="auto"/>
          <w:kern w:val="0"/>
          <w:szCs w:val="21"/>
          <w:highlight w:val="none"/>
        </w:rPr>
        <w:t>投标文件应包括下列部分：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16.1、投标书及开标一览表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16.2、技术响应表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16.3、商务响应表</w:t>
      </w:r>
    </w:p>
    <w:p>
      <w:pPr>
        <w:keepNext w:val="0"/>
        <w:keepLines w:val="0"/>
        <w:pageBreakBefore w:val="0"/>
        <w:widowControl/>
        <w:kinsoku/>
        <w:wordWrap/>
        <w:overflowPunct/>
        <w:topLinePunct w:val="0"/>
        <w:bidi w:val="0"/>
        <w:snapToGrid w:val="0"/>
        <w:spacing w:line="360" w:lineRule="auto"/>
        <w:ind w:left="208" w:leftChars="99" w:firstLine="210" w:firstLineChars="100"/>
        <w:jc w:val="left"/>
        <w:rPr>
          <w:rFonts w:ascii="宋体" w:hAnsi="宋体" w:cs="宋体"/>
          <w:color w:val="auto"/>
          <w:kern w:val="0"/>
          <w:szCs w:val="21"/>
          <w:highlight w:val="none"/>
        </w:rPr>
      </w:pPr>
      <w:r>
        <w:rPr>
          <w:rFonts w:hint="eastAsia" w:ascii="宋体" w:hAnsi="宋体" w:cs="宋体"/>
          <w:color w:val="auto"/>
          <w:kern w:val="0"/>
          <w:szCs w:val="21"/>
          <w:highlight w:val="none"/>
        </w:rPr>
        <w:t>16.4、法定代表人身份证明</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16.5、法定代表人授权书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16.6、证明文件</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16.7、抵制商业贿赂承诺</w:t>
      </w:r>
    </w:p>
    <w:p>
      <w:pPr>
        <w:pStyle w:val="31"/>
        <w:keepNext w:val="0"/>
        <w:keepLines w:val="0"/>
        <w:pageBreakBefore w:val="0"/>
        <w:kinsoku/>
        <w:wordWrap/>
        <w:overflowPunct/>
        <w:topLinePunct w:val="0"/>
        <w:bidi w:val="0"/>
        <w:snapToGrid w:val="0"/>
        <w:spacing w:beforeAutospacing="0" w:afterAutospacing="0" w:line="360" w:lineRule="auto"/>
        <w:rPr>
          <w:color w:val="auto"/>
          <w:sz w:val="21"/>
          <w:szCs w:val="21"/>
          <w:highlight w:val="none"/>
        </w:rPr>
      </w:pPr>
      <w:r>
        <w:rPr>
          <w:rFonts w:hint="eastAsia"/>
          <w:color w:val="auto"/>
          <w:sz w:val="21"/>
          <w:szCs w:val="21"/>
          <w:highlight w:val="none"/>
        </w:rPr>
        <w:t>16.8、投标人认为有必要的其他资料</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17.投标有效期</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17.1 投标文件从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公告所规定的投标截止期之后开始生效，在</w:t>
      </w:r>
      <w:r>
        <w:rPr>
          <w:rFonts w:hint="eastAsia" w:ascii="宋体" w:hAnsi="宋体" w:cs="宋体"/>
          <w:bCs/>
          <w:color w:val="auto"/>
          <w:kern w:val="0"/>
          <w:szCs w:val="21"/>
          <w:highlight w:val="none"/>
        </w:rPr>
        <w:t>投标人须知前附表</w:t>
      </w:r>
      <w:r>
        <w:rPr>
          <w:rFonts w:hint="eastAsia" w:ascii="宋体" w:hAnsi="宋体" w:cs="宋体"/>
          <w:color w:val="auto"/>
          <w:kern w:val="0"/>
          <w:szCs w:val="21"/>
          <w:highlight w:val="none"/>
        </w:rPr>
        <w:t>第16项所规定的期限内保持有效。有效期不足将导致其投标文件被拒绝。中标人的投标文件有效期至合同完全履行止。</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17.2特殊情况下</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可于投标有效期满之前书面要求投标人同意延长有效期，投标人应在</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规定的期限内以书面形式予以答复。投标人可以拒绝上述要求。投标人答复不明确或者逾期未答复的，均视为拒绝上述要求。对于接受该要求的投标人，既不要求也不允许其修改投标文件。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18.投标报价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18.1 所有投标报价均以人民币元为计算单位。</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18.2 投标人要按开标一览表的内容填写。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18.3 </w:t>
      </w:r>
      <w:r>
        <w:rPr>
          <w:rFonts w:hint="eastAsia" w:ascii="宋体" w:hAnsi="宋体" w:cs="宋体"/>
          <w:color w:val="auto"/>
          <w:spacing w:val="10"/>
          <w:kern w:val="0"/>
          <w:szCs w:val="21"/>
          <w:highlight w:val="none"/>
        </w:rPr>
        <w:t>投标人投报多标包的，应对每标包分别报价并分别填报开标一览表。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18.4 开标一览表中标明的价格在政府采购合同执行过程中是固定不变的，投标人不得以任何理由予以变更。以可调整的价格提交的投标将被作为无效投标处理。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18.5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不接受可选择的投标报价。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18.6 对于投标人在开标一览表和投标文件中列出的赠送条款，在评审时不得作为价格评分因素或者调整评标价格的依据。</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Cs w:val="21"/>
          <w:highlight w:val="none"/>
          <w:lang w:eastAsia="zh-CN"/>
        </w:rPr>
      </w:pPr>
      <w:r>
        <w:rPr>
          <w:rFonts w:hint="eastAsia" w:ascii="宋体" w:hAnsi="宋体" w:cs="宋体"/>
          <w:b/>
          <w:color w:val="auto"/>
          <w:kern w:val="0"/>
          <w:szCs w:val="21"/>
          <w:highlight w:val="none"/>
        </w:rPr>
        <w:t>19.投标保证金</w:t>
      </w:r>
      <w:r>
        <w:rPr>
          <w:rFonts w:hint="eastAsia" w:ascii="宋体" w:hAnsi="宋体" w:cs="宋体"/>
          <w:b/>
          <w:color w:val="auto"/>
          <w:kern w:val="0"/>
          <w:szCs w:val="21"/>
          <w:highlight w:val="none"/>
          <w:lang w:eastAsia="zh-CN"/>
        </w:rPr>
        <w:t>（</w:t>
      </w:r>
      <w:r>
        <w:rPr>
          <w:rFonts w:hint="eastAsia" w:ascii="宋体" w:hAnsi="宋体" w:cs="宋体"/>
          <w:b/>
          <w:color w:val="auto"/>
          <w:kern w:val="0"/>
          <w:szCs w:val="21"/>
          <w:highlight w:val="none"/>
          <w:lang w:val="en-US" w:eastAsia="zh-CN"/>
        </w:rPr>
        <w:t>详见采购公告</w:t>
      </w:r>
      <w:r>
        <w:rPr>
          <w:rFonts w:hint="eastAsia" w:ascii="宋体" w:hAnsi="宋体" w:cs="宋体"/>
          <w:b/>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17" w:firstLineChars="198"/>
        <w:rPr>
          <w:rFonts w:hint="default" w:ascii="宋体" w:hAnsi="宋体" w:eastAsia="宋体" w:cs="宋体"/>
          <w:b/>
          <w:color w:val="auto"/>
          <w:kern w:val="0"/>
          <w:szCs w:val="21"/>
          <w:highlight w:val="none"/>
          <w:lang w:val="en-US" w:eastAsia="zh-CN"/>
        </w:rPr>
      </w:pPr>
      <w:r>
        <w:rPr>
          <w:rFonts w:hint="eastAsia" w:ascii="宋体" w:hAnsi="宋体" w:cs="宋体"/>
          <w:b/>
          <w:color w:val="auto"/>
          <w:kern w:val="0"/>
          <w:szCs w:val="21"/>
          <w:highlight w:val="none"/>
        </w:rPr>
        <w:t>20.投标文件的签署</w:t>
      </w:r>
      <w:r>
        <w:rPr>
          <w:rFonts w:hint="eastAsia" w:ascii="宋体" w:hAnsi="宋体" w:cs="宋体"/>
          <w:b/>
          <w:color w:val="auto"/>
          <w:kern w:val="0"/>
          <w:szCs w:val="21"/>
          <w:highlight w:val="none"/>
          <w:lang w:val="en-US" w:eastAsia="zh-CN"/>
        </w:rPr>
        <w:t>及其他规定</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.1投标文件应按第六章“投标文件格式”进行编写，如有必要，可以增加附页，作为投标文件的组成部分。其中，投标报价一览表在满足</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文件实质性要求的基础上，可以提出比</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文件要求更有利于采购人的承诺</w:t>
      </w:r>
      <w:r>
        <w:rPr>
          <w:rFonts w:hint="eastAsia" w:ascii="宋体" w:hAnsi="宋体" w:eastAsia="宋体" w:cs="宋体"/>
          <w:color w:val="000000" w:themeColor="text1"/>
          <w:kern w:val="0"/>
          <w:szCs w:val="21"/>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20</w:t>
      </w:r>
      <w:r>
        <w:rPr>
          <w:rFonts w:hint="eastAsia" w:ascii="宋体" w:hAnsi="宋体" w:eastAsia="宋体" w:cs="宋体"/>
          <w:color w:val="000000" w:themeColor="text1"/>
          <w:kern w:val="0"/>
          <w:szCs w:val="21"/>
          <w:highlight w:val="none"/>
          <w14:textFill>
            <w14:solidFill>
              <w14:schemeClr w14:val="tx1"/>
            </w14:solidFill>
          </w14:textFill>
        </w:rPr>
        <w:t>.2 投标文件应当对</w:t>
      </w:r>
      <w:r>
        <w:rPr>
          <w:rFonts w:hint="eastAsia" w:ascii="宋体" w:hAnsi="宋体" w:cs="宋体"/>
          <w:color w:val="000000" w:themeColor="text1"/>
          <w:kern w:val="0"/>
          <w:szCs w:val="21"/>
          <w:highlight w:val="none"/>
          <w:lang w:val="en-US" w:eastAsia="zh-CN"/>
          <w14:textFill>
            <w14:solidFill>
              <w14:schemeClr w14:val="tx1"/>
            </w14:solidFill>
          </w14:textFill>
        </w:rPr>
        <w:t>采购</w:t>
      </w:r>
      <w:r>
        <w:rPr>
          <w:rFonts w:hint="eastAsia" w:ascii="宋体" w:hAnsi="宋体" w:eastAsia="宋体" w:cs="宋体"/>
          <w:color w:val="000000" w:themeColor="text1"/>
          <w:kern w:val="0"/>
          <w:szCs w:val="21"/>
          <w:highlight w:val="none"/>
          <w14:textFill>
            <w14:solidFill>
              <w14:schemeClr w14:val="tx1"/>
            </w14:solidFill>
          </w14:textFill>
        </w:rPr>
        <w:t>文件有关服务期、投标有效期、</w:t>
      </w:r>
      <w:r>
        <w:rPr>
          <w:rFonts w:hint="eastAsia" w:ascii="宋体" w:hAnsi="宋体" w:cs="宋体"/>
          <w:color w:val="000000" w:themeColor="text1"/>
          <w:kern w:val="0"/>
          <w:szCs w:val="21"/>
          <w:highlight w:val="none"/>
          <w:lang w:val="en-US" w:eastAsia="zh-CN"/>
          <w14:textFill>
            <w14:solidFill>
              <w14:schemeClr w14:val="tx1"/>
            </w14:solidFill>
          </w14:textFill>
        </w:rPr>
        <w:t>服务</w:t>
      </w:r>
      <w:r>
        <w:rPr>
          <w:rFonts w:hint="eastAsia" w:ascii="宋体" w:hAnsi="宋体" w:eastAsia="宋体" w:cs="宋体"/>
          <w:color w:val="000000" w:themeColor="text1"/>
          <w:kern w:val="0"/>
          <w:szCs w:val="21"/>
          <w:highlight w:val="none"/>
          <w14:textFill>
            <w14:solidFill>
              <w14:schemeClr w14:val="tx1"/>
            </w14:solidFill>
          </w14:textFill>
        </w:rPr>
        <w:t>要求、技术标准和要求、</w:t>
      </w:r>
      <w:r>
        <w:rPr>
          <w:rFonts w:hint="eastAsia" w:ascii="宋体" w:hAnsi="宋体" w:cs="宋体"/>
          <w:color w:val="auto"/>
          <w:kern w:val="0"/>
          <w:szCs w:val="21"/>
          <w:highlight w:val="none"/>
          <w:lang w:eastAsia="zh-CN"/>
        </w:rPr>
        <w:t>磋商</w:t>
      </w:r>
      <w:r>
        <w:rPr>
          <w:rFonts w:hint="eastAsia" w:ascii="宋体" w:hAnsi="宋体" w:eastAsia="宋体" w:cs="宋体"/>
          <w:color w:val="auto"/>
          <w:kern w:val="0"/>
          <w:szCs w:val="21"/>
          <w:highlight w:val="none"/>
        </w:rPr>
        <w:t>范围等实质性内容作出响应。</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3投标文件应用不褪色的材料书写或打印，并由投标人的法定代表人盖章或盖单位公章；投标文件应尽量避免涂改、行间插字或删除，如果出现上述情况，改动之处应加盖单位公章或由投标人的法定代表人盖章确认。签字或盖章的具体要求见投标人须知前附表。</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.4投标文件份数见投标人须知前附表。投标文件正本和副本的封面上应清楚地标记“正本”或“副本”的字样。</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.5投标文件的具体装订要求见投标人须知前附表规定。</w:t>
      </w:r>
    </w:p>
    <w:p>
      <w:pPr>
        <w:keepNext w:val="0"/>
        <w:keepLines w:val="0"/>
        <w:pageBreakBefore w:val="0"/>
        <w:widowControl/>
        <w:kinsoku/>
        <w:wordWrap/>
        <w:overflowPunct/>
        <w:topLinePunct w:val="0"/>
        <w:bidi w:val="0"/>
        <w:snapToGrid w:val="0"/>
        <w:spacing w:line="360" w:lineRule="auto"/>
        <w:ind w:firstLine="2554" w:firstLineChars="795"/>
        <w:jc w:val="left"/>
        <w:rPr>
          <w:rFonts w:ascii="黑体" w:hAnsi="宋体" w:eastAsia="黑体" w:cs="宋体"/>
          <w:b/>
          <w:color w:val="auto"/>
          <w:kern w:val="0"/>
          <w:sz w:val="32"/>
          <w:szCs w:val="32"/>
          <w:highlight w:val="none"/>
        </w:rPr>
      </w:pPr>
      <w:r>
        <w:rPr>
          <w:rFonts w:hint="eastAsia" w:ascii="黑体" w:hAnsi="宋体" w:eastAsia="黑体" w:cs="宋体"/>
          <w:b/>
          <w:color w:val="auto"/>
          <w:kern w:val="0"/>
          <w:sz w:val="32"/>
          <w:szCs w:val="32"/>
          <w:highlight w:val="none"/>
        </w:rPr>
        <w:t>四、投标文件的递交</w:t>
      </w:r>
    </w:p>
    <w:p>
      <w:pPr>
        <w:keepNext w:val="0"/>
        <w:keepLines w:val="0"/>
        <w:pageBreakBefore w:val="0"/>
        <w:widowControl/>
        <w:kinsoku/>
        <w:wordWrap/>
        <w:overflowPunct/>
        <w:topLinePunct w:val="0"/>
        <w:autoSpaceDE/>
        <w:autoSpaceDN/>
        <w:bidi w:val="0"/>
        <w:adjustRightInd/>
        <w:snapToGrid w:val="0"/>
        <w:spacing w:line="360" w:lineRule="auto"/>
        <w:ind w:firstLine="417" w:firstLineChars="198"/>
        <w:textAlignment w:val="auto"/>
        <w:rPr>
          <w:rFonts w:ascii="宋体" w:hAnsi="宋体" w:cs="宋体"/>
          <w:b/>
          <w:color w:val="auto"/>
          <w:kern w:val="0"/>
          <w:szCs w:val="21"/>
          <w:highlight w:val="none"/>
        </w:rPr>
      </w:pPr>
      <w:r>
        <w:rPr>
          <w:rFonts w:hint="eastAsia" w:ascii="宋体" w:hAnsi="宋体" w:cs="宋体"/>
          <w:b/>
          <w:color w:val="auto"/>
          <w:kern w:val="0"/>
          <w:szCs w:val="21"/>
          <w:highlight w:val="none"/>
        </w:rPr>
        <w:t>21. 投标文件的密封、标记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21.1投标文件的正本与副本应分开包装，加贴封条，并在封套的封口处加盖投标人单位公章。</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rPr>
        <w:t>21.2 投标文件的封套上应清楚地标记“正本”或“副本”字样，封套上应写明的其他内容见投标人须知前附表</w:t>
      </w:r>
      <w:r>
        <w:rPr>
          <w:rFonts w:hint="eastAsia" w:ascii="宋体" w:hAnsi="宋体" w:cs="宋体"/>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highlight w:val="none"/>
          <w:lang w:eastAsia="zh-CN"/>
        </w:rPr>
      </w:pPr>
      <w:r>
        <w:rPr>
          <w:rFonts w:hint="eastAsia"/>
          <w:highlight w:val="none"/>
          <w:lang w:eastAsia="zh-CN"/>
        </w:rPr>
        <w:t>2</w:t>
      </w:r>
      <w:r>
        <w:rPr>
          <w:rFonts w:hint="eastAsia"/>
          <w:highlight w:val="none"/>
          <w:lang w:val="en-US" w:eastAsia="zh-CN"/>
        </w:rPr>
        <w:t>1</w:t>
      </w:r>
      <w:r>
        <w:rPr>
          <w:rFonts w:hint="eastAsia"/>
          <w:highlight w:val="none"/>
          <w:lang w:eastAsia="zh-CN"/>
        </w:rPr>
        <w:t>.3 未按本章第2</w:t>
      </w:r>
      <w:r>
        <w:rPr>
          <w:rFonts w:hint="eastAsia"/>
          <w:highlight w:val="none"/>
          <w:lang w:val="en-US" w:eastAsia="zh-CN"/>
        </w:rPr>
        <w:t>1</w:t>
      </w:r>
      <w:r>
        <w:rPr>
          <w:rFonts w:hint="eastAsia"/>
          <w:highlight w:val="none"/>
          <w:lang w:eastAsia="zh-CN"/>
        </w:rPr>
        <w:t>.1项或第2</w:t>
      </w:r>
      <w:r>
        <w:rPr>
          <w:rFonts w:hint="eastAsia"/>
          <w:highlight w:val="none"/>
          <w:lang w:val="en-US" w:eastAsia="zh-CN"/>
        </w:rPr>
        <w:t>1</w:t>
      </w:r>
      <w:r>
        <w:rPr>
          <w:rFonts w:hint="eastAsia"/>
          <w:highlight w:val="none"/>
          <w:lang w:eastAsia="zh-CN"/>
        </w:rPr>
        <w:t>.2项要求密封和加写标记的投标文件，采购人不予受理。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22. 投标文件的递交</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 投标人应在规定的投标截止时间前</w:t>
      </w:r>
      <w:r>
        <w:rPr>
          <w:rFonts w:hint="eastAsia" w:ascii="宋体" w:hAnsi="宋体" w:cs="宋体"/>
          <w:color w:val="auto"/>
          <w:kern w:val="0"/>
          <w:szCs w:val="21"/>
          <w:highlight w:val="none"/>
          <w:lang w:eastAsia="zh-CN"/>
        </w:rPr>
        <w:t>递交</w:t>
      </w:r>
      <w:r>
        <w:rPr>
          <w:rFonts w:hint="eastAsia" w:ascii="宋体" w:hAnsi="宋体" w:cs="宋体"/>
          <w:color w:val="auto"/>
          <w:kern w:val="0"/>
          <w:szCs w:val="21"/>
          <w:highlight w:val="none"/>
        </w:rPr>
        <w:t>投标文件。</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 投标人递交投标文件的地点：见投标人须知前附表。</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 除投标人须知前附表另有规定外，投标人所递交的投标文件不予退还。</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.4 逾期送达的或者未送达指定地点的投标文件，采购人不予受理。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23. 投标文件的修改和撤回</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23.1 投标人在投标截止时间前，可以对所提交的投标文件进行补充、修改或者撤回，并书面通知</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。补充、修改的内容和撤回通知应当按本须知要求签署、盖章、密封，并作为投标文件的组成部分。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color w:val="auto"/>
          <w:kern w:val="0"/>
          <w:szCs w:val="21"/>
          <w:highlight w:val="none"/>
        </w:rPr>
        <w:t>23.2 投标人在投标截止期后不得修改、撤回投标文件。投标人在投标截止期后修改投标文件的，其投标将被拒绝。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五</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评标</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 组建评标委员会</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评标委员会由采购人代表和评审专家组成。成员由</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人以上单数组成。</w:t>
      </w:r>
      <w:r>
        <w:rPr>
          <w:rFonts w:hint="eastAsia" w:ascii="宋体" w:hAnsi="宋体" w:cs="宋体"/>
          <w:color w:val="auto"/>
          <w:szCs w:val="21"/>
          <w:highlight w:val="none"/>
        </w:rPr>
        <w:t>在开标后由评标委员会对投标文件进行审查、质疑、评估和比较，并做合理的建议。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.2评标委员会成员要依法独立评审，并对评审意见承担个人责任。</w:t>
      </w:r>
      <w:r>
        <w:rPr>
          <w:rFonts w:hint="eastAsia" w:ascii="宋体" w:hAnsi="宋体" w:cs="宋体"/>
          <w:color w:val="auto"/>
          <w:szCs w:val="21"/>
          <w:highlight w:val="none"/>
        </w:rPr>
        <w:t>评标委员会成员对需要共同认定的事项存在争议的，按照少数服从多数的原则</w:t>
      </w:r>
      <w:r>
        <w:rPr>
          <w:rFonts w:hint="eastAsia" w:ascii="宋体" w:hAnsi="宋体" w:cs="宋体"/>
          <w:color w:val="auto"/>
          <w:kern w:val="0"/>
          <w:szCs w:val="21"/>
          <w:highlight w:val="none"/>
        </w:rPr>
        <w:t>做</w:t>
      </w:r>
      <w:r>
        <w:rPr>
          <w:rFonts w:hint="eastAsia" w:ascii="宋体" w:hAnsi="宋体" w:cs="宋体"/>
          <w:color w:val="auto"/>
          <w:szCs w:val="21"/>
          <w:highlight w:val="none"/>
        </w:rPr>
        <w:t>出结论。持不同意见的评标委员会成员应当在评标报告上签署不同意见</w:t>
      </w:r>
      <w:r>
        <w:rPr>
          <w:rFonts w:hint="eastAsia" w:ascii="宋体" w:hAnsi="宋体" w:cs="宋体"/>
          <w:color w:val="auto"/>
          <w:kern w:val="0"/>
          <w:szCs w:val="21"/>
          <w:highlight w:val="none"/>
        </w:rPr>
        <w:t>并说明</w:t>
      </w:r>
      <w:r>
        <w:rPr>
          <w:rFonts w:hint="eastAsia" w:ascii="宋体" w:hAnsi="宋体" w:cs="宋体"/>
          <w:color w:val="auto"/>
          <w:szCs w:val="21"/>
          <w:highlight w:val="none"/>
        </w:rPr>
        <w:t>理由，否则视为同意。</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2</w:t>
      </w:r>
      <w:r>
        <w:rPr>
          <w:rFonts w:hint="eastAsia" w:ascii="宋体" w:hAnsi="宋体" w:cs="宋体"/>
          <w:b/>
          <w:bCs/>
          <w:color w:val="auto"/>
          <w:szCs w:val="21"/>
          <w:highlight w:val="none"/>
          <w:lang w:val="en-US" w:eastAsia="zh-CN"/>
        </w:rPr>
        <w:t>5</w:t>
      </w:r>
      <w:r>
        <w:rPr>
          <w:rFonts w:hint="eastAsia" w:ascii="宋体" w:hAnsi="宋体" w:cs="宋体"/>
          <w:b/>
          <w:bCs/>
          <w:color w:val="auto"/>
          <w:szCs w:val="21"/>
          <w:highlight w:val="none"/>
        </w:rPr>
        <w:t>. 投标文件的初审</w:t>
      </w:r>
    </w:p>
    <w:p>
      <w:pPr>
        <w:pStyle w:val="29"/>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.1对所有投标人的评估，都采用相同的程序和标准。评标过程将严格按照</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文件的要求和条件进行。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.2 评标委员会将对投标文件进行检查，以确定投标文件是否完整、有无计算上的错误、文件是否已正确签署等。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ascii="宋体" w:hAnsi="宋体" w:cs="宋体"/>
          <w:color w:val="auto"/>
          <w:kern w:val="0"/>
          <w:szCs w:val="21"/>
          <w:highlight w:val="none"/>
        </w:rPr>
        <w:t>.</w:t>
      </w:r>
      <w:r>
        <w:rPr>
          <w:rFonts w:hint="eastAsia" w:ascii="宋体" w:hAnsi="宋体" w:cs="宋体"/>
          <w:color w:val="auto"/>
          <w:kern w:val="0"/>
          <w:szCs w:val="21"/>
          <w:highlight w:val="none"/>
        </w:rPr>
        <w:t>3</w:t>
      </w:r>
      <w:r>
        <w:rPr>
          <w:rFonts w:ascii="宋体" w:hAnsi="宋体" w:cs="宋体"/>
          <w:color w:val="auto"/>
          <w:kern w:val="0"/>
          <w:szCs w:val="21"/>
          <w:highlight w:val="none"/>
        </w:rPr>
        <w:t> </w:t>
      </w:r>
      <w:r>
        <w:rPr>
          <w:rFonts w:hint="eastAsia"/>
          <w:color w:val="auto"/>
          <w:kern w:val="0"/>
          <w:szCs w:val="21"/>
          <w:highlight w:val="none"/>
        </w:rPr>
        <w:t>投标文件报价出现前后不一致的，除</w:t>
      </w:r>
      <w:r>
        <w:rPr>
          <w:rFonts w:hint="eastAsia"/>
          <w:color w:val="auto"/>
          <w:kern w:val="0"/>
          <w:szCs w:val="21"/>
          <w:highlight w:val="none"/>
          <w:lang w:val="en-US" w:eastAsia="zh-CN"/>
        </w:rPr>
        <w:t>采购</w:t>
      </w:r>
      <w:r>
        <w:rPr>
          <w:rFonts w:hint="eastAsia"/>
          <w:color w:val="auto"/>
          <w:kern w:val="0"/>
          <w:szCs w:val="21"/>
          <w:highlight w:val="none"/>
        </w:rPr>
        <w:t>文件另有规定外，</w:t>
      </w:r>
      <w:r>
        <w:rPr>
          <w:rFonts w:hint="eastAsia" w:cs="宋体"/>
          <w:color w:val="auto"/>
          <w:kern w:val="0"/>
          <w:szCs w:val="21"/>
          <w:highlight w:val="none"/>
        </w:rPr>
        <w:t>修正错误的原则如下：</w:t>
      </w:r>
    </w:p>
    <w:p>
      <w:pPr>
        <w:pStyle w:val="29"/>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.3.1</w:t>
      </w:r>
      <w:r>
        <w:rPr>
          <w:rFonts w:hint="eastAsia" w:ascii="宋体" w:hAnsi="宋体" w:cs="宋体"/>
          <w:color w:val="auto"/>
          <w:sz w:val="21"/>
          <w:szCs w:val="21"/>
          <w:highlight w:val="none"/>
          <w:shd w:val="clear" w:color="auto" w:fill="FFFFFF"/>
        </w:rPr>
        <w:t>投标文件开标一览表（报价表）内容与投标文件中相应内容不一致的，以开标一览表（报价表）为准；</w:t>
      </w:r>
    </w:p>
    <w:p>
      <w:pPr>
        <w:pStyle w:val="29"/>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.3.2</w:t>
      </w:r>
      <w:r>
        <w:rPr>
          <w:rFonts w:hint="eastAsia" w:ascii="宋体" w:hAnsi="宋体" w:cs="宋体"/>
          <w:color w:val="auto"/>
          <w:sz w:val="21"/>
          <w:szCs w:val="21"/>
          <w:highlight w:val="none"/>
          <w:shd w:val="clear" w:color="auto" w:fill="FFFFFF"/>
        </w:rPr>
        <w:t>大写金额</w:t>
      </w:r>
      <w:r>
        <w:rPr>
          <w:rFonts w:hint="eastAsia" w:ascii="宋体" w:hAnsi="宋体" w:cs="宋体"/>
          <w:color w:val="auto"/>
          <w:sz w:val="21"/>
          <w:szCs w:val="21"/>
          <w:highlight w:val="none"/>
        </w:rPr>
        <w:t>与</w:t>
      </w:r>
      <w:r>
        <w:rPr>
          <w:rFonts w:hint="eastAsia" w:ascii="宋体" w:hAnsi="宋体" w:cs="宋体"/>
          <w:color w:val="auto"/>
          <w:sz w:val="21"/>
          <w:szCs w:val="21"/>
          <w:highlight w:val="none"/>
          <w:shd w:val="clear" w:color="auto" w:fill="FFFFFF"/>
        </w:rPr>
        <w:t>小写金额不一致的，以大写金额为准；</w:t>
      </w:r>
    </w:p>
    <w:p>
      <w:pPr>
        <w:pStyle w:val="29"/>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.3.3</w:t>
      </w:r>
      <w:r>
        <w:rPr>
          <w:rFonts w:hint="eastAsia" w:ascii="宋体" w:hAnsi="宋体" w:cs="宋体"/>
          <w:color w:val="auto"/>
          <w:sz w:val="21"/>
          <w:szCs w:val="21"/>
          <w:highlight w:val="none"/>
          <w:shd w:val="clear" w:color="auto" w:fill="FFFFFF"/>
        </w:rPr>
        <w:t>单价金额小数点或者百分比有明显错位的，以开标一览表的总价为准，并修改单价；</w:t>
      </w:r>
    </w:p>
    <w:p>
      <w:pPr>
        <w:pStyle w:val="29"/>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.3.4</w:t>
      </w:r>
      <w:r>
        <w:rPr>
          <w:rFonts w:hint="eastAsia" w:ascii="宋体" w:hAnsi="宋体" w:cs="宋体"/>
          <w:color w:val="auto"/>
          <w:sz w:val="21"/>
          <w:szCs w:val="21"/>
          <w:highlight w:val="none"/>
          <w:shd w:val="clear" w:color="auto" w:fill="FFFFFF"/>
        </w:rPr>
        <w:t>总价金额与按单价汇总金额不一致的，以单价金额计算结果为准。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.3.5 对不同文字文本投标文件的解释发生异议的，以中文文本为准。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.3.6 同时出现两种以上不一致的，按照前款规定的顺序修正。修正后的报价按照财政部87号令第五十一条第二款的规定经投标人确认后产生约束力，投标人不确认的，其投标无效。</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 资格性检查和符合性检查。</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w:t>
      </w:r>
      <w:r>
        <w:rPr>
          <w:rFonts w:hint="eastAsia" w:ascii="宋体" w:hAnsi="宋体"/>
          <w:color w:val="auto"/>
          <w:szCs w:val="21"/>
          <w:highlight w:val="none"/>
        </w:rPr>
        <w:t>资格性检查。依据法规政策和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文件的规定，在对投标文件详细评估之前，采购人将依据投标人提交的投标文件按</w:t>
      </w:r>
      <w:r>
        <w:rPr>
          <w:rFonts w:hint="eastAsia" w:ascii="宋体" w:hAnsi="宋体"/>
          <w:color w:val="auto"/>
          <w:szCs w:val="21"/>
          <w:highlight w:val="none"/>
          <w:lang w:val="en-US" w:eastAsia="zh-CN"/>
        </w:rPr>
        <w:t>采购</w:t>
      </w:r>
      <w:r>
        <w:rPr>
          <w:rFonts w:hint="eastAsia" w:ascii="宋体" w:hAnsi="宋体"/>
          <w:color w:val="auto"/>
          <w:szCs w:val="21"/>
          <w:highlight w:val="none"/>
        </w:rPr>
        <w:t>公告第二项和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文件第三章4.投标人应提交的证明文件所述的资格标准对投标人进行资格审查,以确定其是否具备投标资格。如果投标人不具备投标资格、不满足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文件所规定的资格标准或提供资格证明文件不全,其投标将被作为无效投标。</w:t>
      </w:r>
      <w:r>
        <w:rPr>
          <w:rFonts w:hint="eastAsia" w:ascii="宋体" w:hAnsi="宋体" w:cs="Lucida Sans Unicode"/>
          <w:color w:val="auto"/>
          <w:szCs w:val="21"/>
          <w:highlight w:val="none"/>
        </w:rPr>
        <w:t>在审查过程中，采购人有权要求投标人按</w:t>
      </w:r>
      <w:r>
        <w:rPr>
          <w:rFonts w:hint="eastAsia" w:ascii="宋体" w:hAnsi="宋体" w:cs="Lucida Sans Unicode"/>
          <w:color w:val="auto"/>
          <w:szCs w:val="21"/>
          <w:highlight w:val="none"/>
          <w:lang w:val="en-US" w:eastAsia="zh-CN"/>
        </w:rPr>
        <w:t>采购</w:t>
      </w:r>
      <w:r>
        <w:rPr>
          <w:rFonts w:hint="eastAsia" w:ascii="宋体" w:hAnsi="宋体" w:cs="Lucida Sans Unicode"/>
          <w:color w:val="auto"/>
          <w:szCs w:val="21"/>
          <w:highlight w:val="none"/>
        </w:rPr>
        <w:t>文件的规定提供相关资格证明材料的原件以供审查。投标人应在规定的时限内提供。投标人拒不提供的，或者不能在规定时限内提供的，视为其不具备该资格条件。</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Lucida Sans Unicode"/>
          <w:color w:val="auto"/>
          <w:szCs w:val="21"/>
          <w:highlight w:val="none"/>
        </w:rPr>
      </w:pPr>
      <w:r>
        <w:rPr>
          <w:rFonts w:hint="eastAsia" w:ascii="宋体" w:hAnsi="宋体" w:cs="Lucida Sans Unicode"/>
          <w:color w:val="auto"/>
          <w:szCs w:val="21"/>
          <w:highlight w:val="none"/>
        </w:rPr>
        <w:t>2</w:t>
      </w:r>
      <w:r>
        <w:rPr>
          <w:rFonts w:hint="eastAsia" w:ascii="宋体" w:hAnsi="宋体" w:cs="Lucida Sans Unicode"/>
          <w:color w:val="auto"/>
          <w:szCs w:val="21"/>
          <w:highlight w:val="none"/>
          <w:lang w:val="en-US" w:eastAsia="zh-CN"/>
        </w:rPr>
        <w:t>5</w:t>
      </w:r>
      <w:r>
        <w:rPr>
          <w:rFonts w:hint="eastAsia" w:ascii="宋体" w:hAnsi="宋体" w:cs="Lucida Sans Unicode"/>
          <w:color w:val="auto"/>
          <w:szCs w:val="21"/>
          <w:highlight w:val="none"/>
        </w:rPr>
        <w:t>.4.2 资格审查后合格的投标人不足3家的，不得评标。</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 符合性检查。依据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文件的规定，评标委员会将从投标文件的有效性、完整性和对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文件的响应程度进行审查，以确定是否符合对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文件的实质性要求作出响应。对没有实质性响应的投标文件将不进行评估，其投标被作为无效投标。凡有下列情况之一者，投标文件也将被视为未实质性响应</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（1）投标文件未按规定签字、盖章的。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（2）投标人未能出具有效身份证明，或与身份不符的。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（3）资格证明文件不全的，或不符合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文件标明的资格要求的。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（4）投标</w:t>
      </w:r>
      <w:r>
        <w:rPr>
          <w:rFonts w:hint="eastAsia" w:ascii="宋体" w:hAnsi="宋体"/>
          <w:color w:val="000000" w:themeColor="text1"/>
          <w:szCs w:val="21"/>
          <w:highlight w:val="none"/>
          <w14:textFill>
            <w14:solidFill>
              <w14:schemeClr w14:val="tx1"/>
            </w14:solidFill>
          </w14:textFill>
        </w:rPr>
        <w:t>有效期、</w:t>
      </w:r>
      <w:r>
        <w:rPr>
          <w:rFonts w:hint="eastAsia" w:ascii="宋体" w:hAnsi="宋体"/>
          <w:color w:val="000000" w:themeColor="text1"/>
          <w:szCs w:val="21"/>
          <w:highlight w:val="none"/>
          <w:lang w:val="en-US" w:eastAsia="zh-CN"/>
          <w14:textFill>
            <w14:solidFill>
              <w14:schemeClr w14:val="tx1"/>
            </w14:solidFill>
          </w14:textFill>
        </w:rPr>
        <w:t>服务</w:t>
      </w:r>
      <w:r>
        <w:rPr>
          <w:rFonts w:hint="eastAsia" w:ascii="宋体" w:hAnsi="宋体"/>
          <w:color w:val="000000" w:themeColor="text1"/>
          <w:szCs w:val="21"/>
          <w:highlight w:val="none"/>
          <w14:textFill>
            <w14:solidFill>
              <w14:schemeClr w14:val="tx1"/>
            </w14:solidFill>
          </w14:textFill>
        </w:rPr>
        <w:t>时间、质保期等不</w:t>
      </w:r>
      <w:r>
        <w:rPr>
          <w:rFonts w:hint="eastAsia" w:ascii="宋体" w:hAnsi="宋体"/>
          <w:color w:val="auto"/>
          <w:szCs w:val="21"/>
          <w:highlight w:val="none"/>
        </w:rPr>
        <w:t>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（5）未按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文件提供的格式填列、项目不齐全或内容虚假的。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（6）投标文件的实质性内容未使用中文表述，或意思表述不明确，或前后矛盾，或使用计量单位不符合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（7）投标文件的关键内容字迹模糊、无法辨认,或投标文件中经修正的内容字迹模糊无法辩认，或修改处未按规定签名盖章的。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olor w:val="auto"/>
          <w:szCs w:val="21"/>
          <w:highlight w:val="none"/>
        </w:rPr>
        <w:t>（8）投标文件内容未按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文件响应的。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（9）不符合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文件中规定的其它实质性条款。</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评标委员会决定投标的响应性只根据投标文件本身的内容，而不寻求其他的外部证据。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.4.4 对资格性检查和符合性检查不合格的投标人，将</w:t>
      </w:r>
      <w:r>
        <w:rPr>
          <w:rFonts w:hint="eastAsia" w:ascii="宋体" w:hAnsi="宋体" w:cs="宋体"/>
          <w:color w:val="auto"/>
          <w:kern w:val="0"/>
          <w:szCs w:val="21"/>
          <w:highlight w:val="none"/>
          <w:lang w:val="en-US" w:eastAsia="zh-CN"/>
        </w:rPr>
        <w:t>通过评标系统</w:t>
      </w:r>
      <w:r>
        <w:rPr>
          <w:rFonts w:hint="eastAsia" w:ascii="宋体" w:hAnsi="宋体" w:cs="宋体"/>
          <w:color w:val="auto"/>
          <w:kern w:val="0"/>
          <w:szCs w:val="21"/>
          <w:highlight w:val="none"/>
        </w:rPr>
        <w:t>告知其理由。</w:t>
      </w:r>
    </w:p>
    <w:p>
      <w:pPr>
        <w:pStyle w:val="29"/>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5</w:t>
      </w:r>
      <w:r>
        <w:rPr>
          <w:rFonts w:hint="eastAsia" w:ascii="宋体" w:hAnsi="宋体" w:cs="宋体"/>
          <w:color w:val="auto"/>
          <w:sz w:val="21"/>
          <w:szCs w:val="21"/>
          <w:highlight w:val="none"/>
        </w:rPr>
        <w:t>.5 在评审过程中，评标委员会发现投标人有下列情形之一的，视为投标人串通投标，其投标无效：</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.5.1不同投标人的投标文件异常一致。</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.5.2不同投标人的投标文件由同一单位或者个人编制；</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.5.3不同投标人委托同一单位或者个人办理投标事宜；</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.5.4不同投标人的投标文件载明的项目管理成员或者联系人员为同一人；　　</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.5.5不同投标人的投标文件相互混装；</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.5.6不同投标人的投标保证金从同一单位或者个人的账户转出（若收取）。</w:t>
      </w:r>
    </w:p>
    <w:p>
      <w:pPr>
        <w:keepNext w:val="0"/>
        <w:keepLines w:val="0"/>
        <w:pageBreakBefore w:val="0"/>
        <w:widowControl/>
        <w:kinsoku/>
        <w:wordWrap/>
        <w:overflowPunct/>
        <w:topLinePunct w:val="0"/>
        <w:bidi w:val="0"/>
        <w:adjustRightInd w:val="0"/>
        <w:snapToGrid w:val="0"/>
        <w:spacing w:line="360" w:lineRule="auto"/>
        <w:ind w:left="19" w:leftChars="9" w:firstLine="399" w:firstLineChars="190"/>
        <w:jc w:val="left"/>
        <w:textAlignment w:val="baseline"/>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.5.7 有证据证明投标人串通投标的其他情形的；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.5.8 不同投标人的投标文件制作机器码一致；</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.5.9 评标委员会认定的其他串通投标情形。</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6</w:t>
      </w:r>
      <w:r>
        <w:rPr>
          <w:rFonts w:hint="eastAsia" w:ascii="宋体" w:hAnsi="宋体" w:cs="宋体"/>
          <w:b/>
          <w:bCs/>
          <w:color w:val="auto"/>
          <w:kern w:val="0"/>
          <w:szCs w:val="21"/>
          <w:highlight w:val="none"/>
        </w:rPr>
        <w:t>. 投标文件的澄清</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对投标文件中含义不明确、同类问题表述不一致或者有明显文字和计算错误的内容，评标委员会可以书面形式要求投标人作出必要的澄清。投标人的澄清应当在评标委员会规定的时间内以书面形式作出，由其投标人代表签字。但澄清事项不得超出投标文件的范围，不得实质性改变投标文件的内容，不得通过澄清等方式对投标人实行差别对待。评标委员会不得接受投标人主动提出的澄清和解释。</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7</w:t>
      </w:r>
      <w:r>
        <w:rPr>
          <w:rFonts w:hint="eastAsia" w:ascii="宋体" w:hAnsi="宋体" w:cs="宋体"/>
          <w:b/>
          <w:bCs/>
          <w:color w:val="auto"/>
          <w:kern w:val="0"/>
          <w:szCs w:val="21"/>
          <w:highlight w:val="none"/>
        </w:rPr>
        <w:t>. 比较与评价</w:t>
      </w:r>
    </w:p>
    <w:p>
      <w:pPr>
        <w:pStyle w:val="29"/>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.1 评标委员会将按本</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文件规定的评标方法与标准，对资格性检查和符合性检查合格的投标文件进行商务和技术评估，综合比较与评价。</w:t>
      </w:r>
    </w:p>
    <w:p>
      <w:pPr>
        <w:pStyle w:val="29"/>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.2对漏（缺）报项的处理：</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文件中要求列入报价的费用（含配置、功能），漏（缺）报的视同已含在投标总价中。</w:t>
      </w:r>
    </w:p>
    <w:p>
      <w:pPr>
        <w:pStyle w:val="29"/>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b/>
          <w:bCs/>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8</w:t>
      </w:r>
      <w:r>
        <w:rPr>
          <w:rFonts w:hint="eastAsia" w:ascii="宋体" w:hAnsi="宋体" w:cs="宋体"/>
          <w:b/>
          <w:bCs/>
          <w:color w:val="auto"/>
          <w:kern w:val="0"/>
          <w:szCs w:val="21"/>
          <w:highlight w:val="none"/>
        </w:rPr>
        <w:t>. 评标过程及保密原则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.1 凡与本次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有关人员对属于审查、澄清、评价和比较投标的有关资料以及定标意向等，均不得向投标人或其他人员透露。否则,将按有关规定追究相关人员的责任。</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.2 在评标期间，投标人试图影响或干预评审的任何行为，将导致其投标被作为无效投标，并承担相应的法律责任。</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color w:val="auto"/>
          <w:kern w:val="0"/>
          <w:szCs w:val="21"/>
          <w:highlight w:val="none"/>
        </w:rPr>
      </w:pPr>
      <w:r>
        <w:rPr>
          <w:rFonts w:hint="eastAsia" w:ascii="宋体" w:hAnsi="宋体" w:cs="宋体"/>
          <w:b/>
          <w:color w:val="auto"/>
          <w:kern w:val="0"/>
          <w:szCs w:val="21"/>
          <w:highlight w:val="none"/>
          <w:lang w:val="en-US" w:eastAsia="zh-CN"/>
        </w:rPr>
        <w:t>29</w:t>
      </w:r>
      <w:r>
        <w:rPr>
          <w:rFonts w:hint="eastAsia" w:ascii="宋体" w:hAnsi="宋体" w:cs="宋体"/>
          <w:b/>
          <w:color w:val="auto"/>
          <w:kern w:val="0"/>
          <w:szCs w:val="21"/>
          <w:highlight w:val="none"/>
        </w:rPr>
        <w:t>.评标异议登记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工作人员对评审专家等相关人员在评审过程中发现、提出的异议进行逐项登记。</w:t>
      </w:r>
    </w:p>
    <w:p>
      <w:pPr>
        <w:keepNext w:val="0"/>
        <w:keepLines w:val="0"/>
        <w:pageBreakBefore w:val="0"/>
        <w:widowControl/>
        <w:kinsoku/>
        <w:wordWrap/>
        <w:overflowPunct/>
        <w:topLinePunct w:val="0"/>
        <w:bidi w:val="0"/>
        <w:snapToGrid w:val="0"/>
        <w:spacing w:line="360" w:lineRule="auto"/>
        <w:ind w:firstLine="305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六</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定标</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0</w:t>
      </w:r>
      <w:r>
        <w:rPr>
          <w:rFonts w:hint="eastAsia" w:ascii="宋体" w:hAnsi="宋体" w:cs="宋体"/>
          <w:b/>
          <w:bCs/>
          <w:color w:val="auto"/>
          <w:kern w:val="0"/>
          <w:szCs w:val="21"/>
          <w:highlight w:val="none"/>
        </w:rPr>
        <w:t>. 定标原则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.1 最低投标价不作为中标的保证。</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 确定实质上响应</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文件且满足下列条件的为中标候选人（或中标人）</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bookmarkStart w:id="41" w:name="_Toc32200"/>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.2.1</w:t>
      </w:r>
      <w:bookmarkEnd w:id="41"/>
      <w:r>
        <w:rPr>
          <w:rFonts w:hint="eastAsia" w:ascii="宋体" w:hAnsi="宋体" w:cs="宋体"/>
          <w:bCs/>
          <w:color w:val="auto"/>
          <w:kern w:val="0"/>
          <w:szCs w:val="21"/>
          <w:highlight w:val="none"/>
        </w:rPr>
        <w:t>本次评标采用</w:t>
      </w:r>
      <w:r>
        <w:rPr>
          <w:rFonts w:hint="eastAsia" w:ascii="宋体" w:hAnsi="宋体" w:cs="宋体"/>
          <w:color w:val="auto"/>
          <w:szCs w:val="21"/>
          <w:highlight w:val="none"/>
        </w:rPr>
        <w:t>综合评分法，是指响应文件满足采购文件全部实质性要求，且按照评审因素的量化指标评审得分最高的投标人为中标候选人的评标方法。</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采用综合评分法的，评标结果按评审后得分由高到低顺序排列。投标文件满足</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全部实质性要求，且按照评审因素的量化指标评审得分最高的投标人为排名第一的中标候选人，以此类推。得分相同的，按投标报价由低到高顺序排列。得分且投标报价相同的，按技术部分得分顺序排列。得分与技术指标优劣均相同的，通过随机抽取产生。</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1</w:t>
      </w:r>
      <w:r>
        <w:rPr>
          <w:rFonts w:hint="eastAsia" w:ascii="宋体" w:hAnsi="宋体" w:cs="宋体"/>
          <w:b/>
          <w:bCs/>
          <w:color w:val="auto"/>
          <w:kern w:val="0"/>
          <w:szCs w:val="21"/>
          <w:highlight w:val="none"/>
        </w:rPr>
        <w:t>. 确定中标人和中标候选人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bCs/>
          <w:color w:val="auto"/>
          <w:kern w:val="0"/>
          <w:szCs w:val="21"/>
          <w:highlight w:val="none"/>
        </w:rPr>
        <w:t>本项目由采购人授权评标委员会确定一名中标人并推荐两名中标候选人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2</w:t>
      </w:r>
      <w:r>
        <w:rPr>
          <w:rFonts w:hint="eastAsia" w:ascii="宋体" w:hAnsi="宋体" w:cs="宋体"/>
          <w:b/>
          <w:bCs/>
          <w:color w:val="auto"/>
          <w:kern w:val="0"/>
          <w:szCs w:val="21"/>
          <w:highlight w:val="none"/>
        </w:rPr>
        <w:t>. 中标通知书及中标公告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.1评审结束后，</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人将中标候选人的情况在本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项目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公告发布的同一媒介予以公示，公示</w:t>
      </w:r>
      <w:r>
        <w:rPr>
          <w:rFonts w:hint="eastAsia" w:ascii="宋体" w:hAnsi="宋体" w:cs="宋体"/>
          <w:color w:val="auto"/>
          <w:kern w:val="0"/>
          <w:szCs w:val="21"/>
          <w:highlight w:val="none"/>
          <w:lang w:eastAsia="zh-CN"/>
        </w:rPr>
        <w:t>期限</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lang w:eastAsia="zh-CN"/>
        </w:rPr>
        <w:t>个工作日</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.2中标人在规定的时间内不领取中标通知书的，视为中标后自动放弃中标资格；中标人在有效报价中报价最低,非不可抗力放弃中标资格的。发生上述情况的承担由此引起的一切后果。</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.3中标通知书对采购人和中标人具有同等法律效力。中标通知书发出后，采购人改变中标结果，或者中标人放弃中标，应按相关法律、规章、规范性文件的要求承担相应的法律责任。</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bCs/>
          <w:color w:val="auto"/>
          <w:kern w:val="0"/>
          <w:szCs w:val="21"/>
          <w:highlight w:val="none"/>
        </w:rPr>
        <w:t>.4中标通知书将作为签订合同的依据。合同签订后，中标通知书成为合同的一部分。</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3</w:t>
      </w:r>
      <w:r>
        <w:rPr>
          <w:rFonts w:hint="eastAsia" w:ascii="宋体" w:hAnsi="宋体" w:cs="宋体"/>
          <w:b/>
          <w:bCs/>
          <w:color w:val="auto"/>
          <w:kern w:val="0"/>
          <w:szCs w:val="21"/>
          <w:highlight w:val="none"/>
        </w:rPr>
        <w:t>. 采购人宣布废标的权利</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.1出现下列情况之一时，采购人有权宣布废标，并将理由通知所有投标人：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.1.1出现影响采购公正的违法、违规行为的。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.1.2投标人的报价均超过了</w:t>
      </w:r>
      <w:r>
        <w:rPr>
          <w:rFonts w:hint="eastAsia" w:ascii="宋体" w:hAnsi="宋体" w:cs="宋体"/>
          <w:bCs/>
          <w:color w:val="auto"/>
          <w:kern w:val="0"/>
          <w:szCs w:val="21"/>
          <w:highlight w:val="none"/>
          <w:lang w:val="en-US" w:eastAsia="zh-CN"/>
        </w:rPr>
        <w:t>采购预算金额</w:t>
      </w:r>
      <w:r>
        <w:rPr>
          <w:rFonts w:hint="eastAsia" w:ascii="宋体" w:hAnsi="宋体" w:cs="宋体"/>
          <w:bCs/>
          <w:color w:val="auto"/>
          <w:kern w:val="0"/>
          <w:szCs w:val="21"/>
          <w:highlight w:val="none"/>
        </w:rPr>
        <w:t>，采购人不能支付的。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.1.3因重大变故，采购任务取消的。</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color w:val="auto"/>
          <w:kern w:val="0"/>
          <w:szCs w:val="21"/>
          <w:highlight w:val="none"/>
        </w:rPr>
        <w:t xml:space="preserve">.2 </w:t>
      </w:r>
      <w:r>
        <w:rPr>
          <w:rFonts w:hint="eastAsia" w:ascii="宋体" w:hAnsi="宋体" w:cs="宋体"/>
          <w:color w:val="auto"/>
          <w:szCs w:val="21"/>
          <w:highlight w:val="none"/>
        </w:rPr>
        <w:t>投标截止后投标人不足3家或通过资格性检查或符合性检查的投标人不足3家的，除采购任务取消情形外，按照以下方式处理：</w:t>
      </w:r>
    </w:p>
    <w:p>
      <w:pPr>
        <w:keepNext w:val="0"/>
        <w:keepLines w:val="0"/>
        <w:pageBreakBefore w:val="0"/>
        <w:numPr>
          <w:ilvl w:val="0"/>
          <w:numId w:val="2"/>
        </w:numPr>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文件存在不合理条款或者招标程序不符合规定的，采购人正后依法重新招标；　</w:t>
      </w:r>
    </w:p>
    <w:p>
      <w:pPr>
        <w:keepNext w:val="0"/>
        <w:keepLines w:val="0"/>
        <w:pageBreakBefore w:val="0"/>
        <w:kinsoku/>
        <w:wordWrap/>
        <w:overflowPunct/>
        <w:topLinePunct w:val="0"/>
        <w:bidi w:val="0"/>
        <w:snapToGrid w:val="0"/>
        <w:spacing w:line="360" w:lineRule="auto"/>
        <w:ind w:firstLine="420" w:firstLineChars="200"/>
        <w:rPr>
          <w:rFonts w:ascii="宋体" w:hAnsi="宋体" w:cs="宋体"/>
          <w:b/>
          <w:color w:val="auto"/>
          <w:kern w:val="0"/>
          <w:sz w:val="52"/>
          <w:szCs w:val="52"/>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文件没有不合理条款、招标程序符合规定，需要采用其他采购方式采购的，采购人应当依法报财政部门批准。</w:t>
      </w:r>
    </w:p>
    <w:p>
      <w:pPr>
        <w:keepNext w:val="0"/>
        <w:keepLines w:val="0"/>
        <w:pageBreakBefore w:val="0"/>
        <w:widowControl/>
        <w:kinsoku/>
        <w:wordWrap/>
        <w:overflowPunct/>
        <w:topLinePunct w:val="0"/>
        <w:bidi w:val="0"/>
        <w:snapToGrid w:val="0"/>
        <w:spacing w:line="360" w:lineRule="auto"/>
        <w:ind w:firstLine="2570" w:firstLineChars="80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七</w:t>
      </w:r>
      <w:r>
        <w:rPr>
          <w:rFonts w:hint="eastAsia" w:ascii="黑体" w:hAnsi="宋体" w:eastAsia="黑体" w:cs="宋体"/>
          <w:b/>
          <w:bCs/>
          <w:color w:val="auto"/>
          <w:kern w:val="0"/>
          <w:sz w:val="32"/>
          <w:szCs w:val="32"/>
          <w:highlight w:val="none"/>
        </w:rPr>
        <w:t>、合同授予</w:t>
      </w:r>
    </w:p>
    <w:p>
      <w:pPr>
        <w:keepNext w:val="0"/>
        <w:keepLines w:val="0"/>
        <w:pageBreakBefore w:val="0"/>
        <w:widowControl/>
        <w:kinsoku/>
        <w:wordWrap/>
        <w:overflowPunct/>
        <w:topLinePunct w:val="0"/>
        <w:bidi w:val="0"/>
        <w:snapToGrid w:val="0"/>
        <w:spacing w:line="360" w:lineRule="auto"/>
        <w:ind w:firstLine="472" w:firstLineChars="224"/>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.合同签订</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u w:val="single"/>
        </w:rPr>
      </w:pPr>
      <w:bookmarkStart w:id="42" w:name="_Toc8594"/>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采购人、中标人自中标通知书发出之日起，在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文件第三章《投标人须知前附表》规定的时间内，根据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文件确定的事项和中标人投标文件签订合同。双方所签订的合同不得对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文件和中标人投标文件作实质性修改。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 xml:space="preserve">.2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文件的修改文件、中标人的投标文件、补充或修改的文件及澄清或承诺文件等，均为双方签订合同的组成部分，并与合同一并作为本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文件所列采购项目的互补性法律文件，与合同具有同等法律效力。</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.3 中标人</w:t>
      </w:r>
      <w:r>
        <w:rPr>
          <w:rFonts w:hint="eastAsia" w:cs="宋体"/>
          <w:color w:val="auto"/>
          <w:kern w:val="0"/>
          <w:szCs w:val="21"/>
          <w:highlight w:val="none"/>
        </w:rPr>
        <w:t>放弃中标、因不可抗力不能履行合同、不按照</w:t>
      </w:r>
      <w:r>
        <w:rPr>
          <w:rFonts w:hint="eastAsia" w:cs="宋体"/>
          <w:color w:val="auto"/>
          <w:kern w:val="0"/>
          <w:szCs w:val="21"/>
          <w:highlight w:val="none"/>
          <w:lang w:val="en-US" w:eastAsia="zh-CN"/>
        </w:rPr>
        <w:t>采购</w:t>
      </w:r>
      <w:r>
        <w:rPr>
          <w:rFonts w:hint="eastAsia" w:cs="宋体"/>
          <w:color w:val="auto"/>
          <w:kern w:val="0"/>
          <w:szCs w:val="21"/>
          <w:highlight w:val="none"/>
        </w:rPr>
        <w:t>文件要求提交履约保证金，或者被查实存在影响中标结果的违法行为等情形，不符合中标条件的，</w:t>
      </w:r>
      <w:r>
        <w:rPr>
          <w:rFonts w:hint="eastAsia" w:ascii="宋体" w:hAnsi="宋体" w:cs="宋体"/>
          <w:color w:val="auto"/>
          <w:kern w:val="0"/>
          <w:szCs w:val="21"/>
          <w:highlight w:val="none"/>
        </w:rPr>
        <w:t>采购人可以</w:t>
      </w:r>
      <w:r>
        <w:rPr>
          <w:rFonts w:hint="eastAsia" w:cs="宋体"/>
          <w:color w:val="auto"/>
          <w:kern w:val="0"/>
          <w:szCs w:val="21"/>
          <w:highlight w:val="none"/>
        </w:rPr>
        <w:t>按照评标委员会提出的中标候选</w:t>
      </w:r>
      <w:r>
        <w:rPr>
          <w:rFonts w:hint="eastAsia" w:ascii="宋体" w:hAnsi="宋体" w:cs="宋体"/>
          <w:color w:val="auto"/>
          <w:kern w:val="0"/>
          <w:szCs w:val="21"/>
          <w:highlight w:val="none"/>
        </w:rPr>
        <w:t>人</w:t>
      </w:r>
      <w:r>
        <w:rPr>
          <w:rFonts w:hint="eastAsia" w:cs="宋体"/>
          <w:color w:val="auto"/>
          <w:kern w:val="0"/>
          <w:szCs w:val="21"/>
          <w:highlight w:val="none"/>
        </w:rPr>
        <w:t>名单排序依次确定其他中标候选</w:t>
      </w:r>
      <w:r>
        <w:rPr>
          <w:rFonts w:hint="eastAsia" w:ascii="宋体" w:hAnsi="宋体" w:cs="宋体"/>
          <w:color w:val="auto"/>
          <w:kern w:val="0"/>
          <w:szCs w:val="21"/>
          <w:highlight w:val="none"/>
        </w:rPr>
        <w:t>人</w:t>
      </w:r>
      <w:r>
        <w:rPr>
          <w:rFonts w:hint="eastAsia" w:cs="宋体"/>
          <w:color w:val="auto"/>
          <w:kern w:val="0"/>
          <w:szCs w:val="21"/>
          <w:highlight w:val="none"/>
        </w:rPr>
        <w:t>为中标</w:t>
      </w:r>
      <w:r>
        <w:rPr>
          <w:rFonts w:hint="eastAsia" w:ascii="宋体" w:hAnsi="宋体" w:cs="宋体"/>
          <w:color w:val="auto"/>
          <w:kern w:val="0"/>
          <w:szCs w:val="21"/>
          <w:highlight w:val="none"/>
        </w:rPr>
        <w:t>人</w:t>
      </w:r>
      <w:r>
        <w:rPr>
          <w:rFonts w:hint="eastAsia" w:cs="宋体"/>
          <w:color w:val="auto"/>
          <w:kern w:val="0"/>
          <w:szCs w:val="21"/>
          <w:highlight w:val="none"/>
        </w:rPr>
        <w:t>，也可以重新招标。</w:t>
      </w:r>
    </w:p>
    <w:bookmarkEnd w:id="42"/>
    <w:p>
      <w:pPr>
        <w:rPr>
          <w:color w:val="auto"/>
          <w:highlight w:val="none"/>
        </w:rPr>
      </w:pPr>
      <w:bookmarkStart w:id="43" w:name="_Toc4700"/>
      <w:bookmarkStart w:id="44" w:name="_Toc16669"/>
      <w:r>
        <w:rPr>
          <w:color w:val="auto"/>
          <w:highlight w:val="none"/>
        </w:rPr>
        <w:br w:type="page"/>
      </w:r>
    </w:p>
    <w:p>
      <w:pPr>
        <w:rPr>
          <w:color w:val="auto"/>
          <w:highlight w:val="none"/>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0"/>
        <w:rPr>
          <w:rFonts w:ascii="宋体" w:hAnsi="宋体" w:cs="宋体"/>
          <w:color w:val="auto"/>
          <w:kern w:val="0"/>
          <w:sz w:val="24"/>
          <w:highlight w:val="none"/>
        </w:rPr>
      </w:pPr>
      <w:bookmarkStart w:id="45" w:name="_Toc9022"/>
      <w:r>
        <w:rPr>
          <w:rFonts w:hint="eastAsia" w:ascii="黑体" w:hAnsi="宋体" w:eastAsia="黑体" w:cs="宋体"/>
          <w:b/>
          <w:bCs/>
          <w:color w:val="auto"/>
          <w:kern w:val="0"/>
          <w:sz w:val="32"/>
          <w:szCs w:val="32"/>
          <w:highlight w:val="none"/>
        </w:rPr>
        <w:t>第四章  评标办法及评分标准</w:t>
      </w:r>
      <w:bookmarkEnd w:id="43"/>
      <w:bookmarkEnd w:id="45"/>
    </w:p>
    <w:p>
      <w:pPr>
        <w:rPr>
          <w:color w:val="auto"/>
          <w:highlight w:val="none"/>
        </w:rPr>
      </w:pP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（一）评标原则</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按照“公平、公正”的原则对待所有投标人</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文件的相关规定进行评标、定标。</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rPr>
        <w:t>）评标办法</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1．本项目采用综合评分法，总分为100分。</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2．评标委员会按照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文件中规定的评标方法和标准，对投标文件进行综合比较与评价。</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评标结果按评审后得分由高到低顺序排列，得分相同的，按投标报价由低到高顺序排列。得分且投标报价相同的，按技术部分得分顺序排列。</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.投标文件满足</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文件全部实质性要求，且评审得分最高的投标人为第一中标候选人。</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rPr>
        <w:t>）评标程序</w:t>
      </w:r>
    </w:p>
    <w:p>
      <w:pPr>
        <w:keepNext w:val="0"/>
        <w:keepLines w:val="0"/>
        <w:pageBreakBefore w:val="0"/>
        <w:numPr>
          <w:ilvl w:val="0"/>
          <w:numId w:val="3"/>
        </w:numPr>
        <w:kinsoku/>
        <w:overflowPunct/>
        <w:topLinePunct w:val="0"/>
        <w:bidi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详细评审（100分）</w:t>
      </w:r>
    </w:p>
    <w:tbl>
      <w:tblPr>
        <w:tblStyle w:val="33"/>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214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482" w:type="dxa"/>
            <w:gridSpan w:val="3"/>
            <w:noWrap w:val="0"/>
            <w:vAlign w:val="center"/>
          </w:tcPr>
          <w:p>
            <w:pPr>
              <w:keepNext w:val="0"/>
              <w:keepLines w:val="0"/>
              <w:pageBreakBefore w:val="0"/>
              <w:widowControl w:val="0"/>
              <w:tabs>
                <w:tab w:val="left" w:pos="3000"/>
              </w:tabs>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价格标部分 (30分)</w:t>
            </w:r>
          </w:p>
        </w:tc>
        <w:tc>
          <w:tcPr>
            <w:tcW w:w="8243" w:type="dxa"/>
            <w:gridSpan w:val="2"/>
            <w:noWrap w:val="0"/>
            <w:vAlign w:val="center"/>
          </w:tcPr>
          <w:p>
            <w:pPr>
              <w:pStyle w:val="4"/>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u w:val="none"/>
              </w:rPr>
            </w:pPr>
            <w:r>
              <w:rPr>
                <w:rFonts w:hint="eastAsia" w:ascii="宋体" w:hAnsi="宋体" w:eastAsia="宋体" w:cs="宋体"/>
                <w:b w:val="0"/>
                <w:bCs w:val="0"/>
                <w:color w:val="auto"/>
                <w:sz w:val="21"/>
                <w:szCs w:val="21"/>
                <w:highlight w:val="none"/>
                <w:u w:val="none"/>
              </w:rPr>
              <w:t>说明：当评标委员会发现投标人的投标报价明显低于其他投标报价，使其投标报价可能低于其个别成本的，评标委员会可对其质询，并要求该投标人做出书面说明和提供相关的证明材料；该投标人不能合理说明或提供证明材料的，评标委员会应按无效投标处理。</w:t>
            </w:r>
          </w:p>
          <w:p>
            <w:pPr>
              <w:pStyle w:val="4"/>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有效投标报价：投标报价</w:t>
            </w:r>
            <w:r>
              <w:rPr>
                <w:rFonts w:hint="eastAsia" w:hAnsi="宋体" w:cs="宋体"/>
                <w:b w:val="0"/>
                <w:bCs w:val="0"/>
                <w:color w:val="auto"/>
                <w:sz w:val="21"/>
                <w:szCs w:val="21"/>
                <w:highlight w:val="none"/>
                <w:lang w:val="en-US" w:eastAsia="zh-CN"/>
              </w:rPr>
              <w:t>不高于</w:t>
            </w:r>
            <w:r>
              <w:rPr>
                <w:rFonts w:hint="eastAsia" w:ascii="宋体" w:hAnsi="宋体" w:eastAsia="宋体" w:cs="宋体"/>
                <w:b w:val="0"/>
                <w:bCs w:val="0"/>
                <w:color w:val="auto"/>
                <w:sz w:val="21"/>
                <w:szCs w:val="21"/>
                <w:highlight w:val="none"/>
              </w:rPr>
              <w:t>采购预算价的为有效投标报价。</w:t>
            </w:r>
          </w:p>
          <w:p>
            <w:pPr>
              <w:pStyle w:val="4"/>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评标基准值的确定：满足</w:t>
            </w:r>
            <w:r>
              <w:rPr>
                <w:rFonts w:hint="eastAsia"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文件要求且投标价格最低的有效投标报价为评标基准价。</w:t>
            </w:r>
          </w:p>
          <w:p>
            <w:pPr>
              <w:keepNext w:val="0"/>
              <w:keepLines w:val="0"/>
              <w:pageBreakBefore w:val="0"/>
              <w:widowControl/>
              <w:kinsoku/>
              <w:wordWrap/>
              <w:overflowPunct/>
              <w:topLinePunct w:val="0"/>
              <w:bidi w:val="0"/>
              <w:snapToGrid w:val="0"/>
              <w:spacing w:line="32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投标报价得分=（评标基准价/有效投标报价）×30分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服务质量</w:t>
            </w:r>
          </w:p>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（25分）</w:t>
            </w:r>
          </w:p>
        </w:tc>
        <w:tc>
          <w:tcPr>
            <w:tcW w:w="2140"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专业技术水平、人员配备、人员专业素质等</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kern w:val="0"/>
                <w:sz w:val="21"/>
                <w:szCs w:val="21"/>
                <w:highlight w:val="none"/>
                <w:lang w:eastAsia="zh-CN"/>
              </w:rPr>
              <w:t>技术参数</w:t>
            </w:r>
            <w:r>
              <w:rPr>
                <w:rFonts w:hint="eastAsia" w:ascii="宋体" w:hAnsi="宋体" w:cs="宋体"/>
                <w:b w:val="0"/>
                <w:bCs w:val="0"/>
                <w:color w:val="auto"/>
                <w:kern w:val="0"/>
                <w:sz w:val="21"/>
                <w:szCs w:val="21"/>
                <w:highlight w:val="none"/>
                <w:lang w:eastAsia="zh-CN"/>
              </w:rPr>
              <w:t>、</w:t>
            </w:r>
            <w:r>
              <w:rPr>
                <w:rFonts w:hint="eastAsia" w:ascii="宋体" w:hAnsi="宋体" w:cs="宋体"/>
                <w:b w:val="0"/>
                <w:bCs w:val="0"/>
                <w:color w:val="auto"/>
                <w:kern w:val="0"/>
                <w:sz w:val="21"/>
                <w:szCs w:val="21"/>
                <w:highlight w:val="none"/>
                <w:lang w:val="en-US" w:eastAsia="zh-CN"/>
              </w:rPr>
              <w:t>企业综合实力</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根据投标人在投标文件中所附</w:t>
            </w:r>
            <w:r>
              <w:rPr>
                <w:rFonts w:hint="eastAsia" w:ascii="宋体" w:hAnsi="宋体" w:cs="宋体"/>
                <w:b w:val="0"/>
                <w:bCs w:val="0"/>
                <w:color w:val="auto"/>
                <w:sz w:val="21"/>
                <w:szCs w:val="21"/>
                <w:highlight w:val="none"/>
                <w:lang w:val="en-US" w:eastAsia="zh-CN"/>
              </w:rPr>
              <w:t>资料</w:t>
            </w:r>
            <w:r>
              <w:rPr>
                <w:rFonts w:hint="eastAsia" w:ascii="宋体" w:hAnsi="宋体" w:eastAsia="宋体" w:cs="宋体"/>
                <w:b w:val="0"/>
                <w:bCs w:val="0"/>
                <w:color w:val="auto"/>
                <w:sz w:val="21"/>
                <w:szCs w:val="21"/>
                <w:highlight w:val="none"/>
              </w:rPr>
              <w:t>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商务评价</w:t>
            </w:r>
          </w:p>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(20分)</w:t>
            </w:r>
          </w:p>
        </w:tc>
        <w:tc>
          <w:tcPr>
            <w:tcW w:w="2140" w:type="dxa"/>
            <w:tcBorders>
              <w:top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证书、资信等级、类似业绩、质保期、其他优惠承诺等</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提供相关有效证件等资料的复印件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售后服务</w:t>
            </w:r>
          </w:p>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(25分)</w:t>
            </w:r>
          </w:p>
        </w:tc>
        <w:tc>
          <w:tcPr>
            <w:tcW w:w="2140"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培训方案、服务站点、服务响应及时性、售后服务方案</w:t>
            </w:r>
            <w:r>
              <w:rPr>
                <w:rFonts w:hint="eastAsia" w:ascii="宋体" w:hAnsi="宋体" w:cs="宋体"/>
                <w:b w:val="0"/>
                <w:bCs w:val="0"/>
                <w:color w:val="auto"/>
                <w:sz w:val="21"/>
                <w:szCs w:val="21"/>
                <w:highlight w:val="none"/>
                <w:lang w:val="en-US" w:eastAsia="zh-CN"/>
              </w:rPr>
              <w:t>、服务承诺及增值服务</w:t>
            </w:r>
            <w:r>
              <w:rPr>
                <w:rFonts w:hint="eastAsia" w:ascii="宋体" w:hAnsi="宋体" w:eastAsia="宋体" w:cs="宋体"/>
                <w:b w:val="0"/>
                <w:bCs w:val="0"/>
                <w:color w:val="auto"/>
                <w:sz w:val="21"/>
                <w:szCs w:val="21"/>
                <w:highlight w:val="none"/>
                <w:lang w:val="en-US" w:eastAsia="zh-CN"/>
              </w:rPr>
              <w:t>等</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宋体" w:hAnsi="宋体" w:eastAsia="宋体" w:cs="宋体"/>
                <w:b w:val="0"/>
                <w:bCs w:val="0"/>
                <w:color w:val="auto"/>
                <w:kern w:val="2"/>
                <w:sz w:val="21"/>
                <w:szCs w:val="21"/>
                <w:highlight w:val="none"/>
              </w:rPr>
            </w:pPr>
            <w:r>
              <w:rPr>
                <w:rFonts w:hint="eastAsia" w:ascii="宋体" w:hAnsi="宋体" w:cs="宋体"/>
                <w:b w:val="0"/>
                <w:bCs w:val="0"/>
                <w:color w:val="auto"/>
                <w:kern w:val="0"/>
                <w:sz w:val="21"/>
                <w:szCs w:val="21"/>
                <w:highlight w:val="none"/>
                <w:lang w:val="en-US" w:eastAsia="zh-CN"/>
              </w:rPr>
              <w:t>根据</w:t>
            </w:r>
            <w:r>
              <w:rPr>
                <w:rFonts w:hint="eastAsia" w:ascii="宋体" w:hAnsi="宋体" w:eastAsia="宋体" w:cs="宋体"/>
                <w:b w:val="0"/>
                <w:bCs w:val="0"/>
                <w:color w:val="auto"/>
                <w:kern w:val="0"/>
                <w:sz w:val="21"/>
                <w:szCs w:val="21"/>
                <w:highlight w:val="none"/>
                <w:lang w:val="en-US" w:eastAsia="zh-CN"/>
              </w:rPr>
              <w:t>投标人在投标文件中所投产品的售后服务站设立情况（配备有专业售后服务技术人员，提供售后服务人员名单和售后服务地址、电话）</w:t>
            </w:r>
            <w:r>
              <w:rPr>
                <w:rFonts w:hint="eastAsia" w:ascii="宋体" w:hAnsi="宋体" w:cs="宋体"/>
                <w:b w:val="0"/>
                <w:bCs w:val="0"/>
                <w:color w:val="auto"/>
                <w:kern w:val="0"/>
                <w:sz w:val="21"/>
                <w:szCs w:val="21"/>
                <w:highlight w:val="none"/>
                <w:lang w:val="en-US" w:eastAsia="zh-CN"/>
              </w:rPr>
              <w:t>、培训方案、</w:t>
            </w:r>
            <w:r>
              <w:rPr>
                <w:rFonts w:hint="eastAsia" w:ascii="宋体" w:hAnsi="宋体" w:eastAsia="宋体" w:cs="宋体"/>
                <w:b w:val="0"/>
                <w:bCs w:val="0"/>
                <w:color w:val="auto"/>
                <w:kern w:val="2"/>
                <w:sz w:val="21"/>
                <w:szCs w:val="21"/>
                <w:highlight w:val="none"/>
              </w:rPr>
              <w:t>售后服务及时率、服务到位程度、详细的维修时间和处理办法及针对本项目的售后服务方案及相应的安全质量保障措施等内容</w:t>
            </w:r>
            <w:r>
              <w:rPr>
                <w:rFonts w:hint="eastAsia" w:ascii="宋体" w:hAnsi="宋体" w:cs="宋体"/>
                <w:b w:val="0"/>
                <w:bCs w:val="0"/>
                <w:color w:val="auto"/>
                <w:kern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239" w:type="dxa"/>
            <w:noWrap w:val="0"/>
            <w:vAlign w:val="top"/>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得分的计算</w:t>
            </w:r>
          </w:p>
        </w:tc>
        <w:tc>
          <w:tcPr>
            <w:tcW w:w="8243" w:type="dxa"/>
            <w:gridSpan w:val="2"/>
            <w:noWrap w:val="0"/>
            <w:vAlign w:val="center"/>
          </w:tcPr>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评标委员会成员评分=各项评分因素的汇总得分。</w:t>
            </w:r>
          </w:p>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评标总得分=评标委员会所有成员合计评分/评标委员会组成人员数。</w:t>
            </w:r>
          </w:p>
        </w:tc>
      </w:tr>
    </w:tbl>
    <w:p>
      <w:pPr>
        <w:spacing w:line="500" w:lineRule="exact"/>
        <w:ind w:firstLine="420" w:firstLineChars="200"/>
        <w:rPr>
          <w:rFonts w:ascii="宋体" w:hAnsi="宋体" w:cs="宋体"/>
          <w:color w:val="auto"/>
          <w:kern w:val="0"/>
          <w:szCs w:val="21"/>
          <w:highlight w:val="none"/>
        </w:rPr>
      </w:pPr>
    </w:p>
    <w:p>
      <w:pPr>
        <w:rPr>
          <w:b/>
          <w:color w:val="auto"/>
          <w:highlight w:val="none"/>
        </w:rPr>
      </w:pPr>
      <w:r>
        <w:rPr>
          <w:rFonts w:hint="eastAsia"/>
          <w:b/>
          <w:color w:val="auto"/>
          <w:highlight w:val="none"/>
        </w:rPr>
        <w:br w:type="page"/>
      </w:r>
    </w:p>
    <w:bookmarkEnd w:id="44"/>
    <w:p>
      <w:pPr>
        <w:rPr>
          <w:color w:val="auto"/>
          <w:highlight w:val="none"/>
        </w:rPr>
      </w:pPr>
      <w:bookmarkStart w:id="46" w:name="_Toc1482"/>
      <w:bookmarkStart w:id="47" w:name="_Toc1947"/>
      <w:bookmarkStart w:id="48" w:name="_Toc326786897"/>
      <w:bookmarkStart w:id="49" w:name="_Toc256519703"/>
    </w:p>
    <w:p>
      <w:pPr>
        <w:pStyle w:val="5"/>
        <w:snapToGrid w:val="0"/>
        <w:spacing w:before="0" w:after="0" w:line="480" w:lineRule="auto"/>
        <w:jc w:val="center"/>
        <w:rPr>
          <w:color w:val="auto"/>
          <w:sz w:val="28"/>
          <w:szCs w:val="28"/>
          <w:highlight w:val="yellow"/>
        </w:rPr>
      </w:pPr>
      <w:bookmarkStart w:id="50" w:name="_Toc28988"/>
      <w:r>
        <w:rPr>
          <w:rFonts w:hint="eastAsia"/>
          <w:color w:val="auto"/>
          <w:sz w:val="28"/>
          <w:szCs w:val="28"/>
          <w:highlight w:val="none"/>
        </w:rPr>
        <w:t>第五章  采购合同</w:t>
      </w:r>
      <w:bookmarkEnd w:id="50"/>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sz w:val="21"/>
          <w:szCs w:val="21"/>
          <w:lang w:eastAsia="zh-CN"/>
        </w:rPr>
      </w:pPr>
      <w:r>
        <w:rPr>
          <w:rFonts w:hint="eastAsia" w:ascii="宋体" w:hAnsi="宋体"/>
          <w:sz w:val="21"/>
          <w:szCs w:val="21"/>
          <w:lang w:eastAsia="zh-CN"/>
        </w:rPr>
        <w:t>（</w:t>
      </w:r>
      <w:r>
        <w:rPr>
          <w:rFonts w:hint="eastAsia" w:ascii="宋体" w:hAnsi="宋体"/>
          <w:sz w:val="21"/>
          <w:szCs w:val="21"/>
          <w:lang w:val="en-US" w:eastAsia="zh-CN"/>
        </w:rPr>
        <w:t>以实际合同为准</w:t>
      </w:r>
      <w:r>
        <w:rPr>
          <w:rFonts w:hint="eastAsia" w:ascii="宋体" w:hAnsi="宋体"/>
          <w:sz w:val="21"/>
          <w:szCs w:val="21"/>
          <w:lang w:eastAsia="zh-CN"/>
        </w:rPr>
        <w:t>）</w:t>
      </w:r>
    </w:p>
    <w:p>
      <w:pPr>
        <w:rPr>
          <w:color w:val="auto"/>
          <w:sz w:val="32"/>
          <w:szCs w:val="32"/>
          <w:highlight w:val="none"/>
        </w:rPr>
      </w:pPr>
    </w:p>
    <w:p>
      <w:pPr>
        <w:rPr>
          <w:color w:val="auto"/>
          <w:highlight w:val="none"/>
        </w:rPr>
      </w:pPr>
      <w:r>
        <w:rPr>
          <w:color w:val="auto"/>
          <w:highlight w:val="none"/>
        </w:rPr>
        <w:br w:type="page"/>
      </w:r>
    </w:p>
    <w:p>
      <w:pPr>
        <w:pStyle w:val="2"/>
      </w:pPr>
    </w:p>
    <w:p>
      <w:pPr>
        <w:pStyle w:val="5"/>
        <w:jc w:val="center"/>
        <w:rPr>
          <w:rFonts w:ascii="宋体" w:hAnsi="宋体" w:cs="宋体"/>
          <w:color w:val="auto"/>
          <w:kern w:val="0"/>
          <w:highlight w:val="none"/>
        </w:rPr>
      </w:pPr>
      <w:bookmarkStart w:id="51" w:name="_Toc2638"/>
      <w:r>
        <w:rPr>
          <w:rFonts w:hint="eastAsia"/>
          <w:color w:val="auto"/>
          <w:sz w:val="32"/>
          <w:szCs w:val="32"/>
          <w:highlight w:val="none"/>
        </w:rPr>
        <w:t>第六章  投标文件格式</w:t>
      </w:r>
      <w:bookmarkEnd w:id="46"/>
      <w:bookmarkEnd w:id="47"/>
      <w:bookmarkEnd w:id="51"/>
    </w:p>
    <w:p>
      <w:pPr>
        <w:spacing w:line="440" w:lineRule="exact"/>
        <w:rPr>
          <w:color w:val="auto"/>
          <w:sz w:val="24"/>
          <w:highlight w:val="none"/>
        </w:rPr>
      </w:pPr>
    </w:p>
    <w:p>
      <w:pPr>
        <w:jc w:val="center"/>
        <w:rPr>
          <w:b/>
          <w:bCs/>
          <w:color w:val="auto"/>
          <w:sz w:val="32"/>
          <w:szCs w:val="32"/>
          <w:highlight w:val="none"/>
        </w:rPr>
      </w:pPr>
      <w:bookmarkStart w:id="52" w:name="_Toc13604"/>
      <w:r>
        <w:rPr>
          <w:rFonts w:hint="eastAsia"/>
          <w:b/>
          <w:bCs/>
          <w:color w:val="auto"/>
          <w:sz w:val="32"/>
          <w:szCs w:val="32"/>
          <w:highlight w:val="none"/>
        </w:rPr>
        <w:t>目    录</w:t>
      </w:r>
      <w:bookmarkEnd w:id="52"/>
    </w:p>
    <w:p>
      <w:pPr>
        <w:widowControl/>
        <w:wordWrap w:val="0"/>
        <w:spacing w:line="460" w:lineRule="exact"/>
        <w:ind w:firstLine="480" w:firstLineChars="200"/>
        <w:jc w:val="left"/>
        <w:rPr>
          <w:rFonts w:ascii="宋体" w:hAnsi="宋体" w:cs="宋体"/>
          <w:color w:val="auto"/>
          <w:kern w:val="0"/>
          <w:sz w:val="24"/>
          <w:highlight w:val="none"/>
        </w:rPr>
      </w:pPr>
    </w:p>
    <w:p>
      <w:pPr>
        <w:snapToGrid w:val="0"/>
        <w:spacing w:line="360" w:lineRule="auto"/>
        <w:ind w:firstLine="480" w:firstLineChars="200"/>
        <w:rPr>
          <w:color w:val="auto"/>
          <w:sz w:val="24"/>
          <w:highlight w:val="none"/>
        </w:rPr>
      </w:pPr>
      <w:bookmarkStart w:id="53" w:name="_Toc11308"/>
      <w:r>
        <w:rPr>
          <w:rFonts w:hint="eastAsia"/>
          <w:color w:val="auto"/>
          <w:sz w:val="24"/>
          <w:highlight w:val="none"/>
        </w:rPr>
        <w:t>附件1投标文件封面（格式）</w:t>
      </w:r>
      <w:bookmarkEnd w:id="53"/>
    </w:p>
    <w:p>
      <w:pPr>
        <w:snapToGrid w:val="0"/>
        <w:spacing w:line="360" w:lineRule="auto"/>
        <w:ind w:firstLine="480" w:firstLineChars="200"/>
        <w:rPr>
          <w:color w:val="auto"/>
          <w:sz w:val="24"/>
          <w:highlight w:val="none"/>
        </w:rPr>
      </w:pPr>
      <w:bookmarkStart w:id="54" w:name="_Toc25345"/>
      <w:r>
        <w:rPr>
          <w:rFonts w:hint="eastAsia"/>
          <w:color w:val="auto"/>
          <w:sz w:val="24"/>
          <w:highlight w:val="none"/>
        </w:rPr>
        <w:t>附件2 投标书（格式）</w:t>
      </w:r>
      <w:bookmarkEnd w:id="54"/>
    </w:p>
    <w:p>
      <w:pPr>
        <w:snapToGrid w:val="0"/>
        <w:spacing w:line="360" w:lineRule="auto"/>
        <w:ind w:firstLine="480" w:firstLineChars="200"/>
        <w:rPr>
          <w:color w:val="auto"/>
          <w:sz w:val="24"/>
          <w:highlight w:val="none"/>
        </w:rPr>
      </w:pPr>
      <w:bookmarkStart w:id="55" w:name="_Toc10217"/>
      <w:r>
        <w:rPr>
          <w:rFonts w:hint="eastAsia"/>
          <w:color w:val="auto"/>
          <w:sz w:val="24"/>
          <w:highlight w:val="none"/>
        </w:rPr>
        <w:t>附件3 开标一览表（格式）</w:t>
      </w:r>
      <w:bookmarkEnd w:id="55"/>
    </w:p>
    <w:p>
      <w:pPr>
        <w:snapToGrid w:val="0"/>
        <w:spacing w:line="360" w:lineRule="auto"/>
        <w:ind w:firstLine="480" w:firstLineChars="200"/>
        <w:rPr>
          <w:color w:val="auto"/>
          <w:sz w:val="24"/>
          <w:highlight w:val="none"/>
        </w:rPr>
      </w:pPr>
      <w:bookmarkStart w:id="56" w:name="_Toc9579"/>
      <w:r>
        <w:rPr>
          <w:rFonts w:hint="eastAsia"/>
          <w:color w:val="auto"/>
          <w:sz w:val="24"/>
          <w:highlight w:val="none"/>
        </w:rPr>
        <w:t>附件4 投标报价明细表（格式）</w:t>
      </w:r>
      <w:bookmarkEnd w:id="56"/>
    </w:p>
    <w:p>
      <w:pPr>
        <w:snapToGrid w:val="0"/>
        <w:spacing w:line="360" w:lineRule="auto"/>
        <w:ind w:firstLine="480" w:firstLineChars="200"/>
        <w:rPr>
          <w:color w:val="auto"/>
          <w:sz w:val="24"/>
          <w:highlight w:val="none"/>
        </w:rPr>
      </w:pPr>
      <w:bookmarkStart w:id="57" w:name="_Toc28392"/>
      <w:r>
        <w:rPr>
          <w:rFonts w:hint="eastAsia"/>
          <w:color w:val="auto"/>
          <w:sz w:val="24"/>
          <w:highlight w:val="none"/>
        </w:rPr>
        <w:t>附件5技术响应表（格式）</w:t>
      </w:r>
      <w:bookmarkEnd w:id="57"/>
    </w:p>
    <w:p>
      <w:pPr>
        <w:snapToGrid w:val="0"/>
        <w:spacing w:line="360" w:lineRule="auto"/>
        <w:ind w:firstLine="480" w:firstLineChars="200"/>
        <w:rPr>
          <w:color w:val="auto"/>
          <w:sz w:val="24"/>
          <w:highlight w:val="none"/>
        </w:rPr>
      </w:pPr>
      <w:bookmarkStart w:id="58" w:name="_Toc6234"/>
      <w:r>
        <w:rPr>
          <w:rFonts w:hint="eastAsia"/>
          <w:color w:val="auto"/>
          <w:sz w:val="24"/>
          <w:highlight w:val="none"/>
        </w:rPr>
        <w:t>附件6 商务响应表（格式）</w:t>
      </w:r>
      <w:bookmarkEnd w:id="58"/>
    </w:p>
    <w:p>
      <w:pPr>
        <w:snapToGrid w:val="0"/>
        <w:spacing w:line="360" w:lineRule="auto"/>
        <w:ind w:firstLine="480" w:firstLineChars="200"/>
        <w:rPr>
          <w:color w:val="auto"/>
          <w:sz w:val="24"/>
          <w:highlight w:val="none"/>
        </w:rPr>
      </w:pPr>
      <w:bookmarkStart w:id="59" w:name="_Toc26231"/>
      <w:r>
        <w:rPr>
          <w:rFonts w:hint="eastAsia"/>
          <w:color w:val="auto"/>
          <w:sz w:val="24"/>
          <w:highlight w:val="none"/>
        </w:rPr>
        <w:t>附件7</w:t>
      </w:r>
      <w:r>
        <w:rPr>
          <w:rFonts w:hint="eastAsia"/>
          <w:color w:val="auto"/>
          <w:sz w:val="24"/>
          <w:highlight w:val="none"/>
          <w:lang w:val="en-US" w:eastAsia="zh-CN"/>
        </w:rPr>
        <w:t xml:space="preserve"> </w:t>
      </w:r>
      <w:r>
        <w:rPr>
          <w:rFonts w:hint="eastAsia"/>
          <w:color w:val="auto"/>
          <w:sz w:val="24"/>
          <w:highlight w:val="none"/>
        </w:rPr>
        <w:t>法定代表人身份证明（格式）</w:t>
      </w:r>
      <w:bookmarkEnd w:id="59"/>
    </w:p>
    <w:p>
      <w:pPr>
        <w:snapToGrid w:val="0"/>
        <w:spacing w:line="360" w:lineRule="auto"/>
        <w:ind w:firstLine="480" w:firstLineChars="200"/>
        <w:rPr>
          <w:color w:val="auto"/>
          <w:sz w:val="24"/>
          <w:highlight w:val="none"/>
        </w:rPr>
      </w:pPr>
      <w:bookmarkStart w:id="60" w:name="_Toc18484"/>
      <w:r>
        <w:rPr>
          <w:rFonts w:hint="eastAsia"/>
          <w:color w:val="auto"/>
          <w:sz w:val="24"/>
          <w:highlight w:val="none"/>
        </w:rPr>
        <w:t>附件8</w:t>
      </w:r>
      <w:r>
        <w:rPr>
          <w:rFonts w:hint="eastAsia"/>
          <w:color w:val="auto"/>
          <w:sz w:val="24"/>
          <w:highlight w:val="none"/>
          <w:lang w:val="en-US" w:eastAsia="zh-CN"/>
        </w:rPr>
        <w:t xml:space="preserve"> </w:t>
      </w:r>
      <w:r>
        <w:rPr>
          <w:rFonts w:hint="eastAsia"/>
          <w:color w:val="auto"/>
          <w:sz w:val="24"/>
          <w:highlight w:val="none"/>
        </w:rPr>
        <w:t>法定代表人授权书（格式）</w:t>
      </w:r>
      <w:bookmarkEnd w:id="60"/>
    </w:p>
    <w:p>
      <w:pPr>
        <w:snapToGrid w:val="0"/>
        <w:spacing w:line="360" w:lineRule="auto"/>
        <w:ind w:firstLine="480" w:firstLineChars="200"/>
        <w:rPr>
          <w:color w:val="auto"/>
          <w:sz w:val="24"/>
          <w:highlight w:val="none"/>
        </w:rPr>
      </w:pPr>
      <w:bookmarkStart w:id="61" w:name="_Toc31857"/>
      <w:r>
        <w:rPr>
          <w:rFonts w:hint="eastAsia"/>
          <w:color w:val="auto"/>
          <w:sz w:val="24"/>
          <w:highlight w:val="none"/>
        </w:rPr>
        <w:t>附件9 证明文件</w:t>
      </w:r>
      <w:bookmarkEnd w:id="61"/>
    </w:p>
    <w:p>
      <w:pPr>
        <w:snapToGrid w:val="0"/>
        <w:spacing w:line="360" w:lineRule="auto"/>
        <w:ind w:firstLine="480" w:firstLineChars="200"/>
        <w:rPr>
          <w:rFonts w:hint="eastAsia"/>
          <w:color w:val="auto"/>
          <w:sz w:val="24"/>
          <w:highlight w:val="none"/>
        </w:rPr>
      </w:pPr>
      <w:bookmarkStart w:id="62" w:name="_Toc23116"/>
      <w:r>
        <w:rPr>
          <w:rFonts w:hint="eastAsia"/>
          <w:color w:val="auto"/>
          <w:sz w:val="24"/>
          <w:highlight w:val="none"/>
        </w:rPr>
        <w:t>附件10 供应商承诺书（格式）</w:t>
      </w:r>
      <w:bookmarkEnd w:id="62"/>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pStyle w:val="3"/>
        <w:rPr>
          <w:rFonts w:ascii="宋体" w:hAnsi="宋体" w:cs="宋体"/>
          <w:b/>
          <w:bCs/>
          <w:color w:val="auto"/>
          <w:kern w:val="0"/>
          <w:sz w:val="24"/>
          <w:highlight w:val="none"/>
        </w:rPr>
      </w:pPr>
    </w:p>
    <w:p>
      <w:pPr>
        <w:pStyle w:val="4"/>
        <w:rPr>
          <w:rFonts w:hAnsi="宋体"/>
          <w:b/>
          <w:bCs/>
          <w:color w:val="auto"/>
          <w:highlight w:val="none"/>
        </w:rPr>
      </w:pPr>
    </w:p>
    <w:p>
      <w:pPr>
        <w:pStyle w:val="4"/>
        <w:rPr>
          <w:rFonts w:hAnsi="宋体"/>
          <w:b/>
          <w:bCs/>
          <w:color w:val="auto"/>
          <w:highlight w:val="none"/>
        </w:rPr>
      </w:pPr>
    </w:p>
    <w:p>
      <w:pPr>
        <w:rPr>
          <w:color w:val="auto"/>
          <w:highlight w:val="none"/>
        </w:rPr>
      </w:pPr>
      <w:r>
        <w:rPr>
          <w:rFonts w:hint="eastAsia"/>
          <w:color w:val="auto"/>
          <w:highlight w:val="none"/>
        </w:rPr>
        <w:br w:type="page"/>
      </w:r>
    </w:p>
    <w:p>
      <w:pPr>
        <w:pStyle w:val="26"/>
        <w:rPr>
          <w:color w:val="auto"/>
          <w:highlight w:val="none"/>
        </w:rPr>
      </w:pPr>
    </w:p>
    <w:p>
      <w:pPr>
        <w:pStyle w:val="6"/>
        <w:rPr>
          <w:color w:val="auto"/>
          <w:highlight w:val="none"/>
        </w:rPr>
      </w:pPr>
      <w:bookmarkStart w:id="63" w:name="_Toc31798"/>
      <w:bookmarkStart w:id="64" w:name="_Toc24743"/>
      <w:r>
        <w:rPr>
          <w:rFonts w:hint="eastAsia"/>
          <w:color w:val="auto"/>
          <w:highlight w:val="none"/>
        </w:rPr>
        <w:t>附件1               投标文件封面（格式）</w:t>
      </w:r>
      <w:bookmarkEnd w:id="63"/>
      <w:bookmarkEnd w:id="64"/>
    </w:p>
    <w:p>
      <w:pPr>
        <w:widowControl/>
        <w:wordWrap w:val="0"/>
        <w:spacing w:line="460" w:lineRule="exact"/>
        <w:ind w:firstLine="482" w:firstLineChars="200"/>
        <w:jc w:val="center"/>
        <w:rPr>
          <w:rFonts w:ascii="宋体" w:hAnsi="宋体" w:cs="宋体"/>
          <w:b/>
          <w:color w:val="auto"/>
          <w:kern w:val="0"/>
          <w:sz w:val="24"/>
          <w:highlight w:val="none"/>
        </w:rPr>
      </w:pPr>
    </w:p>
    <w:p>
      <w:pPr>
        <w:snapToGrid w:val="0"/>
        <w:spacing w:line="360" w:lineRule="auto"/>
        <w:jc w:val="center"/>
        <w:rPr>
          <w:rFonts w:hint="eastAsia" w:ascii="宋体" w:hAnsi="宋体" w:eastAsia="宋体" w:cs="宋体"/>
          <w:b/>
          <w:color w:val="auto"/>
          <w:spacing w:val="90"/>
          <w:sz w:val="52"/>
          <w:szCs w:val="52"/>
          <w:highlight w:val="none"/>
          <w:u w:val="none"/>
          <w:lang w:val="en-US" w:eastAsia="zh-CN"/>
        </w:rPr>
      </w:pPr>
      <w:r>
        <w:rPr>
          <w:rFonts w:hint="eastAsia" w:ascii="宋体" w:hAnsi="宋体" w:cs="宋体"/>
          <w:b/>
          <w:snapToGrid w:val="0"/>
          <w:color w:val="auto"/>
          <w:spacing w:val="0"/>
          <w:kern w:val="0"/>
          <w:sz w:val="44"/>
          <w:szCs w:val="44"/>
          <w:highlight w:val="none"/>
          <w:u w:val="none"/>
          <w:lang w:val="en-US" w:eastAsia="zh-CN"/>
        </w:rPr>
        <w:t>驻马店市中心医院四号楼广场景观设计项目</w:t>
      </w:r>
    </w:p>
    <w:p>
      <w:pPr>
        <w:snapToGrid w:val="0"/>
        <w:spacing w:line="360" w:lineRule="auto"/>
        <w:jc w:val="center"/>
        <w:rPr>
          <w:rFonts w:hint="eastAsia" w:ascii="宋体" w:hAnsi="宋体" w:eastAsia="宋体" w:cs="宋体"/>
          <w:b/>
          <w:color w:val="auto"/>
          <w:spacing w:val="90"/>
          <w:sz w:val="52"/>
          <w:szCs w:val="52"/>
          <w:highlight w:val="none"/>
        </w:rPr>
      </w:pPr>
    </w:p>
    <w:p>
      <w:pPr>
        <w:snapToGrid w:val="0"/>
        <w:spacing w:line="360" w:lineRule="auto"/>
        <w:jc w:val="center"/>
        <w:rPr>
          <w:rFonts w:hint="eastAsia" w:ascii="宋体" w:hAnsi="宋体" w:eastAsia="宋体" w:cs="宋体"/>
          <w:b/>
          <w:color w:val="auto"/>
          <w:spacing w:val="90"/>
          <w:sz w:val="52"/>
          <w:szCs w:val="52"/>
          <w:highlight w:val="none"/>
        </w:rPr>
      </w:pPr>
      <w:r>
        <w:rPr>
          <w:rFonts w:hint="eastAsia" w:ascii="宋体" w:hAnsi="宋体" w:eastAsia="宋体" w:cs="宋体"/>
          <w:b/>
          <w:color w:val="auto"/>
          <w:spacing w:val="90"/>
          <w:sz w:val="52"/>
          <w:szCs w:val="52"/>
          <w:highlight w:val="none"/>
        </w:rPr>
        <w:t>投标文件</w:t>
      </w:r>
    </w:p>
    <w:p>
      <w:pPr>
        <w:spacing w:line="360" w:lineRule="auto"/>
        <w:rPr>
          <w:rFonts w:hint="eastAsia" w:ascii="宋体" w:hAnsi="宋体" w:eastAsia="宋体" w:cs="宋体"/>
          <w:color w:val="auto"/>
          <w:sz w:val="28"/>
          <w:highlight w:val="none"/>
        </w:rPr>
      </w:pPr>
    </w:p>
    <w:p>
      <w:pPr>
        <w:pStyle w:val="4"/>
        <w:spacing w:line="360" w:lineRule="auto"/>
        <w:rPr>
          <w:rFonts w:hint="eastAsia" w:ascii="宋体" w:hAnsi="宋体" w:eastAsia="宋体" w:cs="宋体"/>
          <w:color w:val="auto"/>
          <w:highlight w:val="none"/>
        </w:rPr>
      </w:pPr>
    </w:p>
    <w:p>
      <w:pPr>
        <w:pStyle w:val="4"/>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widowControl/>
        <w:wordWrap w:val="0"/>
        <w:spacing w:line="460" w:lineRule="exact"/>
        <w:ind w:left="0" w:leftChars="0" w:firstLine="0" w:firstLineChars="0"/>
        <w:jc w:val="center"/>
        <w:rPr>
          <w:rFonts w:ascii="宋体" w:hAnsi="宋体" w:cs="宋体"/>
          <w:b/>
          <w:color w:val="auto"/>
          <w:kern w:val="0"/>
          <w:sz w:val="24"/>
          <w:highlight w:val="none"/>
        </w:rPr>
      </w:pPr>
      <w:r>
        <w:rPr>
          <w:rFonts w:hint="eastAsia" w:ascii="宋体" w:hAnsi="宋体" w:eastAsia="宋体" w:cs="宋体"/>
          <w:color w:val="auto"/>
          <w:sz w:val="28"/>
          <w:szCs w:val="28"/>
          <w:highlight w:val="none"/>
        </w:rPr>
        <w:t>年   月   日</w:t>
      </w:r>
    </w:p>
    <w:p>
      <w:pPr>
        <w:widowControl/>
        <w:wordWrap w:val="0"/>
        <w:spacing w:line="460" w:lineRule="exact"/>
        <w:ind w:firstLine="482" w:firstLineChars="200"/>
        <w:jc w:val="left"/>
        <w:rPr>
          <w:rFonts w:ascii="宋体" w:hAnsi="宋体" w:cs="宋体"/>
          <w:b/>
          <w:color w:val="auto"/>
          <w:kern w:val="0"/>
          <w:sz w:val="24"/>
          <w:highlight w:val="none"/>
        </w:rPr>
      </w:pPr>
    </w:p>
    <w:p>
      <w:pPr>
        <w:pStyle w:val="3"/>
        <w:rPr>
          <w:rFonts w:ascii="宋体" w:hAnsi="宋体" w:cs="宋体"/>
          <w:b/>
          <w:color w:val="auto"/>
          <w:kern w:val="0"/>
          <w:sz w:val="24"/>
          <w:highlight w:val="none"/>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pStyle w:val="6"/>
        <w:rPr>
          <w:color w:val="auto"/>
          <w:highlight w:val="none"/>
        </w:rPr>
      </w:pPr>
      <w:bookmarkStart w:id="65" w:name="_Toc8818"/>
      <w:bookmarkStart w:id="66" w:name="_Toc14560"/>
      <w:r>
        <w:rPr>
          <w:rFonts w:hint="eastAsia"/>
          <w:color w:val="auto"/>
          <w:highlight w:val="none"/>
        </w:rPr>
        <w:t>附件2               投  标  书（格式）</w:t>
      </w:r>
      <w:bookmarkEnd w:id="65"/>
      <w:bookmarkEnd w:id="66"/>
    </w:p>
    <w:p>
      <w:pPr>
        <w:widowControl/>
        <w:wordWrap w:val="0"/>
        <w:snapToGrid w:val="0"/>
        <w:spacing w:line="46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eastAsia="zh-CN"/>
        </w:rPr>
        <w:t>采购人</w:t>
      </w:r>
      <w:r>
        <w:rPr>
          <w:rFonts w:hint="eastAsia" w:ascii="宋体" w:hAnsi="宋体" w:cs="宋体"/>
          <w:color w:val="auto"/>
          <w:kern w:val="0"/>
          <w:szCs w:val="21"/>
          <w:highlight w:val="none"/>
          <w:u w:val="single"/>
        </w:rPr>
        <w:t>名称）</w:t>
      </w:r>
      <w:r>
        <w:rPr>
          <w:rFonts w:hint="eastAsia" w:ascii="宋体" w:hAnsi="宋体" w:cs="宋体"/>
          <w:color w:val="auto"/>
          <w:kern w:val="0"/>
          <w:szCs w:val="21"/>
          <w:highlight w:val="none"/>
        </w:rPr>
        <w:t>：</w:t>
      </w:r>
    </w:p>
    <w:p>
      <w:pPr>
        <w:widowControl/>
        <w:wordWrap w:val="0"/>
        <w:spacing w:line="460" w:lineRule="exact"/>
        <w:ind w:firstLine="525" w:firstLineChars="250"/>
        <w:jc w:val="left"/>
        <w:rPr>
          <w:rFonts w:ascii="宋体" w:hAnsi="宋体" w:cs="宋体"/>
          <w:color w:val="auto"/>
          <w:kern w:val="0"/>
          <w:szCs w:val="21"/>
          <w:highlight w:val="none"/>
        </w:rPr>
      </w:pP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（投标人名称）</w:t>
      </w:r>
      <w:r>
        <w:rPr>
          <w:rFonts w:hint="eastAsia" w:ascii="宋体" w:hAnsi="宋体" w:cs="宋体"/>
          <w:color w:val="auto"/>
          <w:kern w:val="0"/>
          <w:szCs w:val="21"/>
          <w:highlight w:val="none"/>
        </w:rPr>
        <w:t xml:space="preserve">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（姓名）为我方代理人，参加贵方组织的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项目的投标。现正式提交下述文件1份：</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1、开标一览表。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2、投标报价明细表。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4、技术响应表。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4、商务响应表。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5、证明文件。</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6、抵制商业贿赂承诺。为便于贵方公正、择优地确定中标供应商及其投标产品和服务，我方就本次投标有关事项郑重声明并宣布同意如下：</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1、我方承诺已经具备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文件中规定的参加政府采购活动的投标人应当具备的条件。我方愿意向贵方提供任何与本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项目投标有关的数据、情况和技术资料，并根据需要提供一切承诺的证明材料，并保证其真实、合法、有效。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2、我方承诺在投标活动中提供的各种材料真实有效。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3、我方同意在投标文件有效期内遵守本投标文件中的承诺且在此期限期满之前均具有约束力。如果我方中标，投标文件有效期与合同履行期相同。</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4、我方已详细审查全部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文件，包括修改文件（如有的话）和有关附件，将自行承担因对全部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文件理解不正确或误解而产生的相应后果。</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5、我方保证尊重评标委员会的评标结果，完全理解本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项目最低投标价不作为中标的保证。</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6、我方理解并遵守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文件的全部规定，接受</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文件中政府采购合同的全部条款且无任何异议。</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7、如果我方代表</w:t>
      </w:r>
      <w:r>
        <w:rPr>
          <w:rFonts w:hint="eastAsia" w:ascii="宋体" w:hAnsi="宋体" w:cs="宋体"/>
          <w:bCs/>
          <w:color w:val="auto"/>
          <w:kern w:val="0"/>
          <w:szCs w:val="21"/>
          <w:highlight w:val="none"/>
        </w:rPr>
        <w:t>未按时参加开标的，视同放弃开标监督权利，认可开标结果。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8、如果我方存在投标人须知第9.3项所述情况，同意被认定为在经营活动中有重大违法记录。</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9、如果发生投标人须知第2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.4.3项所述情况，同意我方投标被作为无效投标处理。</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10、如果发生投标人须知第2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.5项所述情况，同意评标委员会认定我方的行为属于串通投标的行为，并自愿接受监管部门的处罚。</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11、如果现场变更采购方式，我方同意在不改变</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需求、资质条件等情况下，按变更后的采购方式的规定程序进行采购。</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12、如果被确定为中标供应商，我方同意按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文件的规定领取中标通知书并缴纳服务费。否则，视为我方中标后自动放弃中标资格，承担由此引起的一切后果。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13、如果被确定为中标供应商，我方同意在领取中标通知书之日起日内，按照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文件的规定与采购人签订采购合同。否则，视为我方中标后无正当理由不与采购人签订合同并承担相应法律责任。</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14、我方最近3年内的被公开披露或查处的违法违规行为有：</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w:t>
      </w:r>
    </w:p>
    <w:p>
      <w:pPr>
        <w:widowControl/>
        <w:tabs>
          <w:tab w:val="left" w:pos="939"/>
        </w:tabs>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15、以上事项如有虚假或隐瞒，我方愿意承担一切后果和责任。</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16、与本投标有关的一切正式往来通讯请寄（地址电话必须为最新并可以联系到）：</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地址：  </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邮编：</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电话：  </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 xml:space="preserve">传真： </w:t>
      </w:r>
    </w:p>
    <w:p>
      <w:pPr>
        <w:widowControl/>
        <w:wordWrap w:val="0"/>
        <w:spacing w:line="460" w:lineRule="exact"/>
        <w:ind w:firstLine="420" w:firstLineChars="200"/>
        <w:jc w:val="left"/>
        <w:rPr>
          <w:rFonts w:ascii="宋体" w:hAnsi="宋体" w:cs="宋体"/>
          <w:color w:val="auto"/>
          <w:kern w:val="0"/>
          <w:szCs w:val="21"/>
          <w:highlight w:val="none"/>
        </w:rPr>
      </w:pPr>
    </w:p>
    <w:p>
      <w:pPr>
        <w:widowControl/>
        <w:wordWrap w:val="0"/>
        <w:spacing w:line="460" w:lineRule="exact"/>
        <w:ind w:firstLine="735" w:firstLineChars="35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投标人代表签字： </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投标人：（全称并加盖公章）</w:t>
      </w:r>
    </w:p>
    <w:p>
      <w:pPr>
        <w:widowControl/>
        <w:wordWrap w:val="0"/>
        <w:spacing w:line="460" w:lineRule="exact"/>
        <w:ind w:firstLine="420" w:firstLineChars="200"/>
        <w:jc w:val="left"/>
        <w:rPr>
          <w:rFonts w:ascii="宋体" w:hAnsi="宋体" w:cs="宋体"/>
          <w:color w:val="auto"/>
          <w:kern w:val="0"/>
          <w:szCs w:val="21"/>
          <w:highlight w:val="none"/>
        </w:rPr>
      </w:pPr>
    </w:p>
    <w:p>
      <w:pPr>
        <w:widowControl/>
        <w:snapToGrid w:val="0"/>
        <w:spacing w:line="460" w:lineRule="exact"/>
        <w:ind w:firstLine="3360" w:firstLineChars="1600"/>
        <w:rPr>
          <w:rFonts w:ascii="宋体" w:hAnsi="宋体" w:cs="宋体"/>
          <w:color w:val="auto"/>
          <w:kern w:val="0"/>
          <w:sz w:val="24"/>
          <w:highlight w:val="none"/>
        </w:rPr>
      </w:pPr>
      <w:r>
        <w:rPr>
          <w:rFonts w:hint="eastAsia" w:ascii="宋体" w:hAnsi="宋体" w:cs="宋体"/>
          <w:color w:val="auto"/>
          <w:kern w:val="0"/>
          <w:szCs w:val="21"/>
          <w:highlight w:val="none"/>
        </w:rPr>
        <w:t xml:space="preserve">年    月   日 </w:t>
      </w:r>
    </w:p>
    <w:p>
      <w:pPr>
        <w:widowControl/>
        <w:wordWrap w:val="0"/>
        <w:snapToGrid w:val="0"/>
        <w:spacing w:before="50" w:after="50" w:line="480" w:lineRule="auto"/>
        <w:jc w:val="left"/>
        <w:rPr>
          <w:rFonts w:ascii="宋体" w:hAnsi="宋体" w:cs="宋体"/>
          <w:b/>
          <w:color w:val="auto"/>
          <w:kern w:val="0"/>
          <w:sz w:val="24"/>
          <w:highlight w:val="none"/>
        </w:rPr>
      </w:pPr>
    </w:p>
    <w:p>
      <w:pPr>
        <w:widowControl/>
        <w:wordWrap w:val="0"/>
        <w:snapToGrid w:val="0"/>
        <w:spacing w:before="50" w:after="50" w:line="480" w:lineRule="auto"/>
        <w:jc w:val="left"/>
        <w:rPr>
          <w:rFonts w:ascii="宋体" w:hAnsi="宋体" w:cs="宋体"/>
          <w:b/>
          <w:color w:val="auto"/>
          <w:kern w:val="0"/>
          <w:sz w:val="24"/>
          <w:highlight w:val="none"/>
        </w:rPr>
      </w:pPr>
    </w:p>
    <w:p>
      <w:pPr>
        <w:spacing w:line="500" w:lineRule="exact"/>
        <w:jc w:val="center"/>
        <w:rPr>
          <w:rFonts w:ascii="宋体" w:hAnsi="宋体"/>
          <w:b/>
          <w:bCs/>
          <w:color w:val="auto"/>
          <w:sz w:val="24"/>
          <w:highlight w:val="none"/>
        </w:rPr>
      </w:pPr>
    </w:p>
    <w:p>
      <w:pPr>
        <w:rPr>
          <w:color w:val="auto"/>
          <w:sz w:val="28"/>
          <w:szCs w:val="28"/>
          <w:highlight w:val="none"/>
        </w:rPr>
      </w:pPr>
      <w:r>
        <w:rPr>
          <w:rFonts w:hint="eastAsia"/>
          <w:color w:val="auto"/>
          <w:sz w:val="28"/>
          <w:szCs w:val="28"/>
          <w:highlight w:val="none"/>
        </w:rPr>
        <w:br w:type="page"/>
      </w:r>
    </w:p>
    <w:p>
      <w:pPr>
        <w:rPr>
          <w:color w:val="auto"/>
          <w:highlight w:val="none"/>
        </w:rPr>
      </w:pPr>
    </w:p>
    <w:p>
      <w:pPr>
        <w:pStyle w:val="6"/>
        <w:spacing w:before="20" w:after="20"/>
        <w:rPr>
          <w:color w:val="auto"/>
          <w:highlight w:val="none"/>
        </w:rPr>
      </w:pPr>
      <w:bookmarkStart w:id="67" w:name="_Toc7838"/>
      <w:r>
        <w:rPr>
          <w:rFonts w:hint="eastAsia"/>
          <w:color w:val="auto"/>
          <w:highlight w:val="none"/>
        </w:rPr>
        <w:t>附件3               开标一览表</w:t>
      </w:r>
      <w:bookmarkEnd w:id="67"/>
    </w:p>
    <w:p>
      <w:pPr>
        <w:spacing w:line="239" w:lineRule="auto"/>
        <w:jc w:val="right"/>
        <w:rPr>
          <w:rFonts w:ascii="宋体" w:hAnsi="宋体"/>
          <w:color w:val="auto"/>
          <w:sz w:val="24"/>
          <w:highlight w:val="none"/>
        </w:rPr>
      </w:pPr>
      <w:r>
        <w:rPr>
          <w:rFonts w:ascii="宋体" w:hAnsi="宋体"/>
          <w:color w:val="auto"/>
          <w:sz w:val="24"/>
          <w:highlight w:val="none"/>
        </w:rPr>
        <w:t>单位：人民币元</w:t>
      </w:r>
    </w:p>
    <w:p>
      <w:pPr>
        <w:rPr>
          <w:color w:val="auto"/>
          <w:highlight w:val="none"/>
        </w:rPr>
      </w:pPr>
    </w:p>
    <w:tbl>
      <w:tblPr>
        <w:tblStyle w:val="33"/>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项目名称</w:t>
            </w:r>
          </w:p>
        </w:tc>
        <w:tc>
          <w:tcPr>
            <w:tcW w:w="7708" w:type="dxa"/>
            <w:noWrap/>
            <w:vAlign w:val="center"/>
          </w:tcPr>
          <w:p>
            <w:pP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投标人名称</w:t>
            </w:r>
          </w:p>
        </w:tc>
        <w:tc>
          <w:tcPr>
            <w:tcW w:w="7708" w:type="dxa"/>
            <w:noWrap/>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pacing w:val="-20"/>
                <w:szCs w:val="21"/>
                <w:highlight w:val="none"/>
              </w:rPr>
            </w:pPr>
            <w:r>
              <w:rPr>
                <w:rFonts w:hint="eastAsia" w:ascii="宋体" w:hAnsi="宋体"/>
                <w:color w:val="auto"/>
                <w:szCs w:val="21"/>
                <w:highlight w:val="none"/>
              </w:rPr>
              <w:t>投标报价</w:t>
            </w:r>
          </w:p>
        </w:tc>
        <w:tc>
          <w:tcPr>
            <w:tcW w:w="7708" w:type="dxa"/>
            <w:noWrap/>
            <w:vAlign w:val="center"/>
          </w:tcPr>
          <w:p>
            <w:pP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大写：        元</w:t>
            </w:r>
          </w:p>
          <w:p>
            <w:pP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小写：        元（详见报价明细表）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服务期</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lang w:val="en-US" w:eastAsia="zh-CN"/>
              </w:rPr>
              <w:t>服务</w:t>
            </w:r>
            <w:r>
              <w:rPr>
                <w:rFonts w:hint="eastAsia" w:ascii="宋体" w:hAnsi="宋体" w:cs="宋体"/>
                <w:color w:val="auto"/>
                <w:kern w:val="0"/>
                <w:szCs w:val="21"/>
                <w:highlight w:val="none"/>
              </w:rPr>
              <w:t>地点</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eastAsia" w:ascii="宋体" w:hAnsi="宋体" w:eastAsia="宋体"/>
                <w:color w:val="auto"/>
                <w:szCs w:val="21"/>
                <w:highlight w:val="none"/>
                <w:lang w:eastAsia="zh-CN"/>
              </w:rPr>
            </w:pPr>
            <w:r>
              <w:rPr>
                <w:rFonts w:hint="eastAsia" w:ascii="宋体" w:hAnsi="宋体"/>
                <w:color w:val="000000" w:themeColor="text1"/>
                <w:szCs w:val="21"/>
                <w:highlight w:val="none"/>
                <w:lang w:val="en-US" w:eastAsia="zh-CN"/>
                <w14:textFill>
                  <w14:solidFill>
                    <w14:schemeClr w14:val="tx1"/>
                  </w14:solidFill>
                </w14:textFill>
              </w:rPr>
              <w:t>服务质量</w:t>
            </w:r>
          </w:p>
        </w:tc>
        <w:tc>
          <w:tcPr>
            <w:tcW w:w="7708" w:type="dxa"/>
            <w:noWrap/>
            <w:vAlign w:val="bottom"/>
          </w:tcPr>
          <w:p>
            <w:pPr>
              <w:spacing w:line="360" w:lineRule="auto"/>
              <w:ind w:firstLine="1155" w:firstLineChars="550"/>
              <w:rPr>
                <w:rFonts w:ascii="宋体" w:hAnsi="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备  注</w:t>
            </w:r>
          </w:p>
        </w:tc>
        <w:tc>
          <w:tcPr>
            <w:tcW w:w="7708" w:type="dxa"/>
            <w:noWrap/>
            <w:vAlign w:val="center"/>
          </w:tcPr>
          <w:p>
            <w:pPr>
              <w:pStyle w:val="20"/>
              <w:ind w:left="0" w:leftChars="0"/>
              <w:rPr>
                <w:color w:val="auto"/>
                <w:sz w:val="21"/>
                <w:szCs w:val="21"/>
                <w:highlight w:val="none"/>
              </w:rPr>
            </w:pPr>
          </w:p>
        </w:tc>
      </w:tr>
    </w:tbl>
    <w:p>
      <w:pPr>
        <w:rPr>
          <w:color w:val="auto"/>
          <w:highlight w:val="none"/>
        </w:rPr>
      </w:pP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注: 1、报价一经涂改，应在涂改处加盖单位公章或投标人代表签字或盖章，否则其投标作无效标处理。</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2、以上报价应与“投标报价明细表”中的报价相一致。</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3、凡认为所投产品符合价格折扣条件的，在相应的产品的“备注”栏内注明符合何种折扣条件。</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4、投标人按格式填列，不得自行更改。否则引起的不利后果由投标人承担。</w:t>
      </w:r>
    </w:p>
    <w:p>
      <w:pPr>
        <w:spacing w:line="360" w:lineRule="auto"/>
        <w:ind w:firstLine="480" w:firstLineChars="200"/>
        <w:rPr>
          <w:rFonts w:ascii="宋体" w:hAnsi="宋体" w:cs="宋体"/>
          <w:color w:val="auto"/>
          <w:kern w:val="0"/>
          <w:sz w:val="24"/>
          <w:highlight w:val="none"/>
        </w:rPr>
      </w:pPr>
    </w:p>
    <w:p>
      <w:pPr>
        <w:rPr>
          <w:color w:val="auto"/>
          <w:highlight w:val="none"/>
        </w:rPr>
      </w:pPr>
    </w:p>
    <w:p>
      <w:pPr>
        <w:rPr>
          <w:color w:val="auto"/>
          <w:highlight w:val="none"/>
        </w:rPr>
      </w:pPr>
    </w:p>
    <w:p>
      <w:pPr>
        <w:spacing w:line="360" w:lineRule="auto"/>
        <w:ind w:firstLine="420" w:firstLineChars="200"/>
        <w:jc w:val="center"/>
        <w:rPr>
          <w:rFonts w:ascii="宋体" w:hAnsi="宋体"/>
          <w:color w:val="auto"/>
          <w:szCs w:val="21"/>
          <w:highlight w:val="none"/>
        </w:rPr>
      </w:pPr>
      <w:bookmarkStart w:id="68" w:name="_Toc11620"/>
      <w:bookmarkStart w:id="69" w:name="_Toc20877"/>
      <w:r>
        <w:rPr>
          <w:rFonts w:hint="eastAsia" w:ascii="宋体" w:hAnsi="宋体"/>
          <w:color w:val="auto"/>
          <w:szCs w:val="21"/>
          <w:highlight w:val="none"/>
        </w:rPr>
        <w:t>投标人（全称并加盖公章）：</w:t>
      </w:r>
      <w:bookmarkEnd w:id="68"/>
      <w:bookmarkEnd w:id="69"/>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u w:val="single"/>
        </w:rPr>
      </w:pPr>
      <w:bookmarkStart w:id="70" w:name="_Toc625"/>
      <w:bookmarkStart w:id="71" w:name="_Toc12222"/>
      <w:r>
        <w:rPr>
          <w:rFonts w:hint="eastAsia" w:ascii="宋体" w:hAnsi="宋体"/>
          <w:color w:val="auto"/>
          <w:szCs w:val="21"/>
          <w:highlight w:val="none"/>
        </w:rPr>
        <w:t>法定代表人或其委托代理人（签字）：</w:t>
      </w:r>
      <w:bookmarkEnd w:id="70"/>
      <w:bookmarkEnd w:id="71"/>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rPr>
      </w:pPr>
      <w:bookmarkStart w:id="72" w:name="_Toc1330"/>
      <w:bookmarkStart w:id="73" w:name="_Toc9950"/>
      <w:r>
        <w:rPr>
          <w:rFonts w:hint="eastAsia" w:ascii="宋体" w:hAnsi="宋体"/>
          <w:color w:val="auto"/>
          <w:szCs w:val="21"/>
          <w:highlight w:val="none"/>
        </w:rPr>
        <w:t>年  月  日</w:t>
      </w:r>
      <w:bookmarkEnd w:id="72"/>
      <w:bookmarkEnd w:id="73"/>
    </w:p>
    <w:p>
      <w:pPr>
        <w:rPr>
          <w:color w:val="auto"/>
          <w:highlight w:val="none"/>
        </w:rPr>
      </w:pPr>
      <w:r>
        <w:rPr>
          <w:color w:val="auto"/>
          <w:highlight w:val="none"/>
        </w:rPr>
        <w:br w:type="page"/>
      </w:r>
    </w:p>
    <w:p>
      <w:pPr>
        <w:rPr>
          <w:color w:val="auto"/>
          <w:highlight w:val="none"/>
        </w:rPr>
      </w:pPr>
    </w:p>
    <w:bookmarkEnd w:id="48"/>
    <w:bookmarkEnd w:id="49"/>
    <w:p>
      <w:pPr>
        <w:pStyle w:val="6"/>
        <w:spacing w:before="20" w:after="20"/>
        <w:rPr>
          <w:color w:val="000000" w:themeColor="text1"/>
          <w:highlight w:val="none"/>
          <w14:textFill>
            <w14:solidFill>
              <w14:schemeClr w14:val="tx1"/>
            </w14:solidFill>
          </w14:textFill>
        </w:rPr>
      </w:pPr>
      <w:bookmarkStart w:id="74" w:name="_Toc22004"/>
      <w:bookmarkStart w:id="75" w:name="_Toc24984"/>
      <w:r>
        <w:rPr>
          <w:rFonts w:hint="eastAsia"/>
          <w:color w:val="000000" w:themeColor="text1"/>
          <w:highlight w:val="none"/>
          <w14:textFill>
            <w14:solidFill>
              <w14:schemeClr w14:val="tx1"/>
            </w14:solidFill>
          </w14:textFill>
        </w:rPr>
        <w:t>附件4               报价明细表</w:t>
      </w:r>
      <w:bookmarkEnd w:id="74"/>
      <w:bookmarkEnd w:id="75"/>
    </w:p>
    <w:p>
      <w:pPr>
        <w:widowControl/>
        <w:wordWrap w:val="0"/>
        <w:snapToGrid w:val="0"/>
        <w:spacing w:before="50" w:after="50"/>
        <w:ind w:left="-3" w:leftChars="-72" w:right="-817" w:rightChars="-389" w:hanging="148" w:hangingChars="62"/>
        <w:jc w:val="left"/>
        <w:rPr>
          <w:rFonts w:ascii="宋体" w:hAnsi="宋体" w:cs="宋体"/>
          <w:color w:val="000000" w:themeColor="text1"/>
          <w:kern w:val="0"/>
          <w:sz w:val="24"/>
          <w:highlight w:val="none"/>
          <w14:textFill>
            <w14:solidFill>
              <w14:schemeClr w14:val="tx1"/>
            </w14:solidFill>
          </w14:textFill>
        </w:rPr>
      </w:pPr>
      <w:r>
        <w:rPr>
          <w:rFonts w:hint="eastAsia" w:cs="宋体"/>
          <w:color w:val="000000" w:themeColor="text1"/>
          <w:kern w:val="0"/>
          <w:sz w:val="24"/>
          <w:highlight w:val="none"/>
          <w:lang w:val="en-US" w:eastAsia="zh-CN"/>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 xml:space="preserve">                       金额单位：人民币（元）</w:t>
      </w:r>
    </w:p>
    <w:tbl>
      <w:tblPr>
        <w:tblStyle w:val="33"/>
        <w:tblW w:w="9279"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7"/>
        <w:gridCol w:w="2384"/>
        <w:gridCol w:w="1516"/>
        <w:gridCol w:w="1541"/>
        <w:gridCol w:w="1718"/>
        <w:gridCol w:w="120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6" w:hRule="atLeast"/>
        </w:trPr>
        <w:tc>
          <w:tcPr>
            <w:tcW w:w="917"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序号</w:t>
            </w:r>
          </w:p>
        </w:tc>
        <w:tc>
          <w:tcPr>
            <w:tcW w:w="2384"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t>服务名称</w:t>
            </w:r>
          </w:p>
        </w:tc>
        <w:tc>
          <w:tcPr>
            <w:tcW w:w="1516"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t>单位</w:t>
            </w:r>
          </w:p>
        </w:tc>
        <w:tc>
          <w:tcPr>
            <w:tcW w:w="1541"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数量</w:t>
            </w:r>
          </w:p>
        </w:tc>
        <w:tc>
          <w:tcPr>
            <w:tcW w:w="1718"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单价</w:t>
            </w:r>
          </w:p>
        </w:tc>
        <w:tc>
          <w:tcPr>
            <w:tcW w:w="1203"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spacing w:val="20"/>
                <w:kern w:val="0"/>
                <w:sz w:val="24"/>
                <w:highlight w:val="no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38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71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38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71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38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71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38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71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38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71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38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71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38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71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38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71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38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r>
              <w:rPr>
                <w:rFonts w:hint="eastAsia" w:ascii="宋体" w:hAnsi="宋体" w:cs="宋体"/>
                <w:color w:val="000000" w:themeColor="text1"/>
                <w:spacing w:val="20"/>
                <w:kern w:val="0"/>
                <w:sz w:val="24"/>
                <w:highlight w:val="none"/>
                <w14:textFill>
                  <w14:solidFill>
                    <w14:schemeClr w14:val="tx1"/>
                  </w14:solidFill>
                </w14:textFill>
              </w:rPr>
              <w:t xml:space="preserve">…… </w:t>
            </w: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71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8076" w:type="dxa"/>
            <w:gridSpan w:val="5"/>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default" w:ascii="宋体" w:hAnsi="宋体" w:eastAsia="宋体" w:cs="宋体"/>
                <w:color w:val="000000" w:themeColor="text1"/>
                <w:spacing w:val="20"/>
                <w:kern w:val="0"/>
                <w:sz w:val="24"/>
                <w:highlight w:val="none"/>
                <w:lang w:val="en-US" w:eastAsia="zh-CN"/>
                <w14:textFill>
                  <w14:solidFill>
                    <w14:schemeClr w14:val="tx1"/>
                  </w14:solidFill>
                </w14:textFill>
              </w:rPr>
            </w:pPr>
            <w:r>
              <w:rPr>
                <w:rFonts w:hint="eastAsia" w:ascii="宋体" w:hAnsi="宋体" w:cs="宋体"/>
                <w:color w:val="000000" w:themeColor="text1"/>
                <w:spacing w:val="20"/>
                <w:kern w:val="0"/>
                <w:sz w:val="24"/>
                <w:highlight w:val="none"/>
                <w14:textFill>
                  <w14:solidFill>
                    <w14:schemeClr w14:val="tx1"/>
                  </w14:solidFill>
                </w14:textFill>
              </w:rPr>
              <w:t>投标总价(</w:t>
            </w:r>
            <w:r>
              <w:rPr>
                <w:rFonts w:hint="eastAsia" w:ascii="宋体" w:hAnsi="宋体" w:cs="宋体"/>
                <w:color w:val="000000" w:themeColor="text1"/>
                <w:kern w:val="0"/>
                <w:sz w:val="24"/>
                <w:szCs w:val="21"/>
                <w:highlight w:val="none"/>
                <w14:textFill>
                  <w14:solidFill>
                    <w14:schemeClr w14:val="tx1"/>
                  </w14:solidFill>
                </w14:textFill>
              </w:rPr>
              <w:t>大写)：</w:t>
            </w:r>
          </w:p>
        </w:tc>
        <w:tc>
          <w:tcPr>
            <w:tcW w:w="1203"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cs="宋体"/>
                <w:color w:val="000000" w:themeColor="text1"/>
                <w:spacing w:val="20"/>
                <w:kern w:val="0"/>
                <w:sz w:val="24"/>
                <w:highlight w:val="none"/>
                <w:lang w:val="en-US" w:eastAsia="zh-CN"/>
                <w14:textFill>
                  <w14:solidFill>
                    <w14:schemeClr w14:val="tx1"/>
                  </w14:solidFill>
                </w14:textFill>
              </w:rPr>
            </w:pPr>
            <w:r>
              <w:rPr>
                <w:rFonts w:hint="eastAsia" w:ascii="宋体" w:hAnsi="宋体" w:cs="宋体"/>
                <w:color w:val="000000" w:themeColor="text1"/>
                <w:kern w:val="0"/>
                <w:sz w:val="24"/>
                <w:szCs w:val="21"/>
                <w:highlight w:val="none"/>
                <w14:textFill>
                  <w14:solidFill>
                    <w14:schemeClr w14:val="tx1"/>
                  </w14:solidFill>
                </w14:textFill>
              </w:rPr>
              <w:t>￥</w:t>
            </w:r>
          </w:p>
        </w:tc>
      </w:tr>
    </w:tbl>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color w:val="auto"/>
          <w:highlight w:val="none"/>
        </w:rPr>
      </w:pPr>
      <w:r>
        <w:rPr>
          <w:rFonts w:hint="eastAsia" w:ascii="宋体" w:hAnsi="宋体" w:cs="宋体"/>
          <w:color w:val="auto"/>
          <w:kern w:val="0"/>
          <w:sz w:val="24"/>
          <w:highlight w:val="none"/>
        </w:rPr>
        <w:t>年    月    日</w:t>
      </w:r>
    </w:p>
    <w:p>
      <w:pPr>
        <w:pStyle w:val="6"/>
        <w:rPr>
          <w:rFonts w:hint="eastAsia" w:eastAsia="黑体"/>
          <w:color w:val="auto"/>
          <w:highlight w:val="none"/>
          <w:lang w:val="en-US" w:eastAsia="zh-CN"/>
        </w:rPr>
      </w:pPr>
      <w:r>
        <w:rPr>
          <w:rFonts w:hint="eastAsia"/>
          <w:color w:val="auto"/>
          <w:highlight w:val="none"/>
        </w:rPr>
        <w:br w:type="page"/>
      </w:r>
      <w:bookmarkStart w:id="76" w:name="_Toc226"/>
      <w:bookmarkStart w:id="77" w:name="_Toc15804"/>
      <w:r>
        <w:rPr>
          <w:rFonts w:hint="eastAsia"/>
          <w:color w:val="auto"/>
          <w:highlight w:val="none"/>
        </w:rPr>
        <w:t xml:space="preserve">附件5         </w:t>
      </w:r>
      <w:bookmarkEnd w:id="76"/>
      <w:bookmarkEnd w:id="77"/>
      <w:r>
        <w:rPr>
          <w:rFonts w:hint="eastAsia"/>
          <w:color w:val="auto"/>
          <w:highlight w:val="none"/>
        </w:rPr>
        <w:t xml:space="preserve">     技术响应</w:t>
      </w:r>
      <w:r>
        <w:rPr>
          <w:rFonts w:hint="eastAsia"/>
          <w:color w:val="auto"/>
          <w:highlight w:val="none"/>
          <w:lang w:val="en-US" w:eastAsia="zh-CN"/>
        </w:rPr>
        <w:t>部分</w:t>
      </w:r>
    </w:p>
    <w:p>
      <w:pPr>
        <w:widowControl/>
        <w:wordWrap w:val="0"/>
        <w:spacing w:line="460" w:lineRule="exact"/>
        <w:ind w:firstLine="643" w:firstLineChars="200"/>
        <w:jc w:val="left"/>
        <w:rPr>
          <w:rFonts w:hint="default" w:ascii="宋体" w:hAnsi="宋体" w:eastAsia="宋体" w:cs="宋体"/>
          <w:b/>
          <w:color w:val="auto"/>
          <w:kern w:val="0"/>
          <w:sz w:val="32"/>
          <w:szCs w:val="32"/>
          <w:highlight w:val="none"/>
          <w:lang w:val="en-US" w:eastAsia="zh-CN"/>
        </w:rPr>
      </w:pPr>
      <w:r>
        <w:rPr>
          <w:rFonts w:hint="eastAsia" w:ascii="宋体" w:hAnsi="宋体" w:cs="宋体"/>
          <w:b/>
          <w:color w:val="auto"/>
          <w:kern w:val="0"/>
          <w:sz w:val="32"/>
          <w:szCs w:val="32"/>
          <w:highlight w:val="none"/>
          <w:lang w:val="en-US" w:eastAsia="zh-CN"/>
        </w:rPr>
        <w:t>技术部分相关证明文件</w:t>
      </w:r>
    </w:p>
    <w:p>
      <w:pPr>
        <w:widowControl/>
        <w:wordWrap w:val="0"/>
        <w:snapToGrid w:val="0"/>
        <w:spacing w:before="50" w:afterLines="50"/>
        <w:jc w:val="left"/>
        <w:rPr>
          <w:rFonts w:hint="eastAsia" w:ascii="宋体" w:hAnsi="宋体" w:eastAsia="宋体" w:cs="宋体"/>
          <w:color w:val="auto"/>
          <w:kern w:val="0"/>
          <w:sz w:val="24"/>
          <w:highlight w:val="none"/>
          <w:u w:val="single"/>
          <w:lang w:eastAsia="zh-CN"/>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widowControl/>
        <w:wordWrap w:val="0"/>
        <w:snapToGrid w:val="0"/>
        <w:spacing w:line="460" w:lineRule="exact"/>
        <w:jc w:val="left"/>
        <w:outlineLvl w:val="0"/>
        <w:rPr>
          <w:rFonts w:hint="eastAsia" w:ascii="Arial" w:hAnsi="Arial" w:eastAsia="新宋体"/>
          <w:b/>
          <w:color w:val="auto"/>
          <w:sz w:val="28"/>
          <w:highlight w:val="none"/>
          <w:lang w:val="en-US" w:eastAsia="zh-CN"/>
        </w:rPr>
      </w:pPr>
      <w:bookmarkStart w:id="78" w:name="_Toc20420"/>
      <w:bookmarkStart w:id="79" w:name="_Toc29960"/>
      <w:r>
        <w:rPr>
          <w:rFonts w:hint="eastAsia" w:ascii="Arial" w:hAnsi="Arial" w:eastAsia="新宋体"/>
          <w:b/>
          <w:color w:val="auto"/>
          <w:sz w:val="28"/>
          <w:highlight w:val="none"/>
        </w:rPr>
        <w:t>附件6               商务响应</w:t>
      </w:r>
      <w:bookmarkEnd w:id="78"/>
      <w:bookmarkEnd w:id="79"/>
      <w:r>
        <w:rPr>
          <w:rFonts w:hint="eastAsia" w:ascii="Arial" w:hAnsi="Arial" w:eastAsia="新宋体"/>
          <w:b/>
          <w:color w:val="auto"/>
          <w:sz w:val="28"/>
          <w:highlight w:val="none"/>
          <w:lang w:val="en-US" w:eastAsia="zh-CN"/>
        </w:rPr>
        <w:t>部分</w:t>
      </w:r>
    </w:p>
    <w:p>
      <w:pPr>
        <w:widowControl/>
        <w:wordWrap w:val="0"/>
        <w:spacing w:line="460" w:lineRule="exact"/>
        <w:jc w:val="left"/>
        <w:rPr>
          <w:rFonts w:hint="eastAsia" w:ascii="宋体" w:hAnsi="宋体" w:cs="宋体"/>
          <w:b/>
          <w:color w:val="auto"/>
          <w:kern w:val="0"/>
          <w:sz w:val="32"/>
          <w:szCs w:val="32"/>
          <w:highlight w:val="none"/>
          <w:lang w:val="en-US" w:eastAsia="zh-CN"/>
        </w:rPr>
      </w:pPr>
      <w:r>
        <w:rPr>
          <w:rFonts w:hint="eastAsia" w:ascii="宋体" w:hAnsi="宋体" w:cs="宋体"/>
          <w:b/>
          <w:color w:val="auto"/>
          <w:kern w:val="0"/>
          <w:sz w:val="32"/>
          <w:szCs w:val="32"/>
          <w:highlight w:val="none"/>
          <w:lang w:val="en-US" w:eastAsia="zh-CN"/>
        </w:rPr>
        <w:t xml:space="preserve">  </w:t>
      </w:r>
    </w:p>
    <w:p>
      <w:pPr>
        <w:widowControl/>
        <w:wordWrap w:val="0"/>
        <w:spacing w:line="460" w:lineRule="exact"/>
        <w:ind w:firstLine="643" w:firstLineChars="200"/>
        <w:jc w:val="left"/>
        <w:rPr>
          <w:rFonts w:hint="default" w:ascii="宋体" w:hAnsi="宋体" w:eastAsia="宋体" w:cs="宋体"/>
          <w:b/>
          <w:color w:val="auto"/>
          <w:kern w:val="0"/>
          <w:sz w:val="32"/>
          <w:szCs w:val="32"/>
          <w:highlight w:val="none"/>
          <w:lang w:val="en-US" w:eastAsia="zh-CN"/>
        </w:rPr>
      </w:pPr>
      <w:r>
        <w:rPr>
          <w:rFonts w:hint="eastAsia" w:ascii="宋体" w:hAnsi="宋体" w:cs="宋体"/>
          <w:b/>
          <w:color w:val="auto"/>
          <w:kern w:val="0"/>
          <w:sz w:val="32"/>
          <w:szCs w:val="32"/>
          <w:highlight w:val="none"/>
          <w:lang w:val="en-US" w:eastAsia="zh-CN"/>
        </w:rPr>
        <w:t>商务部分相关证明文件</w:t>
      </w:r>
    </w:p>
    <w:p>
      <w:pPr>
        <w:rPr>
          <w:rFonts w:cs="宋体"/>
          <w:b/>
          <w:color w:val="auto"/>
          <w:kern w:val="0"/>
          <w:sz w:val="24"/>
          <w:highlight w:val="none"/>
        </w:rPr>
      </w:pPr>
    </w:p>
    <w:p>
      <w:pPr>
        <w:pStyle w:val="2"/>
      </w:pPr>
    </w:p>
    <w:p/>
    <w:p>
      <w:pPr>
        <w:pStyle w:val="6"/>
      </w:pPr>
    </w:p>
    <w:p/>
    <w:p>
      <w:pPr>
        <w:pStyle w:val="6"/>
      </w:pPr>
    </w:p>
    <w:p/>
    <w:p>
      <w:pPr>
        <w:pStyle w:val="6"/>
      </w:pPr>
    </w:p>
    <w:p/>
    <w:p>
      <w:pPr>
        <w:pStyle w:val="6"/>
      </w:pPr>
    </w:p>
    <w:p/>
    <w:p>
      <w:pPr>
        <w:pStyle w:val="6"/>
      </w:pPr>
    </w:p>
    <w:p/>
    <w:p>
      <w:pPr>
        <w:pStyle w:val="6"/>
      </w:pPr>
    </w:p>
    <w:p/>
    <w:p>
      <w:pPr>
        <w:pStyle w:val="6"/>
      </w:pPr>
    </w:p>
    <w:p/>
    <w:p>
      <w:pPr>
        <w:pStyle w:val="6"/>
      </w:pPr>
    </w:p>
    <w:p>
      <w:pPr>
        <w:widowControl/>
        <w:wordWrap w:val="0"/>
        <w:spacing w:line="460" w:lineRule="exact"/>
        <w:jc w:val="left"/>
        <w:outlineLvl w:val="0"/>
        <w:rPr>
          <w:rFonts w:ascii="Arial" w:hAnsi="Arial" w:eastAsia="新宋体"/>
          <w:b/>
          <w:color w:val="auto"/>
          <w:sz w:val="28"/>
          <w:highlight w:val="none"/>
        </w:rPr>
      </w:pPr>
      <w:bookmarkStart w:id="80" w:name="_Toc28621"/>
      <w:bookmarkStart w:id="81" w:name="_Toc31526"/>
      <w:r>
        <w:rPr>
          <w:rFonts w:hint="eastAsia" w:ascii="Arial" w:hAnsi="Arial" w:eastAsia="新宋体"/>
          <w:b/>
          <w:color w:val="auto"/>
          <w:sz w:val="28"/>
          <w:highlight w:val="none"/>
        </w:rPr>
        <w:t>附件7               法定代表人身份证明（格式）</w:t>
      </w:r>
      <w:bookmarkEnd w:id="80"/>
      <w:bookmarkEnd w:id="81"/>
    </w:p>
    <w:p>
      <w:pPr>
        <w:widowControl/>
        <w:wordWrap w:val="0"/>
        <w:spacing w:line="460" w:lineRule="exact"/>
        <w:jc w:val="left"/>
        <w:rPr>
          <w:rFonts w:ascii="宋体" w:hAnsi="宋体" w:cs="宋体"/>
          <w:color w:val="auto"/>
          <w:kern w:val="0"/>
          <w:sz w:val="24"/>
          <w:highlight w:val="none"/>
        </w:rPr>
      </w:pPr>
    </w:p>
    <w:p>
      <w:pPr>
        <w:widowControl/>
        <w:wordWrap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投标人名称：</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地址：</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highlight w:val="none"/>
        </w:rPr>
        <w:t>成立时间：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年</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月</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日</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szCs w:val="20"/>
          <w:highlight w:val="none"/>
        </w:rPr>
        <w:t>经营期限：</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Cs w:val="21"/>
          <w:highlight w:val="none"/>
          <w:u w:val="single"/>
        </w:rPr>
      </w:pPr>
      <w:r>
        <w:rPr>
          <w:rFonts w:hint="eastAsia" w:ascii="宋体" w:hAnsi="宋体" w:cs="宋体"/>
          <w:color w:val="auto"/>
          <w:kern w:val="0"/>
          <w:sz w:val="24"/>
          <w:highlight w:val="none"/>
        </w:rPr>
        <w:t>姓名：</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，性别：</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，年龄：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，职务：</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（投标人名称）的法定代表人。</w:t>
      </w:r>
    </w:p>
    <w:p>
      <w:pPr>
        <w:widowControl/>
        <w:wordWrap w:val="0"/>
        <w:spacing w:line="460" w:lineRule="exact"/>
        <w:jc w:val="left"/>
        <w:rPr>
          <w:rFonts w:ascii="宋体" w:hAnsi="宋体" w:cs="宋体"/>
          <w:color w:val="auto"/>
          <w:kern w:val="0"/>
          <w:sz w:val="24"/>
          <w:szCs w:val="20"/>
          <w:highlight w:val="none"/>
        </w:rPr>
      </w:pP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特此证明。</w:t>
      </w:r>
    </w:p>
    <w:p>
      <w:pPr>
        <w:widowControl/>
        <w:wordWrap w:val="0"/>
        <w:spacing w:line="460" w:lineRule="exact"/>
        <w:jc w:val="left"/>
        <w:rPr>
          <w:rFonts w:ascii="宋体" w:hAnsi="宋体" w:cs="宋体"/>
          <w:color w:val="auto"/>
          <w:kern w:val="0"/>
          <w:sz w:val="24"/>
          <w:szCs w:val="20"/>
          <w:highlight w:val="none"/>
        </w:rPr>
      </w:pPr>
    </w:p>
    <w:p>
      <w:pPr>
        <w:widowControl/>
        <w:wordWrap w:val="0"/>
        <w:spacing w:beforeLines="100" w:afterLines="100" w:line="480" w:lineRule="exact"/>
        <w:jc w:val="center"/>
        <w:rPr>
          <w:rFonts w:ascii="宋体" w:hAnsi="宋体" w:cs="Lucida Sans Unicode"/>
          <w:b/>
          <w:color w:val="auto"/>
          <w:kern w:val="0"/>
          <w:sz w:val="36"/>
          <w:szCs w:val="36"/>
          <w:highlight w:val="none"/>
        </w:rPr>
      </w:pPr>
    </w:p>
    <w:tbl>
      <w:tblPr>
        <w:tblStyle w:val="33"/>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bCs/>
                <w:color w:val="auto"/>
                <w:kern w:val="0"/>
                <w:sz w:val="24"/>
                <w:highlight w:val="none"/>
              </w:rPr>
            </w:pPr>
            <w:r>
              <w:rPr>
                <w:rFonts w:hint="eastAsia" w:ascii="宋体" w:hAnsi="宋体" w:cs="Lucida Sans Unicode"/>
                <w:bCs/>
                <w:color w:val="auto"/>
                <w:kern w:val="0"/>
                <w:sz w:val="24"/>
                <w:highlight w:val="none"/>
              </w:rPr>
              <w:t>此处请粘贴法定代表人身份证复印件</w:t>
            </w:r>
          </w:p>
          <w:p>
            <w:pPr>
              <w:widowControl/>
              <w:spacing w:line="480" w:lineRule="exact"/>
              <w:jc w:val="left"/>
              <w:rPr>
                <w:rFonts w:ascii="仿宋_GB2312" w:hAnsi="Lucida Sans Unicode" w:eastAsia="仿宋_GB2312" w:cs="Lucida Sans Unicode"/>
                <w:color w:val="auto"/>
                <w:kern w:val="0"/>
                <w:sz w:val="24"/>
                <w:highlight w:val="none"/>
              </w:rPr>
            </w:pPr>
          </w:p>
          <w:p>
            <w:pPr>
              <w:widowControl/>
              <w:spacing w:line="480" w:lineRule="exact"/>
              <w:jc w:val="left"/>
              <w:rPr>
                <w:rFonts w:ascii="仿宋_GB2312" w:hAnsi="Lucida Sans Unicode" w:eastAsia="仿宋_GB2312" w:cs="Lucida Sans Unicode"/>
                <w:color w:val="auto"/>
                <w:kern w:val="0"/>
                <w:sz w:val="24"/>
                <w:highlight w:val="none"/>
              </w:rPr>
            </w:pPr>
          </w:p>
        </w:tc>
      </w:tr>
    </w:tbl>
    <w:p>
      <w:pPr>
        <w:widowControl/>
        <w:wordWrap w:val="0"/>
        <w:spacing w:beforeLines="100" w:afterLines="100" w:line="480" w:lineRule="exact"/>
        <w:jc w:val="center"/>
        <w:rPr>
          <w:rFonts w:ascii="宋体" w:hAnsi="宋体" w:cs="Lucida Sans Unicode"/>
          <w:b/>
          <w:color w:val="auto"/>
          <w:kern w:val="0"/>
          <w:sz w:val="24"/>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napToGrid w:val="0"/>
        <w:spacing w:line="460" w:lineRule="exact"/>
        <w:ind w:firstLine="2760" w:firstLineChars="1150"/>
        <w:jc w:val="left"/>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left="3780" w:leftChars="1800"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color w:val="auto"/>
          <w:highlight w:val="none"/>
        </w:rPr>
      </w:pPr>
    </w:p>
    <w:p>
      <w:pPr>
        <w:rPr>
          <w:color w:val="auto"/>
          <w:highlight w:val="none"/>
        </w:rPr>
      </w:pPr>
      <w:r>
        <w:rPr>
          <w:color w:val="auto"/>
          <w:highlight w:val="none"/>
        </w:rPr>
        <w:br w:type="page"/>
      </w:r>
    </w:p>
    <w:p>
      <w:pPr>
        <w:pStyle w:val="51"/>
        <w:rPr>
          <w:color w:val="auto"/>
          <w:highlight w:val="none"/>
        </w:rPr>
      </w:pPr>
    </w:p>
    <w:p>
      <w:pPr>
        <w:widowControl/>
        <w:wordWrap w:val="0"/>
        <w:spacing w:line="460" w:lineRule="exact"/>
        <w:ind w:firstLine="365" w:firstLineChars="130"/>
        <w:jc w:val="left"/>
        <w:outlineLvl w:val="0"/>
        <w:rPr>
          <w:rFonts w:ascii="Arial" w:hAnsi="Arial" w:eastAsia="新宋体"/>
          <w:b/>
          <w:color w:val="auto"/>
          <w:sz w:val="28"/>
          <w:highlight w:val="none"/>
        </w:rPr>
      </w:pPr>
      <w:bookmarkStart w:id="82" w:name="_Toc30519"/>
      <w:bookmarkStart w:id="83" w:name="_Toc13976"/>
      <w:r>
        <w:rPr>
          <w:rFonts w:hint="eastAsia" w:ascii="Arial" w:hAnsi="Arial" w:eastAsia="新宋体"/>
          <w:b/>
          <w:color w:val="auto"/>
          <w:sz w:val="28"/>
          <w:highlight w:val="none"/>
        </w:rPr>
        <w:t>附件8               法定代表人授权书（格式）</w:t>
      </w:r>
      <w:bookmarkEnd w:id="82"/>
      <w:bookmarkEnd w:id="83"/>
    </w:p>
    <w:p>
      <w:pPr>
        <w:widowControl/>
        <w:tabs>
          <w:tab w:val="left" w:pos="420"/>
          <w:tab w:val="left" w:pos="2160"/>
        </w:tabs>
        <w:wordWrap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jc w:val="left"/>
        <w:rPr>
          <w:rFonts w:ascii="宋体" w:hAnsi="宋体" w:cs="宋体"/>
          <w:b/>
          <w:bCs/>
          <w:color w:val="auto"/>
          <w:kern w:val="0"/>
          <w:sz w:val="24"/>
          <w:highlight w:val="none"/>
        </w:rPr>
      </w:pPr>
      <w:r>
        <w:rPr>
          <w:rFonts w:hint="eastAsia" w:ascii="宋体" w:hAnsi="宋体" w:cs="宋体"/>
          <w:bCs/>
          <w:color w:val="auto"/>
          <w:kern w:val="0"/>
          <w:sz w:val="24"/>
          <w:highlight w:val="none"/>
        </w:rPr>
        <w:t>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采购人</w:t>
      </w:r>
      <w:r>
        <w:rPr>
          <w:rFonts w:hint="eastAsia" w:ascii="宋体" w:hAnsi="宋体" w:cs="宋体"/>
          <w:color w:val="auto"/>
          <w:kern w:val="0"/>
          <w:sz w:val="24"/>
          <w:highlight w:val="none"/>
        </w:rPr>
        <w:t>名称）：</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 xml:space="preserve">（投标人名称）的法定代表人，现委托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（姓名）为我方代理人。代理人根据本授权，以我方的名义参加</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项目的投标活动，并代表我方全权办理针对上述项目的投标、开标、评标、签约等具体事务和签署相关文件。</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我方对代理人的签名负全部责任。在撤销授权的书面通知以前，本授权书一直有效。代理人在授权书有效期内签署的所有文件不因授权的撤销而失效。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如果本次采购活动现场变更采购方式，本授权书有效。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代理人无转委托权。</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委托期限：</w:t>
      </w:r>
    </w:p>
    <w:p>
      <w:pPr>
        <w:widowControl/>
        <w:wordWrap w:val="0"/>
        <w:snapToGrid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委托代理人签名：             法定代表人签名：</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职务：                      职务：</w:t>
      </w:r>
    </w:p>
    <w:tbl>
      <w:tblPr>
        <w:tblStyle w:val="33"/>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color w:val="auto"/>
                <w:kern w:val="0"/>
                <w:sz w:val="24"/>
                <w:highlight w:val="none"/>
              </w:rPr>
            </w:pPr>
            <w:r>
              <w:rPr>
                <w:rFonts w:hint="eastAsia" w:ascii="宋体" w:hAnsi="宋体" w:cs="Lucida Sans Unicode"/>
                <w:bCs/>
                <w:color w:val="auto"/>
                <w:kern w:val="0"/>
                <w:sz w:val="24"/>
                <w:highlight w:val="none"/>
              </w:rPr>
              <w:t>此处请粘贴</w:t>
            </w:r>
            <w:r>
              <w:rPr>
                <w:rFonts w:hint="eastAsia" w:ascii="宋体" w:hAnsi="宋体" w:cs="宋体"/>
                <w:color w:val="auto"/>
                <w:kern w:val="0"/>
                <w:sz w:val="24"/>
                <w:highlight w:val="none"/>
              </w:rPr>
              <w:t>委托代理人</w:t>
            </w:r>
            <w:r>
              <w:rPr>
                <w:rFonts w:hint="eastAsia" w:ascii="宋体" w:hAnsi="宋体" w:cs="Lucida Sans Unicode"/>
                <w:bCs/>
                <w:color w:val="auto"/>
                <w:kern w:val="0"/>
                <w:sz w:val="24"/>
                <w:highlight w:val="none"/>
              </w:rPr>
              <w:t>身份证复印件</w:t>
            </w:r>
          </w:p>
        </w:tc>
      </w:tr>
    </w:tbl>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委托代理人身份证号码：</w:t>
      </w:r>
    </w:p>
    <w:p>
      <w:pPr>
        <w:widowControl/>
        <w:wordWrap w:val="0"/>
        <w:spacing w:line="460" w:lineRule="exact"/>
        <w:ind w:firstLine="4800" w:firstLineChars="2000"/>
        <w:jc w:val="left"/>
        <w:rPr>
          <w:rFonts w:ascii="仿宋_GB2312" w:hAnsi="Lucida Sans Unicode" w:eastAsia="仿宋_GB2312" w:cs="Lucida Sans Unicode"/>
          <w:color w:val="auto"/>
          <w:kern w:val="0"/>
          <w:sz w:val="24"/>
          <w:highlight w:val="none"/>
        </w:rPr>
      </w:pPr>
    </w:p>
    <w:p>
      <w:pPr>
        <w:widowControl/>
        <w:wordWrap w:val="0"/>
        <w:spacing w:line="360" w:lineRule="auto"/>
        <w:jc w:val="center"/>
        <w:rPr>
          <w:rFonts w:ascii="仿宋_GB2312" w:hAnsi="Lucida Sans Unicode" w:eastAsia="仿宋_GB2312" w:cs="Lucida Sans Unicode"/>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firstLine="3840" w:firstLineChars="1600"/>
        <w:jc w:val="left"/>
        <w:rPr>
          <w:rFonts w:ascii="宋体" w:hAnsi="宋体" w:cs="宋体"/>
          <w:b/>
          <w:color w:val="auto"/>
          <w:kern w:val="0"/>
          <w:sz w:val="32"/>
          <w:szCs w:val="32"/>
          <w:highlight w:val="none"/>
        </w:rPr>
      </w:pPr>
      <w:r>
        <w:rPr>
          <w:rFonts w:hint="eastAsia" w:ascii="宋体" w:hAnsi="宋体" w:cs="宋体"/>
          <w:color w:val="auto"/>
          <w:kern w:val="0"/>
          <w:sz w:val="24"/>
          <w:highlight w:val="none"/>
        </w:rPr>
        <w:t>年    月    日</w:t>
      </w:r>
    </w:p>
    <w:p>
      <w:pPr>
        <w:widowControl/>
        <w:spacing w:line="360" w:lineRule="auto"/>
        <w:ind w:firstLine="7228" w:firstLineChars="2250"/>
        <w:jc w:val="left"/>
        <w:rPr>
          <w:rFonts w:ascii="宋体" w:hAnsi="宋体" w:cs="宋体"/>
          <w:b/>
          <w:color w:val="auto"/>
          <w:kern w:val="0"/>
          <w:sz w:val="32"/>
          <w:szCs w:val="32"/>
          <w:highlight w:val="none"/>
        </w:rPr>
      </w:pPr>
    </w:p>
    <w:p>
      <w:pPr>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napToGrid w:val="0"/>
        <w:spacing w:before="156" w:after="156" w:line="360" w:lineRule="auto"/>
        <w:jc w:val="left"/>
        <w:rPr>
          <w:rFonts w:ascii="宋体" w:hAnsi="宋体" w:cs="宋体"/>
          <w:b/>
          <w:color w:val="auto"/>
          <w:kern w:val="0"/>
          <w:sz w:val="24"/>
          <w:highlight w:val="none"/>
        </w:rPr>
      </w:pPr>
    </w:p>
    <w:p>
      <w:pPr>
        <w:widowControl/>
        <w:snapToGrid w:val="0"/>
        <w:spacing w:before="156" w:after="156" w:line="360" w:lineRule="auto"/>
        <w:jc w:val="left"/>
        <w:outlineLvl w:val="0"/>
        <w:rPr>
          <w:rFonts w:ascii="宋体" w:hAnsi="宋体" w:cs="宋体"/>
          <w:b/>
          <w:color w:val="auto"/>
          <w:kern w:val="0"/>
          <w:sz w:val="24"/>
          <w:highlight w:val="none"/>
        </w:rPr>
      </w:pPr>
      <w:bookmarkStart w:id="84" w:name="_Toc18105"/>
      <w:bookmarkStart w:id="85" w:name="_Toc24693"/>
      <w:r>
        <w:rPr>
          <w:rFonts w:hint="eastAsia" w:ascii="Arial" w:hAnsi="Arial" w:eastAsia="新宋体"/>
          <w:b/>
          <w:color w:val="auto"/>
          <w:sz w:val="28"/>
          <w:highlight w:val="none"/>
        </w:rPr>
        <w:t>附件9               证明文件</w:t>
      </w:r>
      <w:bookmarkEnd w:id="84"/>
      <w:bookmarkEnd w:id="85"/>
    </w:p>
    <w:p>
      <w:pPr>
        <w:pStyle w:val="10"/>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9.1</w:t>
      </w:r>
      <w:r>
        <w:rPr>
          <w:rFonts w:hint="eastAsia"/>
          <w:bCs/>
          <w:color w:val="auto"/>
          <w:sz w:val="21"/>
          <w:szCs w:val="21"/>
          <w:highlight w:val="none"/>
          <w:lang w:val="en-US" w:eastAsia="zh-CN"/>
        </w:rPr>
        <w:t xml:space="preserve"> </w:t>
      </w:r>
      <w:r>
        <w:rPr>
          <w:rFonts w:hint="eastAsia"/>
          <w:bCs/>
          <w:color w:val="auto"/>
          <w:sz w:val="21"/>
          <w:szCs w:val="21"/>
          <w:highlight w:val="none"/>
        </w:rPr>
        <w:t>资格审查资料</w:t>
      </w:r>
    </w:p>
    <w:p>
      <w:pPr>
        <w:pStyle w:val="10"/>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9.2</w:t>
      </w:r>
      <w:r>
        <w:rPr>
          <w:rFonts w:hint="eastAsia"/>
          <w:bCs/>
          <w:color w:val="auto"/>
          <w:sz w:val="21"/>
          <w:szCs w:val="21"/>
          <w:highlight w:val="none"/>
          <w:lang w:val="en-US" w:eastAsia="zh-CN"/>
        </w:rPr>
        <w:t xml:space="preserve"> </w:t>
      </w:r>
      <w:r>
        <w:rPr>
          <w:rFonts w:hint="eastAsia"/>
          <w:bCs/>
          <w:color w:val="auto"/>
          <w:sz w:val="21"/>
          <w:szCs w:val="21"/>
          <w:highlight w:val="none"/>
        </w:rPr>
        <w:t>技术方案</w:t>
      </w:r>
    </w:p>
    <w:p>
      <w:pPr>
        <w:pStyle w:val="10"/>
        <w:spacing w:beforeAutospacing="0" w:afterAutospacing="0" w:line="480" w:lineRule="auto"/>
        <w:ind w:firstLine="470" w:firstLineChars="224"/>
        <w:jc w:val="both"/>
        <w:rPr>
          <w:rFonts w:hint="eastAsia"/>
          <w:bCs/>
          <w:color w:val="auto"/>
          <w:sz w:val="21"/>
          <w:szCs w:val="21"/>
          <w:highlight w:val="none"/>
        </w:rPr>
      </w:pPr>
      <w:r>
        <w:rPr>
          <w:rFonts w:hint="eastAsia"/>
          <w:bCs/>
          <w:color w:val="auto"/>
          <w:sz w:val="21"/>
          <w:szCs w:val="21"/>
          <w:highlight w:val="none"/>
        </w:rPr>
        <w:t>9.3</w:t>
      </w:r>
      <w:r>
        <w:rPr>
          <w:rFonts w:hint="eastAsia"/>
          <w:bCs/>
          <w:color w:val="auto"/>
          <w:sz w:val="21"/>
          <w:szCs w:val="21"/>
          <w:highlight w:val="none"/>
          <w:lang w:val="en-US" w:eastAsia="zh-CN"/>
        </w:rPr>
        <w:t xml:space="preserve"> </w:t>
      </w:r>
      <w:r>
        <w:rPr>
          <w:rFonts w:hint="eastAsia"/>
          <w:bCs/>
          <w:color w:val="auto"/>
          <w:sz w:val="21"/>
          <w:szCs w:val="21"/>
          <w:highlight w:val="none"/>
        </w:rPr>
        <w:t>其他需要提供的证明材料</w:t>
      </w:r>
      <w:bookmarkStart w:id="86" w:name="_Toc17966"/>
    </w:p>
    <w:p>
      <w:pPr>
        <w:pStyle w:val="10"/>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w:t>
      </w:r>
      <w:r>
        <w:rPr>
          <w:rFonts w:hint="eastAsia"/>
          <w:bCs/>
          <w:color w:val="auto"/>
          <w:sz w:val="21"/>
          <w:szCs w:val="21"/>
          <w:highlight w:val="none"/>
          <w:lang w:val="en-US" w:eastAsia="zh-CN"/>
        </w:rPr>
        <w:t xml:space="preserve">4 </w:t>
      </w:r>
      <w:r>
        <w:rPr>
          <w:rFonts w:hint="eastAsia"/>
          <w:bCs/>
          <w:color w:val="auto"/>
          <w:sz w:val="21"/>
          <w:szCs w:val="21"/>
          <w:highlight w:val="none"/>
        </w:rPr>
        <w:t>其他证明材料。</w:t>
      </w:r>
    </w:p>
    <w:p>
      <w:pPr>
        <w:pStyle w:val="10"/>
        <w:spacing w:beforeAutospacing="0" w:afterAutospacing="0" w:line="480" w:lineRule="auto"/>
        <w:ind w:firstLine="540" w:firstLineChars="224"/>
        <w:jc w:val="both"/>
        <w:rPr>
          <w:b/>
          <w:bCs/>
          <w:color w:val="auto"/>
          <w:highlight w:val="none"/>
        </w:rPr>
      </w:pPr>
    </w:p>
    <w:p>
      <w:pPr>
        <w:rPr>
          <w:b/>
          <w:bCs/>
          <w:color w:val="auto"/>
          <w:highlight w:val="none"/>
        </w:rPr>
      </w:pPr>
      <w:r>
        <w:rPr>
          <w:b/>
          <w:bCs/>
          <w:color w:val="auto"/>
          <w:highlight w:val="none"/>
        </w:rPr>
        <w:br w:type="page"/>
      </w:r>
    </w:p>
    <w:p>
      <w:pPr>
        <w:pStyle w:val="10"/>
        <w:spacing w:beforeAutospacing="0" w:afterAutospacing="0" w:line="480" w:lineRule="auto"/>
        <w:ind w:firstLine="540" w:firstLineChars="224"/>
        <w:jc w:val="both"/>
        <w:rPr>
          <w:b/>
          <w:bCs/>
          <w:color w:val="auto"/>
          <w:highlight w:val="none"/>
        </w:rPr>
      </w:pPr>
    </w:p>
    <w:p>
      <w:pPr>
        <w:widowControl/>
        <w:snapToGrid w:val="0"/>
        <w:spacing w:line="360" w:lineRule="auto"/>
        <w:jc w:val="center"/>
        <w:outlineLvl w:val="0"/>
        <w:rPr>
          <w:rFonts w:ascii="宋体" w:hAnsi="宋体" w:cs="宋体"/>
          <w:b/>
          <w:color w:val="auto"/>
          <w:kern w:val="0"/>
          <w:sz w:val="28"/>
          <w:szCs w:val="28"/>
          <w:highlight w:val="none"/>
        </w:rPr>
      </w:pPr>
      <w:bookmarkStart w:id="87" w:name="_Toc13726"/>
      <w:bookmarkStart w:id="88" w:name="_Toc12888"/>
      <w:r>
        <w:rPr>
          <w:rFonts w:hint="eastAsia" w:ascii="宋体" w:hAnsi="宋体" w:cs="Lucida Sans Unicode"/>
          <w:b/>
          <w:color w:val="auto"/>
          <w:kern w:val="0"/>
          <w:sz w:val="28"/>
          <w:szCs w:val="28"/>
          <w:highlight w:val="none"/>
        </w:rPr>
        <w:t xml:space="preserve">附件10        </w:t>
      </w:r>
      <w:bookmarkEnd w:id="86"/>
      <w:r>
        <w:rPr>
          <w:rFonts w:hint="eastAsia" w:ascii="宋体" w:hAnsi="宋体" w:cs="Lucida Sans Unicode"/>
          <w:b/>
          <w:color w:val="auto"/>
          <w:kern w:val="0"/>
          <w:sz w:val="28"/>
          <w:szCs w:val="28"/>
          <w:highlight w:val="none"/>
        </w:rPr>
        <w:t>供 应 商 承 诺 书</w:t>
      </w:r>
      <w:r>
        <w:rPr>
          <w:rFonts w:hint="eastAsia" w:ascii="宋体" w:hAnsi="宋体" w:cs="Lucida Sans Unicode"/>
          <w:b/>
          <w:color w:val="auto"/>
          <w:kern w:val="0"/>
          <w:sz w:val="28"/>
          <w:szCs w:val="28"/>
          <w:highlight w:val="none"/>
          <w:lang w:val="en-US" w:eastAsia="zh-CN"/>
        </w:rPr>
        <w:t xml:space="preserve"> </w:t>
      </w:r>
      <w:r>
        <w:rPr>
          <w:rFonts w:hint="eastAsia" w:ascii="宋体" w:hAnsi="宋体" w:cs="宋体"/>
          <w:color w:val="auto"/>
          <w:kern w:val="0"/>
          <w:sz w:val="28"/>
          <w:szCs w:val="28"/>
          <w:highlight w:val="none"/>
        </w:rPr>
        <w:t>（格式）</w:t>
      </w:r>
      <w:bookmarkEnd w:id="87"/>
      <w:bookmarkEnd w:id="88"/>
    </w:p>
    <w:p>
      <w:pPr>
        <w:bidi w:val="0"/>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我院（以下简称甲方）组织的本次采购，在遵守《招标投标法》、《政府采购法》、《合同法》、《反不正当竞争法》和《关于推进招投标监督领域诚信建设的意见》等法律法规的基础上，要求贵方（以下简称乙方）做出如下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1、遵循公开、公平、公正和诚实信用的原则自愿参加，所提供的一切材料真实、有效、合法。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2、遵守甲方采购纪律，诚实守信地为甲方提供安全可靠的产品、服务及相关技术，保证质量并主动做好售后服务工作。</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3、杜绝利用提供财物或给予其他不正当利益谋取中标的不良行为。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4、不发生其他任何可能影响甲方工作人员公正执行公务或者职务廉洁的行为。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5、不参与串标、围标或其他不正当竞争行为；杜绝以虚报资质、业绩或其他弄虚作假等方式骗取中标。</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6、响应时，杜绝擅自修改采购文件或技术标准（包括差异表）技术配置的行为。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7、严格按照采购、投标文件要求签订合同，不违反法律无故拒签合同，不签订背离合同（或技术协议书）实质性内容的协议。</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lang w:val="en-US" w:eastAsia="zh-CN"/>
        </w:rPr>
        <w:t>公司名称</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sz w:val="28"/>
          <w:szCs w:val="28"/>
        </w:rPr>
      </w:pPr>
      <w:r>
        <w:rPr>
          <w:rFonts w:hint="eastAsia" w:ascii="宋体" w:hAnsi="宋体" w:eastAsia="宋体" w:cs="宋体"/>
          <w:sz w:val="24"/>
          <w:szCs w:val="24"/>
        </w:rPr>
        <w:t>法定代表人或委托人（签字）：                   年   月   日</w:t>
      </w:r>
    </w:p>
    <w:p>
      <w:pPr>
        <w:widowControl/>
        <w:spacing w:line="360" w:lineRule="auto"/>
        <w:ind w:firstLine="4305" w:firstLineChars="2050"/>
        <w:jc w:val="left"/>
        <w:rPr>
          <w:rFonts w:ascii="宋体" w:hAnsi="宋体" w:cs="宋体"/>
          <w:color w:val="auto"/>
          <w:kern w:val="0"/>
          <w:szCs w:val="21"/>
          <w:highlight w:val="none"/>
        </w:rPr>
      </w:pPr>
    </w:p>
    <w:p>
      <w:pPr>
        <w:spacing w:line="360" w:lineRule="auto"/>
        <w:rPr>
          <w:color w:val="auto"/>
          <w:highlight w:val="none"/>
        </w:rPr>
      </w:pPr>
    </w:p>
    <w:p>
      <w:pPr>
        <w:rPr>
          <w:color w:val="auto"/>
          <w:highlight w:val="none"/>
        </w:rPr>
      </w:pPr>
      <w:r>
        <w:rPr>
          <w:color w:val="auto"/>
          <w:highlight w:val="none"/>
        </w:rPr>
        <w:br w:type="page"/>
      </w:r>
    </w:p>
    <w:p>
      <w:pPr>
        <w:bidi w:val="0"/>
        <w:rPr>
          <w:rFonts w:hint="eastAsia"/>
          <w:lang w:val="en-US" w:eastAsia="zh-CN"/>
        </w:rPr>
      </w:pPr>
    </w:p>
    <w:p>
      <w:pPr>
        <w:pStyle w:val="32"/>
      </w:pPr>
    </w:p>
    <w:p>
      <w:pPr>
        <w:widowControl/>
        <w:snapToGrid w:val="0"/>
        <w:spacing w:line="360" w:lineRule="auto"/>
        <w:jc w:val="center"/>
        <w:outlineLvl w:val="0"/>
        <w:rPr>
          <w:rFonts w:ascii="宋体" w:hAnsi="宋体" w:cs="Lucida Sans Unicode"/>
          <w:b/>
          <w:color w:val="auto"/>
          <w:kern w:val="0"/>
          <w:sz w:val="24"/>
          <w:highlight w:val="none"/>
        </w:rPr>
      </w:pPr>
      <w:bookmarkStart w:id="89" w:name="_Toc23394"/>
      <w:bookmarkStart w:id="90" w:name="_Toc25094"/>
      <w:r>
        <w:rPr>
          <w:rFonts w:hint="eastAsia" w:ascii="宋体" w:hAnsi="宋体" w:cs="Lucida Sans Unicode"/>
          <w:b/>
          <w:color w:val="auto"/>
          <w:kern w:val="0"/>
          <w:sz w:val="24"/>
          <w:highlight w:val="none"/>
        </w:rPr>
        <w:t>投标人认为有必要的其他资料</w:t>
      </w:r>
      <w:bookmarkEnd w:id="89"/>
      <w:bookmarkEnd w:id="90"/>
    </w:p>
    <w:p>
      <w:pPr>
        <w:widowControl/>
        <w:spacing w:line="360" w:lineRule="auto"/>
        <w:ind w:firstLine="420" w:firstLineChars="200"/>
        <w:jc w:val="left"/>
        <w:rPr>
          <w:rFonts w:ascii="宋体" w:hAnsi="宋体" w:cs="Lucida Sans Unicode"/>
          <w:color w:val="auto"/>
          <w:kern w:val="0"/>
          <w:sz w:val="24"/>
          <w:highlight w:val="none"/>
        </w:rPr>
      </w:pPr>
      <w:r>
        <w:rPr>
          <w:rFonts w:hint="eastAsia" w:ascii="宋体" w:hAnsi="宋体" w:cs="Lucida Sans Unicode"/>
          <w:color w:val="auto"/>
          <w:kern w:val="0"/>
          <w:szCs w:val="21"/>
          <w:highlight w:val="none"/>
        </w:rPr>
        <w:t>备注：投标人应当仔细核对</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文件中有关废标条款和评标标准，提供投标人认为应当附加的其它内容，以充分证明其投标符合</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文件规定，并为评标提供充分依据。如果投标人未能提供相关证明文件，将有可能导致废标或者无法得分。</w:t>
      </w:r>
    </w:p>
    <w:p>
      <w:pPr>
        <w:pStyle w:val="10"/>
        <w:spacing w:beforeAutospacing="0" w:afterAutospacing="0" w:line="460" w:lineRule="atLeast"/>
        <w:jc w:val="center"/>
        <w:rPr>
          <w:b/>
          <w:bCs/>
          <w:color w:val="auto"/>
          <w:sz w:val="28"/>
          <w:szCs w:val="28"/>
          <w:highlight w:val="none"/>
        </w:rPr>
      </w:pPr>
    </w:p>
    <w:p>
      <w:pPr>
        <w:pStyle w:val="10"/>
        <w:spacing w:beforeAutospacing="0" w:afterAutospacing="0" w:line="460" w:lineRule="atLeast"/>
        <w:jc w:val="center"/>
        <w:rPr>
          <w:b/>
          <w:bCs/>
          <w:color w:val="auto"/>
          <w:sz w:val="28"/>
          <w:szCs w:val="28"/>
          <w:highlight w:val="none"/>
        </w:rPr>
      </w:pPr>
    </w:p>
    <w:p>
      <w:pPr>
        <w:pStyle w:val="10"/>
        <w:spacing w:beforeAutospacing="0" w:afterAutospacing="0" w:line="460" w:lineRule="atLeast"/>
        <w:jc w:val="center"/>
        <w:rPr>
          <w:b/>
          <w:bCs/>
          <w:color w:val="auto"/>
          <w:sz w:val="28"/>
          <w:szCs w:val="28"/>
          <w:highlight w:val="none"/>
        </w:rPr>
      </w:pPr>
    </w:p>
    <w:p>
      <w:pPr>
        <w:pStyle w:val="10"/>
        <w:spacing w:beforeAutospacing="0" w:afterAutospacing="0" w:line="460" w:lineRule="atLeast"/>
        <w:jc w:val="center"/>
        <w:rPr>
          <w:b/>
          <w:bCs/>
          <w:color w:val="auto"/>
          <w:sz w:val="28"/>
          <w:szCs w:val="28"/>
          <w:highlight w:val="none"/>
        </w:rPr>
      </w:pPr>
    </w:p>
    <w:p>
      <w:pPr>
        <w:pStyle w:val="10"/>
        <w:spacing w:beforeAutospacing="0" w:afterAutospacing="0" w:line="460" w:lineRule="atLeast"/>
        <w:jc w:val="center"/>
        <w:rPr>
          <w:b/>
          <w:bCs/>
          <w:color w:val="auto"/>
          <w:sz w:val="28"/>
          <w:szCs w:val="28"/>
          <w:highlight w:val="none"/>
        </w:rPr>
      </w:pPr>
    </w:p>
    <w:p>
      <w:pPr>
        <w:pStyle w:val="10"/>
        <w:spacing w:beforeAutospacing="0" w:afterAutospacing="0" w:line="460" w:lineRule="atLeast"/>
        <w:jc w:val="center"/>
        <w:rPr>
          <w:b/>
          <w:bCs/>
          <w:color w:val="auto"/>
          <w:sz w:val="28"/>
          <w:szCs w:val="28"/>
          <w:highlight w:val="none"/>
        </w:rPr>
      </w:pPr>
    </w:p>
    <w:p>
      <w:pPr>
        <w:pStyle w:val="10"/>
        <w:spacing w:beforeAutospacing="0" w:afterAutospacing="0" w:line="460" w:lineRule="atLeast"/>
        <w:jc w:val="center"/>
        <w:rPr>
          <w:b/>
          <w:bCs/>
          <w:color w:val="auto"/>
          <w:sz w:val="28"/>
          <w:szCs w:val="28"/>
          <w:highlight w:val="none"/>
        </w:rPr>
      </w:pPr>
    </w:p>
    <w:p>
      <w:pPr>
        <w:pStyle w:val="10"/>
        <w:spacing w:beforeAutospacing="0" w:afterAutospacing="0" w:line="460" w:lineRule="atLeast"/>
        <w:jc w:val="center"/>
        <w:rPr>
          <w:b/>
          <w:bCs/>
          <w:color w:val="auto"/>
          <w:sz w:val="28"/>
          <w:szCs w:val="28"/>
          <w:highlight w:val="none"/>
        </w:rPr>
      </w:pPr>
    </w:p>
    <w:p>
      <w:pPr>
        <w:pStyle w:val="10"/>
        <w:spacing w:beforeAutospacing="0" w:afterAutospacing="0" w:line="460" w:lineRule="atLeast"/>
        <w:jc w:val="center"/>
        <w:rPr>
          <w:b/>
          <w:bCs/>
          <w:color w:val="auto"/>
          <w:sz w:val="28"/>
          <w:szCs w:val="28"/>
          <w:highlight w:val="none"/>
        </w:rPr>
      </w:pPr>
    </w:p>
    <w:p>
      <w:pPr>
        <w:pStyle w:val="10"/>
        <w:spacing w:beforeAutospacing="0" w:afterAutospacing="0" w:line="460" w:lineRule="atLeast"/>
        <w:jc w:val="center"/>
        <w:rPr>
          <w:b/>
          <w:bCs/>
          <w:color w:val="auto"/>
          <w:sz w:val="28"/>
          <w:szCs w:val="28"/>
          <w:highlight w:val="none"/>
        </w:rPr>
      </w:pPr>
    </w:p>
    <w:p>
      <w:pPr>
        <w:pStyle w:val="10"/>
        <w:spacing w:beforeAutospacing="0" w:afterAutospacing="0" w:line="460" w:lineRule="atLeast"/>
        <w:jc w:val="center"/>
        <w:rPr>
          <w:b/>
          <w:bCs/>
          <w:color w:val="auto"/>
          <w:sz w:val="28"/>
          <w:szCs w:val="28"/>
          <w:highlight w:val="none"/>
        </w:rPr>
      </w:pPr>
    </w:p>
    <w:p>
      <w:pPr>
        <w:pStyle w:val="10"/>
        <w:spacing w:beforeAutospacing="0" w:afterAutospacing="0" w:line="460" w:lineRule="atLeast"/>
        <w:jc w:val="center"/>
        <w:rPr>
          <w:b/>
          <w:bCs/>
          <w:color w:val="auto"/>
          <w:sz w:val="28"/>
          <w:szCs w:val="28"/>
          <w:highlight w:val="none"/>
        </w:rPr>
      </w:pPr>
    </w:p>
    <w:p>
      <w:pPr>
        <w:pStyle w:val="10"/>
        <w:spacing w:beforeAutospacing="0" w:afterAutospacing="0" w:line="460" w:lineRule="atLeast"/>
        <w:jc w:val="center"/>
        <w:rPr>
          <w:b/>
          <w:bCs/>
          <w:color w:val="auto"/>
          <w:sz w:val="28"/>
          <w:szCs w:val="28"/>
          <w:highlight w:val="none"/>
        </w:rPr>
      </w:pPr>
    </w:p>
    <w:p>
      <w:pPr>
        <w:pStyle w:val="10"/>
        <w:spacing w:beforeAutospacing="0" w:afterAutospacing="0" w:line="460" w:lineRule="atLeast"/>
        <w:jc w:val="center"/>
        <w:rPr>
          <w:b/>
          <w:bCs/>
          <w:color w:val="auto"/>
          <w:sz w:val="28"/>
          <w:szCs w:val="28"/>
          <w:highlight w:val="none"/>
        </w:rPr>
      </w:pPr>
    </w:p>
    <w:p>
      <w:pPr>
        <w:pStyle w:val="10"/>
        <w:spacing w:beforeAutospacing="0" w:afterAutospacing="0" w:line="460" w:lineRule="atLeast"/>
        <w:jc w:val="center"/>
        <w:rPr>
          <w:b/>
          <w:bCs/>
          <w:color w:val="auto"/>
          <w:sz w:val="28"/>
          <w:szCs w:val="28"/>
          <w:highlight w:val="none"/>
        </w:rPr>
      </w:pPr>
    </w:p>
    <w:p>
      <w:pPr>
        <w:pStyle w:val="10"/>
        <w:spacing w:beforeAutospacing="0" w:afterAutospacing="0" w:line="460" w:lineRule="atLeast"/>
        <w:jc w:val="center"/>
        <w:rPr>
          <w:b/>
          <w:bCs/>
          <w:color w:val="auto"/>
          <w:sz w:val="28"/>
          <w:szCs w:val="28"/>
          <w:highlight w:val="none"/>
        </w:rPr>
      </w:pPr>
    </w:p>
    <w:p>
      <w:pPr>
        <w:pStyle w:val="10"/>
        <w:spacing w:beforeAutospacing="0" w:afterAutospacing="0" w:line="460" w:lineRule="atLeast"/>
        <w:jc w:val="both"/>
        <w:rPr>
          <w:b/>
          <w:bCs/>
          <w:color w:val="auto"/>
          <w:sz w:val="28"/>
          <w:szCs w:val="28"/>
          <w:highlight w:val="none"/>
        </w:rPr>
      </w:pPr>
    </w:p>
    <w:sectPr>
      <w:headerReference r:id="rId5" w:type="default"/>
      <w:footerReference r:id="rId6" w:type="default"/>
      <w:pgSz w:w="11906" w:h="16838"/>
      <w:pgMar w:top="1417" w:right="1474" w:bottom="1417" w:left="1474" w:header="851" w:footer="62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Lucida Sans Unicode">
    <w:panose1 w:val="020B0602030504020204"/>
    <w:charset w:val="00"/>
    <w:family w:val="swiss"/>
    <w:pitch w:val="default"/>
    <w:sig w:usb0="80001AFF" w:usb1="0000396B" w:usb2="00000000" w:usb3="00000000" w:csb0="200000BF" w:csb1="D7F7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1"/>
      </w:pBdr>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14605</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fill on="f" focussize="0,0"/>
              <v:stroke on="f" weight="0.5pt"/>
              <v:imagedata o:title=""/>
              <o:lock v:ext="edit" aspectratio="f"/>
              <v:textbox inset="0mm,0mm,0mm,0mm" style="mso-fit-shape-to-text:t;">
                <w:txbxContent>
                  <w:p>
                    <w:pPr>
                      <w:pStyle w:val="2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144780" cy="20447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4780" cy="204470"/>
                      </a:xfrm>
                      <a:prstGeom prst="rect">
                        <a:avLst/>
                      </a:prstGeom>
                      <a:noFill/>
                      <a:ln>
                        <a:noFill/>
                      </a:ln>
                    </wps:spPr>
                    <wps:txbx>
                      <w:txbxContent>
                        <w:p>
                          <w:pPr>
                            <w:pStyle w:val="22"/>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wps:txbx>
                    <wps:bodyPr lIns="0" tIns="0" rIns="0" bIns="0" upright="1"/>
                  </wps:wsp>
                </a:graphicData>
              </a:graphic>
            </wp:anchor>
          </w:drawing>
        </mc:Choice>
        <mc:Fallback>
          <w:pict>
            <v:shape id="文本框 1026" o:spid="_x0000_s1026"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fill on="f" focussize="0,0"/>
              <v:stroke on="f"/>
              <v:imagedata o:title=""/>
              <o:lock v:ext="edit" aspectratio="f"/>
              <v:textbox inset="0mm,0mm,0mm,0mm">
                <w:txbxContent>
                  <w:p>
                    <w:pPr>
                      <w:pStyle w:val="22"/>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v:textbox>
            </v:shape>
          </w:pict>
        </mc:Fallback>
      </mc:AlternateContent>
    </w:r>
    <w:r>
      <w:rPr>
        <w:rFonts w:hint="eastAsia"/>
      </w:rPr>
      <w:t xml:space="preserve">        </w:t>
    </w:r>
  </w:p>
  <w:p>
    <w:pPr>
      <w:pStyle w:val="2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rPr>
        <w:rFonts w:hint="eastAsia" w:ascii="宋体" w:hAnsi="宋体" w:cs="宋体"/>
        <w:color w:val="auto"/>
        <w:szCs w:val="21"/>
        <w:highlight w:val="none"/>
        <w:shd w:val="clear" w:color="auto" w:fill="FFFFFF"/>
        <w:lang w:val="en-US" w:eastAsia="zh-CN"/>
      </w:rPr>
      <w:t>驻马店市中心医院四号楼广场景观设计项目</w:t>
    </w:r>
    <w:r>
      <w:rPr>
        <w:rFonts w:hint="eastAsia" w:ascii="宋体" w:hAnsi="宋体" w:cs="宋体"/>
        <w:color w:val="auto"/>
        <w:szCs w:val="21"/>
        <w:highlight w:val="none"/>
        <w:u w:val="none"/>
        <w:shd w:val="clear" w:color="auto" w:fill="FFFFFF"/>
        <w:lang w:val="en-US" w:eastAsia="zh-CN"/>
      </w:rPr>
      <w:t>采购</w:t>
    </w:r>
    <w:r>
      <w:rPr>
        <w:rFonts w:hint="eastAsia"/>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rFonts w:hint="eastAsia"/>
      </w:rPr>
    </w:pPr>
    <w:r>
      <w:rPr>
        <w:rFonts w:hint="eastAsia" w:ascii="宋体" w:hAnsi="宋体" w:cs="宋体"/>
        <w:color w:val="auto"/>
        <w:szCs w:val="21"/>
        <w:highlight w:val="none"/>
        <w:shd w:val="clear" w:color="auto" w:fill="FFFFFF"/>
        <w:lang w:val="en-US" w:eastAsia="zh-CN"/>
      </w:rPr>
      <w:t>驻马店市中心医院四号楼广场景观设计项目</w:t>
    </w:r>
    <w:r>
      <w:rPr>
        <w:rFonts w:hint="eastAsia" w:ascii="宋体" w:hAnsi="宋体" w:cs="宋体"/>
        <w:color w:val="auto"/>
        <w:szCs w:val="21"/>
        <w:highlight w:val="none"/>
        <w:u w:val="none"/>
        <w:shd w:val="clear" w:color="auto" w:fill="FFFFFF"/>
        <w:lang w:val="en-US" w:eastAsia="zh-CN"/>
      </w:rPr>
      <w:t>采购</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C3247B"/>
    <w:multiLevelType w:val="singleLevel"/>
    <w:tmpl w:val="93C3247B"/>
    <w:lvl w:ilvl="0" w:tentative="0">
      <w:start w:val="2"/>
      <w:numFmt w:val="decimal"/>
      <w:suff w:val="space"/>
      <w:lvlText w:val="%1."/>
      <w:lvlJc w:val="left"/>
    </w:lvl>
  </w:abstractNum>
  <w:abstractNum w:abstractNumId="1">
    <w:nsid w:val="E8A954FB"/>
    <w:multiLevelType w:val="singleLevel"/>
    <w:tmpl w:val="E8A954FB"/>
    <w:lvl w:ilvl="0" w:tentative="0">
      <w:start w:val="1"/>
      <w:numFmt w:val="decimal"/>
      <w:suff w:val="nothing"/>
      <w:lvlText w:val="%1、"/>
      <w:lvlJc w:val="left"/>
    </w:lvl>
  </w:abstractNum>
  <w:abstractNum w:abstractNumId="2">
    <w:nsid w:val="59B6410A"/>
    <w:multiLevelType w:val="singleLevel"/>
    <w:tmpl w:val="59B6410A"/>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wMjRmYTY4OTJhZjc1NTA1MGQwNDc0NzZhNTkwMmUifQ=="/>
  </w:docVars>
  <w:rsids>
    <w:rsidRoot w:val="00172A27"/>
    <w:rsid w:val="00000E51"/>
    <w:rsid w:val="00003688"/>
    <w:rsid w:val="000036EC"/>
    <w:rsid w:val="00012F90"/>
    <w:rsid w:val="000165C3"/>
    <w:rsid w:val="00017230"/>
    <w:rsid w:val="00020C53"/>
    <w:rsid w:val="00021C37"/>
    <w:rsid w:val="00022E51"/>
    <w:rsid w:val="00024627"/>
    <w:rsid w:val="000262D7"/>
    <w:rsid w:val="0002667F"/>
    <w:rsid w:val="000272B2"/>
    <w:rsid w:val="00031431"/>
    <w:rsid w:val="00034F10"/>
    <w:rsid w:val="00035692"/>
    <w:rsid w:val="00036275"/>
    <w:rsid w:val="00037EC8"/>
    <w:rsid w:val="00040F14"/>
    <w:rsid w:val="0004437B"/>
    <w:rsid w:val="000521E5"/>
    <w:rsid w:val="00054740"/>
    <w:rsid w:val="00055707"/>
    <w:rsid w:val="0005650A"/>
    <w:rsid w:val="00057843"/>
    <w:rsid w:val="00061862"/>
    <w:rsid w:val="00064977"/>
    <w:rsid w:val="00065EFE"/>
    <w:rsid w:val="000678CF"/>
    <w:rsid w:val="00067EA4"/>
    <w:rsid w:val="000757DD"/>
    <w:rsid w:val="000771AB"/>
    <w:rsid w:val="000828BF"/>
    <w:rsid w:val="0008472B"/>
    <w:rsid w:val="00085F92"/>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6B87"/>
    <w:rsid w:val="000E6D3C"/>
    <w:rsid w:val="000F035B"/>
    <w:rsid w:val="000F2100"/>
    <w:rsid w:val="000F685E"/>
    <w:rsid w:val="00104521"/>
    <w:rsid w:val="00110444"/>
    <w:rsid w:val="0011253B"/>
    <w:rsid w:val="001139C0"/>
    <w:rsid w:val="0011452C"/>
    <w:rsid w:val="00121774"/>
    <w:rsid w:val="00122AE5"/>
    <w:rsid w:val="00127E77"/>
    <w:rsid w:val="0013574E"/>
    <w:rsid w:val="00141C52"/>
    <w:rsid w:val="00145792"/>
    <w:rsid w:val="00147FC2"/>
    <w:rsid w:val="00151D92"/>
    <w:rsid w:val="00153449"/>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618D"/>
    <w:rsid w:val="002476D8"/>
    <w:rsid w:val="002727E2"/>
    <w:rsid w:val="00275597"/>
    <w:rsid w:val="002818DD"/>
    <w:rsid w:val="00281F28"/>
    <w:rsid w:val="00286921"/>
    <w:rsid w:val="0028704B"/>
    <w:rsid w:val="002912E9"/>
    <w:rsid w:val="00297DDD"/>
    <w:rsid w:val="002A6EF5"/>
    <w:rsid w:val="002B0A49"/>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21BAA"/>
    <w:rsid w:val="003251B4"/>
    <w:rsid w:val="00333A21"/>
    <w:rsid w:val="00333A29"/>
    <w:rsid w:val="0034106D"/>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F0462"/>
    <w:rsid w:val="00503E97"/>
    <w:rsid w:val="005068C0"/>
    <w:rsid w:val="00512A1F"/>
    <w:rsid w:val="005226EE"/>
    <w:rsid w:val="00524147"/>
    <w:rsid w:val="00525D5A"/>
    <w:rsid w:val="0052705E"/>
    <w:rsid w:val="00527303"/>
    <w:rsid w:val="00531A15"/>
    <w:rsid w:val="00536761"/>
    <w:rsid w:val="00543694"/>
    <w:rsid w:val="00545EBC"/>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3362A"/>
    <w:rsid w:val="00734E23"/>
    <w:rsid w:val="007361D9"/>
    <w:rsid w:val="00742A39"/>
    <w:rsid w:val="007442BF"/>
    <w:rsid w:val="007451B7"/>
    <w:rsid w:val="007454DB"/>
    <w:rsid w:val="007477B9"/>
    <w:rsid w:val="00752D80"/>
    <w:rsid w:val="007539E6"/>
    <w:rsid w:val="00753B1A"/>
    <w:rsid w:val="0075506B"/>
    <w:rsid w:val="00756A8B"/>
    <w:rsid w:val="007635C6"/>
    <w:rsid w:val="00766B59"/>
    <w:rsid w:val="0076783A"/>
    <w:rsid w:val="00770296"/>
    <w:rsid w:val="0077380E"/>
    <w:rsid w:val="00776A44"/>
    <w:rsid w:val="007819D5"/>
    <w:rsid w:val="00784D17"/>
    <w:rsid w:val="007855DC"/>
    <w:rsid w:val="00791C0A"/>
    <w:rsid w:val="007A1ABC"/>
    <w:rsid w:val="007A1BDB"/>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7054"/>
    <w:rsid w:val="00947CF0"/>
    <w:rsid w:val="0095275E"/>
    <w:rsid w:val="00952958"/>
    <w:rsid w:val="0096169A"/>
    <w:rsid w:val="009616B6"/>
    <w:rsid w:val="00961C05"/>
    <w:rsid w:val="009659CB"/>
    <w:rsid w:val="00966ECA"/>
    <w:rsid w:val="00967B87"/>
    <w:rsid w:val="009717CE"/>
    <w:rsid w:val="00975858"/>
    <w:rsid w:val="009808B9"/>
    <w:rsid w:val="00980E18"/>
    <w:rsid w:val="009814D9"/>
    <w:rsid w:val="00990484"/>
    <w:rsid w:val="00991ADF"/>
    <w:rsid w:val="009923FC"/>
    <w:rsid w:val="00997337"/>
    <w:rsid w:val="009A0964"/>
    <w:rsid w:val="009A0F72"/>
    <w:rsid w:val="009A25B4"/>
    <w:rsid w:val="009A541B"/>
    <w:rsid w:val="009B2766"/>
    <w:rsid w:val="009B41D3"/>
    <w:rsid w:val="009B46DB"/>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F62"/>
    <w:rsid w:val="00AD46D9"/>
    <w:rsid w:val="00AE1276"/>
    <w:rsid w:val="00AE2BC8"/>
    <w:rsid w:val="00AE3879"/>
    <w:rsid w:val="00AE5FE2"/>
    <w:rsid w:val="00AF08ED"/>
    <w:rsid w:val="00AF1F03"/>
    <w:rsid w:val="00AF2487"/>
    <w:rsid w:val="00AF3539"/>
    <w:rsid w:val="00AF6523"/>
    <w:rsid w:val="00B0113C"/>
    <w:rsid w:val="00B02F21"/>
    <w:rsid w:val="00B070F9"/>
    <w:rsid w:val="00B1080F"/>
    <w:rsid w:val="00B112C5"/>
    <w:rsid w:val="00B13637"/>
    <w:rsid w:val="00B139FD"/>
    <w:rsid w:val="00B211B8"/>
    <w:rsid w:val="00B2500C"/>
    <w:rsid w:val="00B2561A"/>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4F14"/>
    <w:rsid w:val="00CD5D67"/>
    <w:rsid w:val="00CD684B"/>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44FD"/>
    <w:rsid w:val="00D73DB3"/>
    <w:rsid w:val="00D7434F"/>
    <w:rsid w:val="00D74FBF"/>
    <w:rsid w:val="00D75153"/>
    <w:rsid w:val="00D836FD"/>
    <w:rsid w:val="00D908DF"/>
    <w:rsid w:val="00D91BFF"/>
    <w:rsid w:val="00D92E03"/>
    <w:rsid w:val="00D955C8"/>
    <w:rsid w:val="00D95A7C"/>
    <w:rsid w:val="00D97115"/>
    <w:rsid w:val="00DA47D9"/>
    <w:rsid w:val="00DA61DA"/>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61C5"/>
    <w:rsid w:val="00E66369"/>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517A"/>
    <w:rsid w:val="00EC7303"/>
    <w:rsid w:val="00EC7A5B"/>
    <w:rsid w:val="00ED4C1C"/>
    <w:rsid w:val="00ED53C6"/>
    <w:rsid w:val="00ED6DDC"/>
    <w:rsid w:val="00EE587A"/>
    <w:rsid w:val="00EE76CE"/>
    <w:rsid w:val="00EE7F59"/>
    <w:rsid w:val="00EF1189"/>
    <w:rsid w:val="00EF217F"/>
    <w:rsid w:val="00F10A0C"/>
    <w:rsid w:val="00F12C86"/>
    <w:rsid w:val="00F13026"/>
    <w:rsid w:val="00F202C7"/>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C15"/>
    <w:rsid w:val="00FC3F1B"/>
    <w:rsid w:val="00FC530A"/>
    <w:rsid w:val="00FC6C54"/>
    <w:rsid w:val="00FD0800"/>
    <w:rsid w:val="00FD364A"/>
    <w:rsid w:val="00FD5205"/>
    <w:rsid w:val="00FD5661"/>
    <w:rsid w:val="00FD58CB"/>
    <w:rsid w:val="00FE2A9D"/>
    <w:rsid w:val="00FE673C"/>
    <w:rsid w:val="00FF1AC1"/>
    <w:rsid w:val="00FF2866"/>
    <w:rsid w:val="00FF3BCD"/>
    <w:rsid w:val="00FF5B28"/>
    <w:rsid w:val="00FF7C18"/>
    <w:rsid w:val="01076050"/>
    <w:rsid w:val="010C3DC8"/>
    <w:rsid w:val="01525212"/>
    <w:rsid w:val="01564054"/>
    <w:rsid w:val="017E6D95"/>
    <w:rsid w:val="01D715BE"/>
    <w:rsid w:val="01EB45BC"/>
    <w:rsid w:val="01FA63A5"/>
    <w:rsid w:val="02011C7D"/>
    <w:rsid w:val="02035523"/>
    <w:rsid w:val="021C6E40"/>
    <w:rsid w:val="02222FF2"/>
    <w:rsid w:val="02384FF4"/>
    <w:rsid w:val="023F67A9"/>
    <w:rsid w:val="025235B1"/>
    <w:rsid w:val="0262674D"/>
    <w:rsid w:val="02747B01"/>
    <w:rsid w:val="02890D36"/>
    <w:rsid w:val="02D92EF7"/>
    <w:rsid w:val="02DA4665"/>
    <w:rsid w:val="02F40325"/>
    <w:rsid w:val="031126C4"/>
    <w:rsid w:val="036A009A"/>
    <w:rsid w:val="03844805"/>
    <w:rsid w:val="03845791"/>
    <w:rsid w:val="03A011E9"/>
    <w:rsid w:val="03AE7F27"/>
    <w:rsid w:val="03BD2BCD"/>
    <w:rsid w:val="03CC058D"/>
    <w:rsid w:val="03E017D2"/>
    <w:rsid w:val="04416C20"/>
    <w:rsid w:val="047968B1"/>
    <w:rsid w:val="04870542"/>
    <w:rsid w:val="054C0111"/>
    <w:rsid w:val="05545DD3"/>
    <w:rsid w:val="056E2AD6"/>
    <w:rsid w:val="05806815"/>
    <w:rsid w:val="058251D3"/>
    <w:rsid w:val="05945CCE"/>
    <w:rsid w:val="059D05A4"/>
    <w:rsid w:val="059D5E17"/>
    <w:rsid w:val="05AB0A28"/>
    <w:rsid w:val="05AB0F81"/>
    <w:rsid w:val="05B93D6B"/>
    <w:rsid w:val="05D53002"/>
    <w:rsid w:val="05D75738"/>
    <w:rsid w:val="06177050"/>
    <w:rsid w:val="061E7D14"/>
    <w:rsid w:val="06560AED"/>
    <w:rsid w:val="066469C9"/>
    <w:rsid w:val="066646A1"/>
    <w:rsid w:val="06983B20"/>
    <w:rsid w:val="069A3B66"/>
    <w:rsid w:val="06B31420"/>
    <w:rsid w:val="06B91765"/>
    <w:rsid w:val="06CA2AD2"/>
    <w:rsid w:val="06CE3071"/>
    <w:rsid w:val="06D33DBA"/>
    <w:rsid w:val="06E13F9F"/>
    <w:rsid w:val="06FB0AC5"/>
    <w:rsid w:val="070D2D5D"/>
    <w:rsid w:val="07111B8D"/>
    <w:rsid w:val="074A5B92"/>
    <w:rsid w:val="075D0147"/>
    <w:rsid w:val="075E3193"/>
    <w:rsid w:val="078E18EB"/>
    <w:rsid w:val="07B10EA5"/>
    <w:rsid w:val="07CE3FA1"/>
    <w:rsid w:val="07EC2ECB"/>
    <w:rsid w:val="07FE66CB"/>
    <w:rsid w:val="080B4D47"/>
    <w:rsid w:val="08321601"/>
    <w:rsid w:val="083D5C91"/>
    <w:rsid w:val="0847191F"/>
    <w:rsid w:val="08591DC3"/>
    <w:rsid w:val="087C4541"/>
    <w:rsid w:val="087E5595"/>
    <w:rsid w:val="08C52D6F"/>
    <w:rsid w:val="08EF0201"/>
    <w:rsid w:val="08F41DE8"/>
    <w:rsid w:val="09737462"/>
    <w:rsid w:val="099156C3"/>
    <w:rsid w:val="09A53F39"/>
    <w:rsid w:val="09A60E13"/>
    <w:rsid w:val="09AB2883"/>
    <w:rsid w:val="09D206F0"/>
    <w:rsid w:val="0A321AC2"/>
    <w:rsid w:val="0A343D4E"/>
    <w:rsid w:val="0A3E6D2E"/>
    <w:rsid w:val="0A8455AD"/>
    <w:rsid w:val="0AB359AE"/>
    <w:rsid w:val="0AD13A85"/>
    <w:rsid w:val="0B091954"/>
    <w:rsid w:val="0B637D77"/>
    <w:rsid w:val="0B7006C4"/>
    <w:rsid w:val="0BAC324F"/>
    <w:rsid w:val="0BC11EE9"/>
    <w:rsid w:val="0BF16C73"/>
    <w:rsid w:val="0BF72F1E"/>
    <w:rsid w:val="0C3152C1"/>
    <w:rsid w:val="0C3957A5"/>
    <w:rsid w:val="0C626DA7"/>
    <w:rsid w:val="0C6876AE"/>
    <w:rsid w:val="0C71390F"/>
    <w:rsid w:val="0C720EC8"/>
    <w:rsid w:val="0C942042"/>
    <w:rsid w:val="0C9D50DC"/>
    <w:rsid w:val="0CA5271D"/>
    <w:rsid w:val="0CAC4D10"/>
    <w:rsid w:val="0CC72121"/>
    <w:rsid w:val="0CEE5A21"/>
    <w:rsid w:val="0D05268E"/>
    <w:rsid w:val="0D0646E7"/>
    <w:rsid w:val="0D0C38CA"/>
    <w:rsid w:val="0DC577E0"/>
    <w:rsid w:val="0DDC6319"/>
    <w:rsid w:val="0E0C0D4C"/>
    <w:rsid w:val="0E115DA1"/>
    <w:rsid w:val="0E162D6D"/>
    <w:rsid w:val="0E541CA2"/>
    <w:rsid w:val="0E594756"/>
    <w:rsid w:val="0E95596D"/>
    <w:rsid w:val="0EAE6205"/>
    <w:rsid w:val="0EAE6579"/>
    <w:rsid w:val="0EAF71BF"/>
    <w:rsid w:val="0ECE6257"/>
    <w:rsid w:val="0EE4129D"/>
    <w:rsid w:val="0F171032"/>
    <w:rsid w:val="0F335E69"/>
    <w:rsid w:val="0F372614"/>
    <w:rsid w:val="0F3D59C9"/>
    <w:rsid w:val="0F516D5A"/>
    <w:rsid w:val="0F565B36"/>
    <w:rsid w:val="0F821E7D"/>
    <w:rsid w:val="0FCA42ED"/>
    <w:rsid w:val="0FE7592C"/>
    <w:rsid w:val="0FFD20F0"/>
    <w:rsid w:val="103E6E57"/>
    <w:rsid w:val="1041497B"/>
    <w:rsid w:val="10425FF6"/>
    <w:rsid w:val="106612B1"/>
    <w:rsid w:val="109010E6"/>
    <w:rsid w:val="10B271F4"/>
    <w:rsid w:val="10B537CC"/>
    <w:rsid w:val="10C8275C"/>
    <w:rsid w:val="10C86D3B"/>
    <w:rsid w:val="10E03539"/>
    <w:rsid w:val="10E82D1F"/>
    <w:rsid w:val="10EE5C94"/>
    <w:rsid w:val="10F5757C"/>
    <w:rsid w:val="113329E7"/>
    <w:rsid w:val="113F294C"/>
    <w:rsid w:val="11437C85"/>
    <w:rsid w:val="1166372C"/>
    <w:rsid w:val="11700D10"/>
    <w:rsid w:val="1178125A"/>
    <w:rsid w:val="118441E0"/>
    <w:rsid w:val="1196056D"/>
    <w:rsid w:val="11D34654"/>
    <w:rsid w:val="12010480"/>
    <w:rsid w:val="120E707F"/>
    <w:rsid w:val="121D0051"/>
    <w:rsid w:val="12413D84"/>
    <w:rsid w:val="127A7D1C"/>
    <w:rsid w:val="12836D8B"/>
    <w:rsid w:val="12AB0349"/>
    <w:rsid w:val="12CD57F1"/>
    <w:rsid w:val="12CE7AFA"/>
    <w:rsid w:val="12D67466"/>
    <w:rsid w:val="13272A5D"/>
    <w:rsid w:val="13493108"/>
    <w:rsid w:val="13733928"/>
    <w:rsid w:val="13920D68"/>
    <w:rsid w:val="139C16C9"/>
    <w:rsid w:val="13B63CE1"/>
    <w:rsid w:val="13BC6684"/>
    <w:rsid w:val="13C72B3A"/>
    <w:rsid w:val="13DF575E"/>
    <w:rsid w:val="13E470BD"/>
    <w:rsid w:val="13EE3A98"/>
    <w:rsid w:val="142123F7"/>
    <w:rsid w:val="142A11D8"/>
    <w:rsid w:val="144B544C"/>
    <w:rsid w:val="145B7B45"/>
    <w:rsid w:val="14717443"/>
    <w:rsid w:val="148D52E3"/>
    <w:rsid w:val="14992B90"/>
    <w:rsid w:val="14AF1856"/>
    <w:rsid w:val="14AF19A3"/>
    <w:rsid w:val="14B53957"/>
    <w:rsid w:val="14C53ECE"/>
    <w:rsid w:val="14CF6CB0"/>
    <w:rsid w:val="14E002E6"/>
    <w:rsid w:val="14FC36BD"/>
    <w:rsid w:val="14FF5EA7"/>
    <w:rsid w:val="151E3A0F"/>
    <w:rsid w:val="15477903"/>
    <w:rsid w:val="1557566D"/>
    <w:rsid w:val="15811F1B"/>
    <w:rsid w:val="15A30135"/>
    <w:rsid w:val="15A34015"/>
    <w:rsid w:val="15BB487B"/>
    <w:rsid w:val="15CE086D"/>
    <w:rsid w:val="15E2236F"/>
    <w:rsid w:val="15E356A4"/>
    <w:rsid w:val="161D09ED"/>
    <w:rsid w:val="162323A3"/>
    <w:rsid w:val="162F30B1"/>
    <w:rsid w:val="16510F12"/>
    <w:rsid w:val="166448F9"/>
    <w:rsid w:val="1677211D"/>
    <w:rsid w:val="167954F9"/>
    <w:rsid w:val="169F7296"/>
    <w:rsid w:val="16A060BA"/>
    <w:rsid w:val="16A57EAF"/>
    <w:rsid w:val="16AC6E3F"/>
    <w:rsid w:val="16C872D5"/>
    <w:rsid w:val="16D54FA3"/>
    <w:rsid w:val="16D84D9F"/>
    <w:rsid w:val="16E94D3E"/>
    <w:rsid w:val="170D06E0"/>
    <w:rsid w:val="17332185"/>
    <w:rsid w:val="17475951"/>
    <w:rsid w:val="179F2E61"/>
    <w:rsid w:val="17C227C0"/>
    <w:rsid w:val="17EE5BFF"/>
    <w:rsid w:val="18097740"/>
    <w:rsid w:val="185D3C42"/>
    <w:rsid w:val="185F38AF"/>
    <w:rsid w:val="18AD1BEB"/>
    <w:rsid w:val="18B3004A"/>
    <w:rsid w:val="18B96080"/>
    <w:rsid w:val="18F67868"/>
    <w:rsid w:val="190B2D88"/>
    <w:rsid w:val="190E6B63"/>
    <w:rsid w:val="19123928"/>
    <w:rsid w:val="19194264"/>
    <w:rsid w:val="19420786"/>
    <w:rsid w:val="19427EC0"/>
    <w:rsid w:val="195711D7"/>
    <w:rsid w:val="195D2A3F"/>
    <w:rsid w:val="198310E9"/>
    <w:rsid w:val="198D747A"/>
    <w:rsid w:val="19A15638"/>
    <w:rsid w:val="1A125525"/>
    <w:rsid w:val="1A5F4342"/>
    <w:rsid w:val="1A616E2C"/>
    <w:rsid w:val="1A8C5D82"/>
    <w:rsid w:val="1A994988"/>
    <w:rsid w:val="1A9B546C"/>
    <w:rsid w:val="1AA3511F"/>
    <w:rsid w:val="1AAE3B54"/>
    <w:rsid w:val="1AC10987"/>
    <w:rsid w:val="1AF423FA"/>
    <w:rsid w:val="1B0C5B32"/>
    <w:rsid w:val="1B0D3E82"/>
    <w:rsid w:val="1B1652AB"/>
    <w:rsid w:val="1B181CD5"/>
    <w:rsid w:val="1B265306"/>
    <w:rsid w:val="1B4F2450"/>
    <w:rsid w:val="1B530868"/>
    <w:rsid w:val="1B8C18B7"/>
    <w:rsid w:val="1BB73AE1"/>
    <w:rsid w:val="1BDA6D68"/>
    <w:rsid w:val="1BF14125"/>
    <w:rsid w:val="1C555978"/>
    <w:rsid w:val="1C6554A1"/>
    <w:rsid w:val="1C7971B7"/>
    <w:rsid w:val="1C917D91"/>
    <w:rsid w:val="1CD402EC"/>
    <w:rsid w:val="1CED16EF"/>
    <w:rsid w:val="1CF02333"/>
    <w:rsid w:val="1D0C33A2"/>
    <w:rsid w:val="1D113E6E"/>
    <w:rsid w:val="1D114E5E"/>
    <w:rsid w:val="1D1F0050"/>
    <w:rsid w:val="1D2222DC"/>
    <w:rsid w:val="1D5B3CDE"/>
    <w:rsid w:val="1D6E2950"/>
    <w:rsid w:val="1D98209B"/>
    <w:rsid w:val="1DA23746"/>
    <w:rsid w:val="1DAA14B9"/>
    <w:rsid w:val="1DD04513"/>
    <w:rsid w:val="1E0345E3"/>
    <w:rsid w:val="1E656063"/>
    <w:rsid w:val="1E6B06A5"/>
    <w:rsid w:val="1E7F7D9E"/>
    <w:rsid w:val="1E840DA4"/>
    <w:rsid w:val="1EA5444C"/>
    <w:rsid w:val="1EB350EF"/>
    <w:rsid w:val="1EC21749"/>
    <w:rsid w:val="1EEB7C4E"/>
    <w:rsid w:val="1F072441"/>
    <w:rsid w:val="1F171B83"/>
    <w:rsid w:val="1F2D491A"/>
    <w:rsid w:val="1F7369C7"/>
    <w:rsid w:val="1F94547B"/>
    <w:rsid w:val="1FAF308C"/>
    <w:rsid w:val="1FC11109"/>
    <w:rsid w:val="1FEF08C8"/>
    <w:rsid w:val="1FF72E6A"/>
    <w:rsid w:val="201B3ED4"/>
    <w:rsid w:val="20310B02"/>
    <w:rsid w:val="206F0406"/>
    <w:rsid w:val="20784063"/>
    <w:rsid w:val="207E346A"/>
    <w:rsid w:val="208E12C3"/>
    <w:rsid w:val="209502A3"/>
    <w:rsid w:val="210F579E"/>
    <w:rsid w:val="212550B5"/>
    <w:rsid w:val="21592B62"/>
    <w:rsid w:val="21747CD2"/>
    <w:rsid w:val="219263AA"/>
    <w:rsid w:val="219E5782"/>
    <w:rsid w:val="21E72B0B"/>
    <w:rsid w:val="221F2D96"/>
    <w:rsid w:val="22246DB1"/>
    <w:rsid w:val="22440067"/>
    <w:rsid w:val="225A6017"/>
    <w:rsid w:val="227A5532"/>
    <w:rsid w:val="22843A03"/>
    <w:rsid w:val="228E5C2C"/>
    <w:rsid w:val="22A338AB"/>
    <w:rsid w:val="22AD37A2"/>
    <w:rsid w:val="22B31E8A"/>
    <w:rsid w:val="22C05285"/>
    <w:rsid w:val="22C735BD"/>
    <w:rsid w:val="22F06957"/>
    <w:rsid w:val="23122833"/>
    <w:rsid w:val="231D4917"/>
    <w:rsid w:val="23223458"/>
    <w:rsid w:val="23225D32"/>
    <w:rsid w:val="23357BE6"/>
    <w:rsid w:val="2342574E"/>
    <w:rsid w:val="2377331D"/>
    <w:rsid w:val="237D43DE"/>
    <w:rsid w:val="23940114"/>
    <w:rsid w:val="23B57016"/>
    <w:rsid w:val="23D4764B"/>
    <w:rsid w:val="23EC3718"/>
    <w:rsid w:val="24044EF2"/>
    <w:rsid w:val="2407139D"/>
    <w:rsid w:val="240B04F4"/>
    <w:rsid w:val="242A0646"/>
    <w:rsid w:val="2435301D"/>
    <w:rsid w:val="243D6E1A"/>
    <w:rsid w:val="24607F91"/>
    <w:rsid w:val="246C581B"/>
    <w:rsid w:val="247C52A2"/>
    <w:rsid w:val="24CC106B"/>
    <w:rsid w:val="24D00598"/>
    <w:rsid w:val="24D725E9"/>
    <w:rsid w:val="25045F70"/>
    <w:rsid w:val="250474F1"/>
    <w:rsid w:val="25056E93"/>
    <w:rsid w:val="25092EBA"/>
    <w:rsid w:val="25241020"/>
    <w:rsid w:val="257572C3"/>
    <w:rsid w:val="25790E85"/>
    <w:rsid w:val="25972C60"/>
    <w:rsid w:val="259D1676"/>
    <w:rsid w:val="25A353EB"/>
    <w:rsid w:val="25B87B65"/>
    <w:rsid w:val="25CB78C3"/>
    <w:rsid w:val="25D54390"/>
    <w:rsid w:val="25ED1AB1"/>
    <w:rsid w:val="261879A7"/>
    <w:rsid w:val="261A071C"/>
    <w:rsid w:val="264B0BA4"/>
    <w:rsid w:val="268C5256"/>
    <w:rsid w:val="268E455B"/>
    <w:rsid w:val="26912B30"/>
    <w:rsid w:val="269772F0"/>
    <w:rsid w:val="26A30712"/>
    <w:rsid w:val="26AC0C27"/>
    <w:rsid w:val="26C807A6"/>
    <w:rsid w:val="26DB67BA"/>
    <w:rsid w:val="26E311CD"/>
    <w:rsid w:val="26EF24ED"/>
    <w:rsid w:val="26F1408A"/>
    <w:rsid w:val="26F96584"/>
    <w:rsid w:val="27015370"/>
    <w:rsid w:val="270B421F"/>
    <w:rsid w:val="274E2228"/>
    <w:rsid w:val="27517A93"/>
    <w:rsid w:val="275E53AF"/>
    <w:rsid w:val="276658E8"/>
    <w:rsid w:val="277E30D2"/>
    <w:rsid w:val="27803F2A"/>
    <w:rsid w:val="27A34941"/>
    <w:rsid w:val="27EE3A7B"/>
    <w:rsid w:val="283C23DF"/>
    <w:rsid w:val="283D69F1"/>
    <w:rsid w:val="284C16F5"/>
    <w:rsid w:val="28570AB5"/>
    <w:rsid w:val="28C2534B"/>
    <w:rsid w:val="28C5525A"/>
    <w:rsid w:val="28D14B96"/>
    <w:rsid w:val="29020C46"/>
    <w:rsid w:val="290240C7"/>
    <w:rsid w:val="29274EE0"/>
    <w:rsid w:val="2969197F"/>
    <w:rsid w:val="29746E87"/>
    <w:rsid w:val="297C03C2"/>
    <w:rsid w:val="299573AB"/>
    <w:rsid w:val="29BE5BD0"/>
    <w:rsid w:val="29C01572"/>
    <w:rsid w:val="29E74CE2"/>
    <w:rsid w:val="2A306A36"/>
    <w:rsid w:val="2A5372C6"/>
    <w:rsid w:val="2A5B03D8"/>
    <w:rsid w:val="2A6F6D07"/>
    <w:rsid w:val="2A882500"/>
    <w:rsid w:val="2AB63ABC"/>
    <w:rsid w:val="2B003D00"/>
    <w:rsid w:val="2B074D5E"/>
    <w:rsid w:val="2B100BA9"/>
    <w:rsid w:val="2B1B5825"/>
    <w:rsid w:val="2B1E3AFC"/>
    <w:rsid w:val="2B8D373E"/>
    <w:rsid w:val="2B9E4F56"/>
    <w:rsid w:val="2BDB5A88"/>
    <w:rsid w:val="2BE91C37"/>
    <w:rsid w:val="2BEC3F72"/>
    <w:rsid w:val="2C083572"/>
    <w:rsid w:val="2C185F94"/>
    <w:rsid w:val="2C1F1AC4"/>
    <w:rsid w:val="2C3F3A41"/>
    <w:rsid w:val="2C4431C4"/>
    <w:rsid w:val="2C62059F"/>
    <w:rsid w:val="2C6634FA"/>
    <w:rsid w:val="2CAC022C"/>
    <w:rsid w:val="2CC11807"/>
    <w:rsid w:val="2CF16074"/>
    <w:rsid w:val="2CF81D1B"/>
    <w:rsid w:val="2D3F2453"/>
    <w:rsid w:val="2D835174"/>
    <w:rsid w:val="2D9331F9"/>
    <w:rsid w:val="2DD90B7B"/>
    <w:rsid w:val="2DDD3FC1"/>
    <w:rsid w:val="2DF701D8"/>
    <w:rsid w:val="2DF970A1"/>
    <w:rsid w:val="2E085834"/>
    <w:rsid w:val="2E1034F8"/>
    <w:rsid w:val="2E443652"/>
    <w:rsid w:val="2E505773"/>
    <w:rsid w:val="2E742F70"/>
    <w:rsid w:val="2EDC2A13"/>
    <w:rsid w:val="2EFD7DB9"/>
    <w:rsid w:val="2F1A081D"/>
    <w:rsid w:val="2F1E3DC0"/>
    <w:rsid w:val="2F3112DE"/>
    <w:rsid w:val="2F3B6922"/>
    <w:rsid w:val="2F506C6D"/>
    <w:rsid w:val="2F51291F"/>
    <w:rsid w:val="2F55758A"/>
    <w:rsid w:val="2F7F15AE"/>
    <w:rsid w:val="2FA54796"/>
    <w:rsid w:val="2FA674E2"/>
    <w:rsid w:val="2FB25E19"/>
    <w:rsid w:val="2FFE7D49"/>
    <w:rsid w:val="3002294D"/>
    <w:rsid w:val="3011153D"/>
    <w:rsid w:val="30142680"/>
    <w:rsid w:val="302A5C42"/>
    <w:rsid w:val="30B8125D"/>
    <w:rsid w:val="30BF439A"/>
    <w:rsid w:val="30CF6A37"/>
    <w:rsid w:val="30D250CF"/>
    <w:rsid w:val="31002970"/>
    <w:rsid w:val="311016AD"/>
    <w:rsid w:val="3136622A"/>
    <w:rsid w:val="3139422E"/>
    <w:rsid w:val="31496359"/>
    <w:rsid w:val="31700E4B"/>
    <w:rsid w:val="3172683C"/>
    <w:rsid w:val="31A359FC"/>
    <w:rsid w:val="31AD0D61"/>
    <w:rsid w:val="31CD73BD"/>
    <w:rsid w:val="31D66571"/>
    <w:rsid w:val="31DB4220"/>
    <w:rsid w:val="31DC56CD"/>
    <w:rsid w:val="31E63B94"/>
    <w:rsid w:val="31F27AF7"/>
    <w:rsid w:val="32176602"/>
    <w:rsid w:val="322A7699"/>
    <w:rsid w:val="322B25C6"/>
    <w:rsid w:val="32422E70"/>
    <w:rsid w:val="325E56C6"/>
    <w:rsid w:val="3275698A"/>
    <w:rsid w:val="32B943EC"/>
    <w:rsid w:val="32DC63A0"/>
    <w:rsid w:val="32E429C1"/>
    <w:rsid w:val="330503EE"/>
    <w:rsid w:val="334A3B2A"/>
    <w:rsid w:val="3365592E"/>
    <w:rsid w:val="336A31F3"/>
    <w:rsid w:val="336F6533"/>
    <w:rsid w:val="337E5E2F"/>
    <w:rsid w:val="3384610D"/>
    <w:rsid w:val="33AA5979"/>
    <w:rsid w:val="33AF0C0B"/>
    <w:rsid w:val="33C03E90"/>
    <w:rsid w:val="33C96649"/>
    <w:rsid w:val="33CC3D88"/>
    <w:rsid w:val="33DD0306"/>
    <w:rsid w:val="33FD722F"/>
    <w:rsid w:val="3400362D"/>
    <w:rsid w:val="340B09C5"/>
    <w:rsid w:val="341E4CAB"/>
    <w:rsid w:val="34584EE2"/>
    <w:rsid w:val="347D373F"/>
    <w:rsid w:val="348002E4"/>
    <w:rsid w:val="34956481"/>
    <w:rsid w:val="34A35871"/>
    <w:rsid w:val="34C06C9D"/>
    <w:rsid w:val="34DF24AE"/>
    <w:rsid w:val="351C4931"/>
    <w:rsid w:val="351C4EAC"/>
    <w:rsid w:val="351D4C26"/>
    <w:rsid w:val="352E7D40"/>
    <w:rsid w:val="35361A77"/>
    <w:rsid w:val="35461A22"/>
    <w:rsid w:val="35483CC9"/>
    <w:rsid w:val="35A815CB"/>
    <w:rsid w:val="35AA1B9C"/>
    <w:rsid w:val="35DB09A6"/>
    <w:rsid w:val="3609472F"/>
    <w:rsid w:val="369B4CF0"/>
    <w:rsid w:val="36D62629"/>
    <w:rsid w:val="36D76172"/>
    <w:rsid w:val="36E833BB"/>
    <w:rsid w:val="36EB1E1B"/>
    <w:rsid w:val="36F17F0D"/>
    <w:rsid w:val="3735197D"/>
    <w:rsid w:val="373756A2"/>
    <w:rsid w:val="37564896"/>
    <w:rsid w:val="375E0DA6"/>
    <w:rsid w:val="378B61A6"/>
    <w:rsid w:val="37B90F0B"/>
    <w:rsid w:val="37CD3F98"/>
    <w:rsid w:val="37DF75BA"/>
    <w:rsid w:val="37E148E2"/>
    <w:rsid w:val="37F848EE"/>
    <w:rsid w:val="38304889"/>
    <w:rsid w:val="38382675"/>
    <w:rsid w:val="383B7B0D"/>
    <w:rsid w:val="3851700B"/>
    <w:rsid w:val="385246B6"/>
    <w:rsid w:val="38A53DB7"/>
    <w:rsid w:val="38BF3388"/>
    <w:rsid w:val="38CC268D"/>
    <w:rsid w:val="38DF1FDA"/>
    <w:rsid w:val="38EC2960"/>
    <w:rsid w:val="392536E2"/>
    <w:rsid w:val="39465F15"/>
    <w:rsid w:val="396453C5"/>
    <w:rsid w:val="39922CCF"/>
    <w:rsid w:val="39A65327"/>
    <w:rsid w:val="39A65C9B"/>
    <w:rsid w:val="39BC5ED6"/>
    <w:rsid w:val="39EB39E0"/>
    <w:rsid w:val="39EF02D4"/>
    <w:rsid w:val="3A11342A"/>
    <w:rsid w:val="3A153110"/>
    <w:rsid w:val="3A2507C0"/>
    <w:rsid w:val="3A393FA7"/>
    <w:rsid w:val="3A3A5A22"/>
    <w:rsid w:val="3A524858"/>
    <w:rsid w:val="3A64203E"/>
    <w:rsid w:val="3A663D00"/>
    <w:rsid w:val="3A7428D0"/>
    <w:rsid w:val="3A923AE4"/>
    <w:rsid w:val="3AA50E25"/>
    <w:rsid w:val="3AC566E3"/>
    <w:rsid w:val="3AD6747A"/>
    <w:rsid w:val="3B312338"/>
    <w:rsid w:val="3B3D0FF2"/>
    <w:rsid w:val="3B521A18"/>
    <w:rsid w:val="3B923660"/>
    <w:rsid w:val="3BCA44BE"/>
    <w:rsid w:val="3C061F3A"/>
    <w:rsid w:val="3C495480"/>
    <w:rsid w:val="3C6F0167"/>
    <w:rsid w:val="3C71667B"/>
    <w:rsid w:val="3C914F3B"/>
    <w:rsid w:val="3CC17F13"/>
    <w:rsid w:val="3CE320A3"/>
    <w:rsid w:val="3CE9196C"/>
    <w:rsid w:val="3CF15105"/>
    <w:rsid w:val="3D0C04B9"/>
    <w:rsid w:val="3D1414C5"/>
    <w:rsid w:val="3D1C763E"/>
    <w:rsid w:val="3D201AA5"/>
    <w:rsid w:val="3D2B37EA"/>
    <w:rsid w:val="3D2F7FF3"/>
    <w:rsid w:val="3D3D1507"/>
    <w:rsid w:val="3D62085B"/>
    <w:rsid w:val="3D7B4622"/>
    <w:rsid w:val="3D942E29"/>
    <w:rsid w:val="3DA53531"/>
    <w:rsid w:val="3DB54E0C"/>
    <w:rsid w:val="3DB900C1"/>
    <w:rsid w:val="3DE91725"/>
    <w:rsid w:val="3DF159B1"/>
    <w:rsid w:val="3E1A106E"/>
    <w:rsid w:val="3E36303B"/>
    <w:rsid w:val="3E526044"/>
    <w:rsid w:val="3E6C2B3A"/>
    <w:rsid w:val="3E8C5311"/>
    <w:rsid w:val="3E8E7E55"/>
    <w:rsid w:val="3EB61473"/>
    <w:rsid w:val="3F315E6B"/>
    <w:rsid w:val="3F5175E2"/>
    <w:rsid w:val="3F56276A"/>
    <w:rsid w:val="3F6C10E0"/>
    <w:rsid w:val="3F963015"/>
    <w:rsid w:val="3F964D35"/>
    <w:rsid w:val="3FA327ED"/>
    <w:rsid w:val="3FB11738"/>
    <w:rsid w:val="3FB5581B"/>
    <w:rsid w:val="3FC33D05"/>
    <w:rsid w:val="3FF46B18"/>
    <w:rsid w:val="3FF74A2E"/>
    <w:rsid w:val="3FFC36E2"/>
    <w:rsid w:val="4005572D"/>
    <w:rsid w:val="402833BA"/>
    <w:rsid w:val="40283C2B"/>
    <w:rsid w:val="40394FD1"/>
    <w:rsid w:val="40425879"/>
    <w:rsid w:val="405C1C05"/>
    <w:rsid w:val="40765D15"/>
    <w:rsid w:val="407F2DE9"/>
    <w:rsid w:val="40991379"/>
    <w:rsid w:val="409B3C3D"/>
    <w:rsid w:val="40F701DF"/>
    <w:rsid w:val="40FD480A"/>
    <w:rsid w:val="412A32F8"/>
    <w:rsid w:val="417F433E"/>
    <w:rsid w:val="41B7239D"/>
    <w:rsid w:val="41FF3845"/>
    <w:rsid w:val="421104A9"/>
    <w:rsid w:val="42143B88"/>
    <w:rsid w:val="42164586"/>
    <w:rsid w:val="425B5DD1"/>
    <w:rsid w:val="4260300C"/>
    <w:rsid w:val="427C799E"/>
    <w:rsid w:val="42800B9B"/>
    <w:rsid w:val="42A06B6C"/>
    <w:rsid w:val="42A27996"/>
    <w:rsid w:val="42AA04E2"/>
    <w:rsid w:val="42EA5650"/>
    <w:rsid w:val="431408DA"/>
    <w:rsid w:val="4331401E"/>
    <w:rsid w:val="43591DDA"/>
    <w:rsid w:val="435A0DF2"/>
    <w:rsid w:val="436C42E1"/>
    <w:rsid w:val="437C210F"/>
    <w:rsid w:val="43847F02"/>
    <w:rsid w:val="438F113C"/>
    <w:rsid w:val="439E7EFB"/>
    <w:rsid w:val="43B1568A"/>
    <w:rsid w:val="43BD7F58"/>
    <w:rsid w:val="43D43ECA"/>
    <w:rsid w:val="43DD452F"/>
    <w:rsid w:val="43DE6CD4"/>
    <w:rsid w:val="43E51150"/>
    <w:rsid w:val="43EF28BB"/>
    <w:rsid w:val="43EF56D3"/>
    <w:rsid w:val="44095C00"/>
    <w:rsid w:val="440A6FD2"/>
    <w:rsid w:val="444946CA"/>
    <w:rsid w:val="444B3F54"/>
    <w:rsid w:val="4476661F"/>
    <w:rsid w:val="447E3AC5"/>
    <w:rsid w:val="448E5DEE"/>
    <w:rsid w:val="44A90BAA"/>
    <w:rsid w:val="44B24A20"/>
    <w:rsid w:val="44BC0BEE"/>
    <w:rsid w:val="44C55A88"/>
    <w:rsid w:val="44F253B1"/>
    <w:rsid w:val="44FB1C9C"/>
    <w:rsid w:val="454F1836"/>
    <w:rsid w:val="45887B45"/>
    <w:rsid w:val="458B66DF"/>
    <w:rsid w:val="45940F0E"/>
    <w:rsid w:val="45AC5DBA"/>
    <w:rsid w:val="45C647AF"/>
    <w:rsid w:val="45DD529D"/>
    <w:rsid w:val="45E57886"/>
    <w:rsid w:val="46003076"/>
    <w:rsid w:val="46026F63"/>
    <w:rsid w:val="46177E29"/>
    <w:rsid w:val="46205B7F"/>
    <w:rsid w:val="465D501C"/>
    <w:rsid w:val="466367DB"/>
    <w:rsid w:val="46686D18"/>
    <w:rsid w:val="46C3037C"/>
    <w:rsid w:val="46FF15E0"/>
    <w:rsid w:val="4700581C"/>
    <w:rsid w:val="4702516A"/>
    <w:rsid w:val="474A4B33"/>
    <w:rsid w:val="47665A15"/>
    <w:rsid w:val="47677941"/>
    <w:rsid w:val="477F1660"/>
    <w:rsid w:val="4788232A"/>
    <w:rsid w:val="478B0398"/>
    <w:rsid w:val="478F5D0B"/>
    <w:rsid w:val="47B8724E"/>
    <w:rsid w:val="47ED7BCA"/>
    <w:rsid w:val="48016F34"/>
    <w:rsid w:val="480556DB"/>
    <w:rsid w:val="48185C56"/>
    <w:rsid w:val="48450F81"/>
    <w:rsid w:val="484E729D"/>
    <w:rsid w:val="48566773"/>
    <w:rsid w:val="485A23C2"/>
    <w:rsid w:val="48A16B62"/>
    <w:rsid w:val="48BC6222"/>
    <w:rsid w:val="48C245E9"/>
    <w:rsid w:val="48DB312A"/>
    <w:rsid w:val="48DF49D9"/>
    <w:rsid w:val="492108CC"/>
    <w:rsid w:val="49413F52"/>
    <w:rsid w:val="494F6304"/>
    <w:rsid w:val="4A05334F"/>
    <w:rsid w:val="4A244932"/>
    <w:rsid w:val="4A2922C8"/>
    <w:rsid w:val="4A4117B2"/>
    <w:rsid w:val="4A7A4350"/>
    <w:rsid w:val="4A7E2497"/>
    <w:rsid w:val="4A896826"/>
    <w:rsid w:val="4ABF5E17"/>
    <w:rsid w:val="4AE01A66"/>
    <w:rsid w:val="4AE104D6"/>
    <w:rsid w:val="4AED707B"/>
    <w:rsid w:val="4B015D61"/>
    <w:rsid w:val="4B0B7979"/>
    <w:rsid w:val="4B520DF4"/>
    <w:rsid w:val="4B603107"/>
    <w:rsid w:val="4B9802B0"/>
    <w:rsid w:val="4B9E65BE"/>
    <w:rsid w:val="4B9F33A8"/>
    <w:rsid w:val="4BA80AFD"/>
    <w:rsid w:val="4BB033BA"/>
    <w:rsid w:val="4BB469AD"/>
    <w:rsid w:val="4BC06040"/>
    <w:rsid w:val="4BF441D2"/>
    <w:rsid w:val="4C1C2A09"/>
    <w:rsid w:val="4C694192"/>
    <w:rsid w:val="4C7964D9"/>
    <w:rsid w:val="4C9269F6"/>
    <w:rsid w:val="4CC84335"/>
    <w:rsid w:val="4CE9350A"/>
    <w:rsid w:val="4D297BF3"/>
    <w:rsid w:val="4D2D0EAF"/>
    <w:rsid w:val="4D7F0082"/>
    <w:rsid w:val="4D952FD9"/>
    <w:rsid w:val="4D970662"/>
    <w:rsid w:val="4DB33393"/>
    <w:rsid w:val="4DCF1E0D"/>
    <w:rsid w:val="4DD632D9"/>
    <w:rsid w:val="4DE05D9E"/>
    <w:rsid w:val="4DE05DF9"/>
    <w:rsid w:val="4DE44800"/>
    <w:rsid w:val="4DEE0709"/>
    <w:rsid w:val="4DFC14EA"/>
    <w:rsid w:val="4DFF6815"/>
    <w:rsid w:val="4E0A3427"/>
    <w:rsid w:val="4E304B5D"/>
    <w:rsid w:val="4E611B8B"/>
    <w:rsid w:val="4E682F8C"/>
    <w:rsid w:val="4E6A7BB7"/>
    <w:rsid w:val="4F0773B4"/>
    <w:rsid w:val="4F307BB1"/>
    <w:rsid w:val="4F3D562D"/>
    <w:rsid w:val="4F5C4EE0"/>
    <w:rsid w:val="4F6E1972"/>
    <w:rsid w:val="4F943166"/>
    <w:rsid w:val="4FBA02A1"/>
    <w:rsid w:val="4FE7106E"/>
    <w:rsid w:val="50053943"/>
    <w:rsid w:val="50374A3C"/>
    <w:rsid w:val="50550E55"/>
    <w:rsid w:val="509F43E4"/>
    <w:rsid w:val="50A54D3E"/>
    <w:rsid w:val="50F1402B"/>
    <w:rsid w:val="50FD2AD9"/>
    <w:rsid w:val="51097D9A"/>
    <w:rsid w:val="51237D2E"/>
    <w:rsid w:val="515B06D0"/>
    <w:rsid w:val="51996737"/>
    <w:rsid w:val="51B408B8"/>
    <w:rsid w:val="51CC0868"/>
    <w:rsid w:val="51D5340F"/>
    <w:rsid w:val="52382F2A"/>
    <w:rsid w:val="52386E3D"/>
    <w:rsid w:val="523A7DD1"/>
    <w:rsid w:val="523B7711"/>
    <w:rsid w:val="5271774C"/>
    <w:rsid w:val="52DE008D"/>
    <w:rsid w:val="52EE341E"/>
    <w:rsid w:val="52F37FE6"/>
    <w:rsid w:val="52FC1CAF"/>
    <w:rsid w:val="532B6CAF"/>
    <w:rsid w:val="53350D91"/>
    <w:rsid w:val="53412644"/>
    <w:rsid w:val="53433903"/>
    <w:rsid w:val="53517A72"/>
    <w:rsid w:val="5361549D"/>
    <w:rsid w:val="536220DA"/>
    <w:rsid w:val="53650637"/>
    <w:rsid w:val="53757C6B"/>
    <w:rsid w:val="537E1075"/>
    <w:rsid w:val="53A44D07"/>
    <w:rsid w:val="53A46AC8"/>
    <w:rsid w:val="53AB7F1F"/>
    <w:rsid w:val="53AC6F7B"/>
    <w:rsid w:val="53EB297B"/>
    <w:rsid w:val="53EC4BF7"/>
    <w:rsid w:val="53F758A1"/>
    <w:rsid w:val="540D5A7F"/>
    <w:rsid w:val="542E2BC2"/>
    <w:rsid w:val="54352A96"/>
    <w:rsid w:val="54447390"/>
    <w:rsid w:val="545E1D01"/>
    <w:rsid w:val="54935B8F"/>
    <w:rsid w:val="54CC6227"/>
    <w:rsid w:val="54D10F9B"/>
    <w:rsid w:val="54D97871"/>
    <w:rsid w:val="551D586C"/>
    <w:rsid w:val="55200298"/>
    <w:rsid w:val="55335E1B"/>
    <w:rsid w:val="554B7EF0"/>
    <w:rsid w:val="556F3D99"/>
    <w:rsid w:val="55860894"/>
    <w:rsid w:val="558F6181"/>
    <w:rsid w:val="55B02DF1"/>
    <w:rsid w:val="55DC290C"/>
    <w:rsid w:val="55F01FA1"/>
    <w:rsid w:val="56130B60"/>
    <w:rsid w:val="56990B7C"/>
    <w:rsid w:val="569E1126"/>
    <w:rsid w:val="56B80DEB"/>
    <w:rsid w:val="56E0560F"/>
    <w:rsid w:val="56E06E61"/>
    <w:rsid w:val="56F653FE"/>
    <w:rsid w:val="575B7AFD"/>
    <w:rsid w:val="57660D3F"/>
    <w:rsid w:val="57D1153D"/>
    <w:rsid w:val="57FA3774"/>
    <w:rsid w:val="58084A3C"/>
    <w:rsid w:val="582772A7"/>
    <w:rsid w:val="58531B77"/>
    <w:rsid w:val="585D2975"/>
    <w:rsid w:val="585F64F9"/>
    <w:rsid w:val="587E3341"/>
    <w:rsid w:val="58CF56D8"/>
    <w:rsid w:val="58D31010"/>
    <w:rsid w:val="58D6741E"/>
    <w:rsid w:val="58E62E0E"/>
    <w:rsid w:val="58EA3D0E"/>
    <w:rsid w:val="58F71269"/>
    <w:rsid w:val="58FE045E"/>
    <w:rsid w:val="59561946"/>
    <w:rsid w:val="59670F51"/>
    <w:rsid w:val="596A44F9"/>
    <w:rsid w:val="596C19BB"/>
    <w:rsid w:val="59790BDB"/>
    <w:rsid w:val="597E3F42"/>
    <w:rsid w:val="598653AC"/>
    <w:rsid w:val="59AC3C86"/>
    <w:rsid w:val="59D42FDA"/>
    <w:rsid w:val="59DA4E01"/>
    <w:rsid w:val="59F64E82"/>
    <w:rsid w:val="5A10435C"/>
    <w:rsid w:val="5A2654CC"/>
    <w:rsid w:val="5A323A44"/>
    <w:rsid w:val="5A395E66"/>
    <w:rsid w:val="5A484352"/>
    <w:rsid w:val="5A5321A5"/>
    <w:rsid w:val="5A8734AF"/>
    <w:rsid w:val="5A9D3E45"/>
    <w:rsid w:val="5AA4101D"/>
    <w:rsid w:val="5AB17576"/>
    <w:rsid w:val="5ABD68E6"/>
    <w:rsid w:val="5ABF73D2"/>
    <w:rsid w:val="5ACB3D8A"/>
    <w:rsid w:val="5AE1508F"/>
    <w:rsid w:val="5AF80256"/>
    <w:rsid w:val="5B110CC9"/>
    <w:rsid w:val="5B1F7B5D"/>
    <w:rsid w:val="5B585171"/>
    <w:rsid w:val="5B585B78"/>
    <w:rsid w:val="5B835E40"/>
    <w:rsid w:val="5B9A2B59"/>
    <w:rsid w:val="5BC0085A"/>
    <w:rsid w:val="5BF03D58"/>
    <w:rsid w:val="5BF20AFB"/>
    <w:rsid w:val="5C1A6BB2"/>
    <w:rsid w:val="5C5355FE"/>
    <w:rsid w:val="5C6F4105"/>
    <w:rsid w:val="5CBB7F6F"/>
    <w:rsid w:val="5D442CB4"/>
    <w:rsid w:val="5D7C3F11"/>
    <w:rsid w:val="5D9D49E0"/>
    <w:rsid w:val="5DDF1821"/>
    <w:rsid w:val="5DE2656A"/>
    <w:rsid w:val="5DEA2F91"/>
    <w:rsid w:val="5DF94AE0"/>
    <w:rsid w:val="5DFA5883"/>
    <w:rsid w:val="5E3146A3"/>
    <w:rsid w:val="5E4016E3"/>
    <w:rsid w:val="5E442F62"/>
    <w:rsid w:val="5E6C2C5B"/>
    <w:rsid w:val="5E6E2DD8"/>
    <w:rsid w:val="5E7251A2"/>
    <w:rsid w:val="5E7C3591"/>
    <w:rsid w:val="5E9D0E18"/>
    <w:rsid w:val="5EA341D7"/>
    <w:rsid w:val="5EA755DE"/>
    <w:rsid w:val="5ED35F0E"/>
    <w:rsid w:val="5EFC1390"/>
    <w:rsid w:val="5EFC3EB6"/>
    <w:rsid w:val="5F03335D"/>
    <w:rsid w:val="5F0368C7"/>
    <w:rsid w:val="5F1544E7"/>
    <w:rsid w:val="5F312D8D"/>
    <w:rsid w:val="5F3C4923"/>
    <w:rsid w:val="5F5A7800"/>
    <w:rsid w:val="5F9A65E6"/>
    <w:rsid w:val="5F9B2627"/>
    <w:rsid w:val="5FAC7B1F"/>
    <w:rsid w:val="5FB80E3D"/>
    <w:rsid w:val="5FB831B4"/>
    <w:rsid w:val="5FD40999"/>
    <w:rsid w:val="5FE5522B"/>
    <w:rsid w:val="5FF03F08"/>
    <w:rsid w:val="5FF2548E"/>
    <w:rsid w:val="5FF313D3"/>
    <w:rsid w:val="602610FD"/>
    <w:rsid w:val="602808B2"/>
    <w:rsid w:val="603814FF"/>
    <w:rsid w:val="604109A8"/>
    <w:rsid w:val="605D2617"/>
    <w:rsid w:val="60616CDC"/>
    <w:rsid w:val="60624E53"/>
    <w:rsid w:val="606319E5"/>
    <w:rsid w:val="607B3C50"/>
    <w:rsid w:val="608B6567"/>
    <w:rsid w:val="60FF21D9"/>
    <w:rsid w:val="613021B3"/>
    <w:rsid w:val="613253FD"/>
    <w:rsid w:val="61421F29"/>
    <w:rsid w:val="61712185"/>
    <w:rsid w:val="618B7207"/>
    <w:rsid w:val="61A90D68"/>
    <w:rsid w:val="61D2381C"/>
    <w:rsid w:val="62065A1D"/>
    <w:rsid w:val="621775E2"/>
    <w:rsid w:val="622F7552"/>
    <w:rsid w:val="6250406E"/>
    <w:rsid w:val="627D6831"/>
    <w:rsid w:val="62811B1C"/>
    <w:rsid w:val="62A20409"/>
    <w:rsid w:val="62B54B44"/>
    <w:rsid w:val="62E045DA"/>
    <w:rsid w:val="62E454A1"/>
    <w:rsid w:val="62F36E4C"/>
    <w:rsid w:val="62F47F8F"/>
    <w:rsid w:val="62F7233F"/>
    <w:rsid w:val="631F3FB4"/>
    <w:rsid w:val="6340438B"/>
    <w:rsid w:val="6353238E"/>
    <w:rsid w:val="63612AB8"/>
    <w:rsid w:val="6379289B"/>
    <w:rsid w:val="637D0978"/>
    <w:rsid w:val="638968B0"/>
    <w:rsid w:val="638A282C"/>
    <w:rsid w:val="63A85E90"/>
    <w:rsid w:val="63A962DB"/>
    <w:rsid w:val="63AB1A91"/>
    <w:rsid w:val="63B82D47"/>
    <w:rsid w:val="63EE4692"/>
    <w:rsid w:val="63FD622D"/>
    <w:rsid w:val="643F32F9"/>
    <w:rsid w:val="64582686"/>
    <w:rsid w:val="64673C87"/>
    <w:rsid w:val="64A251DD"/>
    <w:rsid w:val="650242F0"/>
    <w:rsid w:val="65167D25"/>
    <w:rsid w:val="653F447E"/>
    <w:rsid w:val="65542778"/>
    <w:rsid w:val="655829AF"/>
    <w:rsid w:val="656B70C3"/>
    <w:rsid w:val="658F4798"/>
    <w:rsid w:val="659B1EBA"/>
    <w:rsid w:val="65B461E9"/>
    <w:rsid w:val="65BE39A8"/>
    <w:rsid w:val="65FB3FBE"/>
    <w:rsid w:val="66247D11"/>
    <w:rsid w:val="66736112"/>
    <w:rsid w:val="667F5B5B"/>
    <w:rsid w:val="6694262A"/>
    <w:rsid w:val="66990381"/>
    <w:rsid w:val="66B31B01"/>
    <w:rsid w:val="66CE1E80"/>
    <w:rsid w:val="66E362F9"/>
    <w:rsid w:val="66E47FD9"/>
    <w:rsid w:val="67071922"/>
    <w:rsid w:val="673B73C0"/>
    <w:rsid w:val="674743C8"/>
    <w:rsid w:val="675608B6"/>
    <w:rsid w:val="67754402"/>
    <w:rsid w:val="677D54ED"/>
    <w:rsid w:val="67B25E27"/>
    <w:rsid w:val="67B4646D"/>
    <w:rsid w:val="67C4383B"/>
    <w:rsid w:val="67D35E1A"/>
    <w:rsid w:val="67F35317"/>
    <w:rsid w:val="680201B7"/>
    <w:rsid w:val="68362BFB"/>
    <w:rsid w:val="683F1130"/>
    <w:rsid w:val="684456A1"/>
    <w:rsid w:val="685E1363"/>
    <w:rsid w:val="687731D1"/>
    <w:rsid w:val="6878475E"/>
    <w:rsid w:val="688E1089"/>
    <w:rsid w:val="68A026F3"/>
    <w:rsid w:val="68AF6C13"/>
    <w:rsid w:val="690E07C7"/>
    <w:rsid w:val="69236A65"/>
    <w:rsid w:val="692E469B"/>
    <w:rsid w:val="69315C48"/>
    <w:rsid w:val="694019EC"/>
    <w:rsid w:val="69584DB4"/>
    <w:rsid w:val="696C3D80"/>
    <w:rsid w:val="698A5EE4"/>
    <w:rsid w:val="69C811ED"/>
    <w:rsid w:val="69D33070"/>
    <w:rsid w:val="69E97E75"/>
    <w:rsid w:val="69FB5D9E"/>
    <w:rsid w:val="6A1A3007"/>
    <w:rsid w:val="6A1E645E"/>
    <w:rsid w:val="6A417049"/>
    <w:rsid w:val="6A7903E5"/>
    <w:rsid w:val="6AA03032"/>
    <w:rsid w:val="6AA86FEC"/>
    <w:rsid w:val="6ADA6AC4"/>
    <w:rsid w:val="6ADB11D6"/>
    <w:rsid w:val="6B1A2C3C"/>
    <w:rsid w:val="6B31644D"/>
    <w:rsid w:val="6B486C86"/>
    <w:rsid w:val="6B554C72"/>
    <w:rsid w:val="6B847AD7"/>
    <w:rsid w:val="6B9A2DF9"/>
    <w:rsid w:val="6BAC4619"/>
    <w:rsid w:val="6BCD2823"/>
    <w:rsid w:val="6BDD15DD"/>
    <w:rsid w:val="6BDF2966"/>
    <w:rsid w:val="6BE86A5F"/>
    <w:rsid w:val="6C234DED"/>
    <w:rsid w:val="6C29198B"/>
    <w:rsid w:val="6C3A67D1"/>
    <w:rsid w:val="6C3D2D5C"/>
    <w:rsid w:val="6C4800AA"/>
    <w:rsid w:val="6C4D28F8"/>
    <w:rsid w:val="6C573E9C"/>
    <w:rsid w:val="6C5C23DC"/>
    <w:rsid w:val="6C6D1126"/>
    <w:rsid w:val="6CA35B3A"/>
    <w:rsid w:val="6CA41A5D"/>
    <w:rsid w:val="6CA479DF"/>
    <w:rsid w:val="6CAF588C"/>
    <w:rsid w:val="6CB4638E"/>
    <w:rsid w:val="6CBF3C6A"/>
    <w:rsid w:val="6CBF5306"/>
    <w:rsid w:val="6CE70FA1"/>
    <w:rsid w:val="6CFA6351"/>
    <w:rsid w:val="6CFC3C40"/>
    <w:rsid w:val="6D480984"/>
    <w:rsid w:val="6DB13E57"/>
    <w:rsid w:val="6DC71662"/>
    <w:rsid w:val="6DCD5126"/>
    <w:rsid w:val="6DDB6CB0"/>
    <w:rsid w:val="6DE52ACD"/>
    <w:rsid w:val="6DFC0B44"/>
    <w:rsid w:val="6E0458E7"/>
    <w:rsid w:val="6E212037"/>
    <w:rsid w:val="6E3B221B"/>
    <w:rsid w:val="6E475779"/>
    <w:rsid w:val="6E7764EF"/>
    <w:rsid w:val="6EAD447C"/>
    <w:rsid w:val="6EAE5472"/>
    <w:rsid w:val="6ECD7F59"/>
    <w:rsid w:val="6EED7C80"/>
    <w:rsid w:val="6EF773A4"/>
    <w:rsid w:val="6F2F2D9E"/>
    <w:rsid w:val="6F4147D9"/>
    <w:rsid w:val="6F5C35EA"/>
    <w:rsid w:val="6F6B6A15"/>
    <w:rsid w:val="6F947E4B"/>
    <w:rsid w:val="6FA30BDA"/>
    <w:rsid w:val="6FB21D4C"/>
    <w:rsid w:val="6FB80698"/>
    <w:rsid w:val="701021F4"/>
    <w:rsid w:val="7024611F"/>
    <w:rsid w:val="70637B96"/>
    <w:rsid w:val="70797317"/>
    <w:rsid w:val="7099044B"/>
    <w:rsid w:val="709D518F"/>
    <w:rsid w:val="70C759D3"/>
    <w:rsid w:val="70CF2B23"/>
    <w:rsid w:val="70D70CB1"/>
    <w:rsid w:val="710952C1"/>
    <w:rsid w:val="71452CD8"/>
    <w:rsid w:val="7158683A"/>
    <w:rsid w:val="715B2F52"/>
    <w:rsid w:val="71764F23"/>
    <w:rsid w:val="71946576"/>
    <w:rsid w:val="71967E84"/>
    <w:rsid w:val="71A61873"/>
    <w:rsid w:val="71AF4936"/>
    <w:rsid w:val="71B12351"/>
    <w:rsid w:val="71D75D0F"/>
    <w:rsid w:val="721919B3"/>
    <w:rsid w:val="721A6098"/>
    <w:rsid w:val="721D18D3"/>
    <w:rsid w:val="72310D1A"/>
    <w:rsid w:val="725D6B54"/>
    <w:rsid w:val="72986FA0"/>
    <w:rsid w:val="72A17C99"/>
    <w:rsid w:val="72AD7197"/>
    <w:rsid w:val="72AF6F7E"/>
    <w:rsid w:val="72CD226C"/>
    <w:rsid w:val="73047904"/>
    <w:rsid w:val="734C1A6A"/>
    <w:rsid w:val="735C5949"/>
    <w:rsid w:val="73737DA5"/>
    <w:rsid w:val="73740A39"/>
    <w:rsid w:val="73887B3E"/>
    <w:rsid w:val="73892412"/>
    <w:rsid w:val="73AF2114"/>
    <w:rsid w:val="73E96BCA"/>
    <w:rsid w:val="73EE4A6E"/>
    <w:rsid w:val="741048BC"/>
    <w:rsid w:val="742E78D4"/>
    <w:rsid w:val="74317498"/>
    <w:rsid w:val="74335A84"/>
    <w:rsid w:val="74676A28"/>
    <w:rsid w:val="747E40B6"/>
    <w:rsid w:val="74AC3224"/>
    <w:rsid w:val="74BB2C83"/>
    <w:rsid w:val="74DE4E5F"/>
    <w:rsid w:val="74EB54AB"/>
    <w:rsid w:val="74FF6D43"/>
    <w:rsid w:val="750201A2"/>
    <w:rsid w:val="751A76AF"/>
    <w:rsid w:val="75250574"/>
    <w:rsid w:val="7550443E"/>
    <w:rsid w:val="755F0BCC"/>
    <w:rsid w:val="756F17F9"/>
    <w:rsid w:val="75825461"/>
    <w:rsid w:val="759926FC"/>
    <w:rsid w:val="75A24276"/>
    <w:rsid w:val="75AA231D"/>
    <w:rsid w:val="75E8633A"/>
    <w:rsid w:val="763F09AA"/>
    <w:rsid w:val="764F3FCC"/>
    <w:rsid w:val="7650339F"/>
    <w:rsid w:val="76603C9A"/>
    <w:rsid w:val="76BB1CAB"/>
    <w:rsid w:val="76C04050"/>
    <w:rsid w:val="76E65049"/>
    <w:rsid w:val="77076007"/>
    <w:rsid w:val="77413F7E"/>
    <w:rsid w:val="7758241F"/>
    <w:rsid w:val="777A7D22"/>
    <w:rsid w:val="77835654"/>
    <w:rsid w:val="7797109C"/>
    <w:rsid w:val="779A2A38"/>
    <w:rsid w:val="77B4450A"/>
    <w:rsid w:val="77B46E73"/>
    <w:rsid w:val="77E37A12"/>
    <w:rsid w:val="77FE3468"/>
    <w:rsid w:val="78250553"/>
    <w:rsid w:val="78546F0C"/>
    <w:rsid w:val="78EE1C79"/>
    <w:rsid w:val="78FA66FA"/>
    <w:rsid w:val="79424F6E"/>
    <w:rsid w:val="797239CC"/>
    <w:rsid w:val="79831473"/>
    <w:rsid w:val="7999527A"/>
    <w:rsid w:val="79AF76C5"/>
    <w:rsid w:val="79C25EE1"/>
    <w:rsid w:val="79CE2967"/>
    <w:rsid w:val="79EA664C"/>
    <w:rsid w:val="79F9627A"/>
    <w:rsid w:val="7A2F3BBF"/>
    <w:rsid w:val="7A2F459A"/>
    <w:rsid w:val="7A517022"/>
    <w:rsid w:val="7A6F5001"/>
    <w:rsid w:val="7AA2343E"/>
    <w:rsid w:val="7ADA73A4"/>
    <w:rsid w:val="7AE66B99"/>
    <w:rsid w:val="7B0A3BCA"/>
    <w:rsid w:val="7B345AA9"/>
    <w:rsid w:val="7B4048C1"/>
    <w:rsid w:val="7B73082F"/>
    <w:rsid w:val="7BC62E00"/>
    <w:rsid w:val="7BE35E2A"/>
    <w:rsid w:val="7BF66C24"/>
    <w:rsid w:val="7BFA1CC7"/>
    <w:rsid w:val="7BFB70B3"/>
    <w:rsid w:val="7C0251DA"/>
    <w:rsid w:val="7C1052F2"/>
    <w:rsid w:val="7C2668D9"/>
    <w:rsid w:val="7C32497F"/>
    <w:rsid w:val="7C3C69AE"/>
    <w:rsid w:val="7C691974"/>
    <w:rsid w:val="7C8A6570"/>
    <w:rsid w:val="7C8B7390"/>
    <w:rsid w:val="7C9B0D0E"/>
    <w:rsid w:val="7CA42B03"/>
    <w:rsid w:val="7CD2318A"/>
    <w:rsid w:val="7CD2702A"/>
    <w:rsid w:val="7CD34C42"/>
    <w:rsid w:val="7CDE3FF9"/>
    <w:rsid w:val="7CE26EBF"/>
    <w:rsid w:val="7CEE3130"/>
    <w:rsid w:val="7D1F6674"/>
    <w:rsid w:val="7D480B34"/>
    <w:rsid w:val="7D777A3E"/>
    <w:rsid w:val="7D9005BC"/>
    <w:rsid w:val="7D9F0AD0"/>
    <w:rsid w:val="7DD12BB7"/>
    <w:rsid w:val="7DFF0955"/>
    <w:rsid w:val="7E0B750E"/>
    <w:rsid w:val="7E1939E8"/>
    <w:rsid w:val="7E2822EA"/>
    <w:rsid w:val="7E355A7B"/>
    <w:rsid w:val="7E6E3E85"/>
    <w:rsid w:val="7E9C184B"/>
    <w:rsid w:val="7EA72948"/>
    <w:rsid w:val="7EB31EDB"/>
    <w:rsid w:val="7EE70CC0"/>
    <w:rsid w:val="7EEB48DB"/>
    <w:rsid w:val="7EF27444"/>
    <w:rsid w:val="7F265C58"/>
    <w:rsid w:val="7F4C4618"/>
    <w:rsid w:val="7F582CF2"/>
    <w:rsid w:val="7F951B40"/>
    <w:rsid w:val="7FBF10B0"/>
    <w:rsid w:val="7FF3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spacing w:before="340" w:after="330" w:line="576" w:lineRule="auto"/>
      <w:outlineLvl w:val="0"/>
    </w:pPr>
    <w:rPr>
      <w:b/>
      <w:bCs/>
      <w:kern w:val="44"/>
      <w:sz w:val="44"/>
      <w:szCs w:val="44"/>
    </w:rPr>
  </w:style>
  <w:style w:type="paragraph" w:styleId="6">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7">
    <w:name w:val="heading 3"/>
    <w:basedOn w:val="1"/>
    <w:next w:val="1"/>
    <w:qFormat/>
    <w:uiPriority w:val="0"/>
    <w:pPr>
      <w:keepNext/>
      <w:keepLines/>
      <w:spacing w:before="260" w:after="260" w:line="416" w:lineRule="auto"/>
      <w:outlineLvl w:val="2"/>
    </w:pPr>
    <w:rPr>
      <w:b/>
      <w:bCs/>
      <w:sz w:val="32"/>
      <w:szCs w:val="32"/>
    </w:rPr>
  </w:style>
  <w:style w:type="paragraph" w:styleId="8">
    <w:name w:val="heading 4"/>
    <w:basedOn w:val="1"/>
    <w:next w:val="1"/>
    <w:qFormat/>
    <w:uiPriority w:val="0"/>
    <w:pPr>
      <w:keepNext/>
      <w:keepLines/>
      <w:spacing w:line="360" w:lineRule="auto"/>
      <w:outlineLvl w:val="3"/>
    </w:pPr>
    <w:rPr>
      <w:rFonts w:ascii="Arial" w:hAnsi="Arial"/>
      <w:b/>
      <w:bCs/>
      <w:szCs w:val="28"/>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spacing w:line="360" w:lineRule="auto"/>
      <w:ind w:firstLine="420" w:firstLineChars="100"/>
    </w:pPr>
    <w:rPr>
      <w:szCs w:val="21"/>
    </w:rPr>
  </w:style>
  <w:style w:type="paragraph" w:styleId="3">
    <w:name w:val="Body Text"/>
    <w:basedOn w:val="1"/>
    <w:next w:val="4"/>
    <w:link w:val="72"/>
    <w:qFormat/>
    <w:uiPriority w:val="0"/>
  </w:style>
  <w:style w:type="paragraph" w:customStyle="1" w:styleId="4">
    <w:name w:val="Default"/>
    <w:next w:val="1"/>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9">
    <w:name w:val="List Number"/>
    <w:basedOn w:val="1"/>
    <w:qFormat/>
    <w:uiPriority w:val="0"/>
    <w:pPr>
      <w:widowControl/>
      <w:spacing w:beforeAutospacing="1" w:afterAutospacing="1"/>
      <w:jc w:val="left"/>
    </w:pPr>
    <w:rPr>
      <w:rFonts w:ascii="宋体" w:hAnsi="宋体" w:cs="宋体"/>
      <w:kern w:val="0"/>
      <w:sz w:val="24"/>
    </w:rPr>
  </w:style>
  <w:style w:type="paragraph" w:styleId="10">
    <w:name w:val="Normal Indent"/>
    <w:basedOn w:val="1"/>
    <w:qFormat/>
    <w:uiPriority w:val="0"/>
    <w:pPr>
      <w:widowControl/>
      <w:spacing w:beforeAutospacing="1" w:afterAutospacing="1"/>
      <w:jc w:val="left"/>
    </w:pPr>
    <w:rPr>
      <w:rFonts w:ascii="宋体" w:hAnsi="宋体" w:cs="宋体"/>
      <w:kern w:val="0"/>
      <w:sz w:val="24"/>
    </w:rPr>
  </w:style>
  <w:style w:type="paragraph" w:styleId="11">
    <w:name w:val="Document Map"/>
    <w:basedOn w:val="1"/>
    <w:link w:val="74"/>
    <w:qFormat/>
    <w:uiPriority w:val="0"/>
    <w:rPr>
      <w:rFonts w:ascii="宋体" w:hAnsi="Calibri"/>
      <w:sz w:val="18"/>
      <w:szCs w:val="18"/>
    </w:rPr>
  </w:style>
  <w:style w:type="paragraph" w:styleId="12">
    <w:name w:val="annotation text"/>
    <w:basedOn w:val="1"/>
    <w:qFormat/>
    <w:uiPriority w:val="0"/>
    <w:pPr>
      <w:jc w:val="left"/>
    </w:pPr>
  </w:style>
  <w:style w:type="paragraph" w:styleId="13">
    <w:name w:val="Body Text 3"/>
    <w:basedOn w:val="1"/>
    <w:qFormat/>
    <w:uiPriority w:val="0"/>
    <w:rPr>
      <w:sz w:val="16"/>
      <w:szCs w:val="16"/>
    </w:rPr>
  </w:style>
  <w:style w:type="paragraph" w:styleId="14">
    <w:name w:val="Body Text Indent"/>
    <w:basedOn w:val="1"/>
    <w:next w:val="15"/>
    <w:qFormat/>
    <w:uiPriority w:val="0"/>
    <w:pPr>
      <w:widowControl/>
      <w:spacing w:beforeAutospacing="1" w:afterAutospacing="1"/>
      <w:jc w:val="left"/>
    </w:pPr>
    <w:rPr>
      <w:rFonts w:ascii="宋体" w:hAnsi="宋体" w:cs="宋体"/>
      <w:kern w:val="0"/>
      <w:sz w:val="24"/>
    </w:rPr>
  </w:style>
  <w:style w:type="paragraph" w:styleId="15">
    <w:name w:val="envelope return"/>
    <w:basedOn w:val="1"/>
    <w:unhideWhenUsed/>
    <w:qFormat/>
    <w:uiPriority w:val="99"/>
    <w:pPr>
      <w:snapToGrid w:val="0"/>
    </w:pPr>
    <w:rPr>
      <w:rFonts w:ascii="Arial" w:hAnsi="Arial"/>
    </w:rPr>
  </w:style>
  <w:style w:type="paragraph" w:styleId="16">
    <w:name w:val="List 2"/>
    <w:basedOn w:val="1"/>
    <w:qFormat/>
    <w:uiPriority w:val="0"/>
    <w:pPr>
      <w:ind w:left="100" w:leftChars="200" w:hanging="200" w:hangingChars="200"/>
    </w:pPr>
  </w:style>
  <w:style w:type="paragraph" w:styleId="17">
    <w:name w:val="Block Text"/>
    <w:basedOn w:val="1"/>
    <w:unhideWhenUsed/>
    <w:qFormat/>
    <w:uiPriority w:val="99"/>
    <w:pPr>
      <w:snapToGrid w:val="0"/>
      <w:spacing w:before="100" w:after="100"/>
      <w:ind w:left="-22" w:leftChars="-8" w:right="-40" w:firstLine="548" w:firstLineChars="196"/>
    </w:pPr>
    <w:rPr>
      <w:rFonts w:ascii="宋体" w:hAnsi="宋体"/>
      <w:sz w:val="28"/>
    </w:rPr>
  </w:style>
  <w:style w:type="paragraph" w:styleId="18">
    <w:name w:val="toc 3"/>
    <w:basedOn w:val="1"/>
    <w:next w:val="1"/>
    <w:qFormat/>
    <w:uiPriority w:val="0"/>
    <w:pPr>
      <w:tabs>
        <w:tab w:val="left" w:pos="709"/>
        <w:tab w:val="right" w:leader="dot" w:pos="8789"/>
      </w:tabs>
      <w:spacing w:line="400" w:lineRule="atLeast"/>
    </w:pPr>
    <w:rPr>
      <w:rFonts w:ascii="宋体"/>
      <w:kern w:val="0"/>
      <w:szCs w:val="20"/>
    </w:rPr>
  </w:style>
  <w:style w:type="paragraph" w:styleId="19">
    <w:name w:val="Plain Text"/>
    <w:basedOn w:val="1"/>
    <w:qFormat/>
    <w:uiPriority w:val="0"/>
    <w:pPr>
      <w:widowControl/>
      <w:spacing w:beforeAutospacing="1" w:afterAutospacing="1"/>
      <w:jc w:val="left"/>
    </w:pPr>
    <w:rPr>
      <w:rFonts w:ascii="宋体" w:hAnsi="宋体" w:cs="宋体"/>
      <w:kern w:val="0"/>
      <w:sz w:val="24"/>
    </w:rPr>
  </w:style>
  <w:style w:type="paragraph" w:styleId="20">
    <w:name w:val="Date"/>
    <w:basedOn w:val="1"/>
    <w:next w:val="1"/>
    <w:qFormat/>
    <w:uiPriority w:val="0"/>
    <w:pPr>
      <w:ind w:left="100" w:leftChars="2500"/>
    </w:pPr>
    <w:rPr>
      <w:rFonts w:ascii="宋体" w:hAnsi="宋体"/>
      <w:sz w:val="28"/>
    </w:rPr>
  </w:style>
  <w:style w:type="paragraph" w:styleId="21">
    <w:name w:val="Body Text Indent 2"/>
    <w:basedOn w:val="1"/>
    <w:qFormat/>
    <w:uiPriority w:val="0"/>
    <w:pPr>
      <w:spacing w:line="480" w:lineRule="auto"/>
      <w:ind w:left="420" w:leftChars="200"/>
    </w:pPr>
  </w:style>
  <w:style w:type="paragraph" w:styleId="22">
    <w:name w:val="footer"/>
    <w:basedOn w:val="1"/>
    <w:qFormat/>
    <w:uiPriority w:val="0"/>
    <w:pPr>
      <w:tabs>
        <w:tab w:val="center" w:pos="4153"/>
        <w:tab w:val="right" w:pos="8306"/>
      </w:tabs>
      <w:snapToGrid w:val="0"/>
      <w:jc w:val="left"/>
    </w:pPr>
    <w:rPr>
      <w:sz w:val="18"/>
      <w:szCs w:val="18"/>
    </w:rPr>
  </w:style>
  <w:style w:type="paragraph" w:styleId="2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0"/>
  </w:style>
  <w:style w:type="paragraph" w:styleId="25">
    <w:name w:val="List"/>
    <w:basedOn w:val="1"/>
    <w:qFormat/>
    <w:uiPriority w:val="0"/>
    <w:pPr>
      <w:ind w:left="200" w:hanging="200" w:hangingChars="200"/>
    </w:pPr>
  </w:style>
  <w:style w:type="paragraph" w:styleId="26">
    <w:name w:val="Body Text 2"/>
    <w:basedOn w:val="1"/>
    <w:next w:val="3"/>
    <w:qFormat/>
    <w:uiPriority w:val="0"/>
    <w:pPr>
      <w:spacing w:line="480" w:lineRule="auto"/>
    </w:pPr>
  </w:style>
  <w:style w:type="paragraph" w:styleId="27">
    <w:name w:val="Message Header"/>
    <w:basedOn w:val="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szCs w:val="24"/>
    </w:rPr>
  </w:style>
  <w:style w:type="paragraph" w:styleId="2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9">
    <w:name w:val="Normal (Web)"/>
    <w:basedOn w:val="1"/>
    <w:qFormat/>
    <w:uiPriority w:val="99"/>
    <w:pPr>
      <w:spacing w:before="100" w:beforeAutospacing="1" w:after="100" w:afterAutospacing="1"/>
      <w:jc w:val="left"/>
    </w:pPr>
    <w:rPr>
      <w:kern w:val="0"/>
      <w:sz w:val="24"/>
    </w:rPr>
  </w:style>
  <w:style w:type="paragraph" w:styleId="30">
    <w:name w:val="Title"/>
    <w:basedOn w:val="1"/>
    <w:qFormat/>
    <w:uiPriority w:val="0"/>
    <w:pPr>
      <w:jc w:val="center"/>
      <w:outlineLvl w:val="0"/>
    </w:pPr>
    <w:rPr>
      <w:rFonts w:ascii="Arial" w:hAnsi="Arial" w:cs="Arial"/>
      <w:b/>
      <w:bCs/>
      <w:sz w:val="32"/>
      <w:szCs w:val="32"/>
    </w:rPr>
  </w:style>
  <w:style w:type="paragraph" w:styleId="31">
    <w:name w:val="Body Text First Indent 2"/>
    <w:basedOn w:val="14"/>
    <w:next w:val="32"/>
    <w:qFormat/>
    <w:uiPriority w:val="0"/>
    <w:pPr>
      <w:ind w:firstLine="420" w:firstLineChars="200"/>
    </w:pPr>
  </w:style>
  <w:style w:type="paragraph" w:customStyle="1" w:styleId="32">
    <w:name w:val="样式 正文首行缩进 2 + Arial"/>
    <w:basedOn w:val="1"/>
    <w:next w:val="1"/>
    <w:qFormat/>
    <w:uiPriority w:val="0"/>
    <w:pPr>
      <w:spacing w:after="120" w:line="320" w:lineRule="atLeast"/>
      <w:ind w:firstLine="200" w:firstLineChars="200"/>
    </w:pPr>
    <w:rPr>
      <w:rFonts w:ascii="Arial" w:hAnsi="Arial"/>
      <w:kern w:val="0"/>
    </w:rPr>
  </w:style>
  <w:style w:type="table" w:styleId="34">
    <w:name w:val="Table Grid"/>
    <w:basedOn w:val="3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qFormat/>
    <w:uiPriority w:val="0"/>
    <w:rPr>
      <w:b/>
      <w:bCs/>
      <w:szCs w:val="24"/>
    </w:rPr>
  </w:style>
  <w:style w:type="character" w:styleId="37">
    <w:name w:val="page number"/>
    <w:basedOn w:val="35"/>
    <w:qFormat/>
    <w:uiPriority w:val="0"/>
  </w:style>
  <w:style w:type="character" w:styleId="38">
    <w:name w:val="FollowedHyperlink"/>
    <w:qFormat/>
    <w:uiPriority w:val="0"/>
    <w:rPr>
      <w:color w:val="333333"/>
      <w:szCs w:val="24"/>
      <w:u w:val="none"/>
    </w:rPr>
  </w:style>
  <w:style w:type="character" w:styleId="39">
    <w:name w:val="Emphasis"/>
    <w:basedOn w:val="35"/>
    <w:qFormat/>
    <w:uiPriority w:val="0"/>
  </w:style>
  <w:style w:type="character" w:styleId="40">
    <w:name w:val="HTML Definition"/>
    <w:basedOn w:val="35"/>
    <w:qFormat/>
    <w:uiPriority w:val="0"/>
  </w:style>
  <w:style w:type="character" w:styleId="41">
    <w:name w:val="HTML Typewriter"/>
    <w:basedOn w:val="35"/>
    <w:qFormat/>
    <w:uiPriority w:val="0"/>
    <w:rPr>
      <w:rFonts w:hint="default" w:ascii="monospace" w:hAnsi="monospace" w:eastAsia="monospace" w:cs="monospace"/>
      <w:sz w:val="20"/>
    </w:rPr>
  </w:style>
  <w:style w:type="character" w:styleId="42">
    <w:name w:val="HTML Acronym"/>
    <w:basedOn w:val="35"/>
    <w:qFormat/>
    <w:uiPriority w:val="0"/>
  </w:style>
  <w:style w:type="character" w:styleId="43">
    <w:name w:val="HTML Variable"/>
    <w:basedOn w:val="35"/>
    <w:qFormat/>
    <w:uiPriority w:val="0"/>
  </w:style>
  <w:style w:type="character" w:styleId="44">
    <w:name w:val="Hyperlink"/>
    <w:basedOn w:val="35"/>
    <w:qFormat/>
    <w:uiPriority w:val="0"/>
    <w:rPr>
      <w:color w:val="333333"/>
      <w:szCs w:val="24"/>
      <w:u w:val="none"/>
    </w:rPr>
  </w:style>
  <w:style w:type="character" w:styleId="45">
    <w:name w:val="HTML Code"/>
    <w:basedOn w:val="35"/>
    <w:qFormat/>
    <w:uiPriority w:val="0"/>
    <w:rPr>
      <w:rFonts w:ascii="monospace" w:hAnsi="monospace" w:eastAsia="monospace" w:cs="monospace"/>
      <w:sz w:val="20"/>
    </w:rPr>
  </w:style>
  <w:style w:type="character" w:styleId="46">
    <w:name w:val="HTML Cite"/>
    <w:basedOn w:val="35"/>
    <w:qFormat/>
    <w:uiPriority w:val="0"/>
  </w:style>
  <w:style w:type="character" w:styleId="47">
    <w:name w:val="HTML Keyboard"/>
    <w:basedOn w:val="35"/>
    <w:qFormat/>
    <w:uiPriority w:val="0"/>
    <w:rPr>
      <w:rFonts w:hint="default" w:ascii="monospace" w:hAnsi="monospace" w:eastAsia="monospace" w:cs="monospace"/>
      <w:sz w:val="20"/>
    </w:rPr>
  </w:style>
  <w:style w:type="character" w:styleId="48">
    <w:name w:val="HTML Sample"/>
    <w:basedOn w:val="35"/>
    <w:qFormat/>
    <w:uiPriority w:val="0"/>
    <w:rPr>
      <w:rFonts w:hint="default" w:ascii="monospace" w:hAnsi="monospace" w:eastAsia="monospace" w:cs="monospace"/>
    </w:rPr>
  </w:style>
  <w:style w:type="paragraph" w:customStyle="1" w:styleId="49">
    <w:name w:val="No Spacing1"/>
    <w:basedOn w:val="1"/>
    <w:qFormat/>
    <w:uiPriority w:val="0"/>
    <w:pPr>
      <w:spacing w:line="400" w:lineRule="exact"/>
    </w:pPr>
    <w:rPr>
      <w:sz w:val="24"/>
    </w:rPr>
  </w:style>
  <w:style w:type="paragraph" w:customStyle="1" w:styleId="50">
    <w:name w:val="大标题"/>
    <w:basedOn w:val="1"/>
    <w:next w:val="31"/>
    <w:qFormat/>
    <w:uiPriority w:val="0"/>
    <w:pPr>
      <w:jc w:val="center"/>
    </w:pPr>
    <w:rPr>
      <w:rFonts w:ascii="Arial" w:hAnsi="Arial"/>
      <w:b/>
      <w:sz w:val="28"/>
    </w:rPr>
  </w:style>
  <w:style w:type="paragraph" w:customStyle="1" w:styleId="51">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customStyle="1" w:styleId="52">
    <w:name w:val="Char"/>
    <w:basedOn w:val="1"/>
    <w:qFormat/>
    <w:uiPriority w:val="0"/>
  </w:style>
  <w:style w:type="paragraph" w:customStyle="1" w:styleId="53">
    <w:name w:val="正文缩进1"/>
    <w:basedOn w:val="1"/>
    <w:qFormat/>
    <w:uiPriority w:val="0"/>
    <w:pPr>
      <w:widowControl/>
      <w:ind w:firstLine="420"/>
      <w:jc w:val="left"/>
    </w:pPr>
    <w:rPr>
      <w:kern w:val="0"/>
      <w:szCs w:val="20"/>
    </w:rPr>
  </w:style>
  <w:style w:type="paragraph" w:customStyle="1" w:styleId="54">
    <w:name w:val="列出段落2"/>
    <w:basedOn w:val="1"/>
    <w:qFormat/>
    <w:uiPriority w:val="34"/>
    <w:pPr>
      <w:ind w:firstLine="420" w:firstLineChars="200"/>
    </w:pPr>
  </w:style>
  <w:style w:type="paragraph" w:customStyle="1" w:styleId="55">
    <w:name w:val="plaintext"/>
    <w:basedOn w:val="1"/>
    <w:qFormat/>
    <w:uiPriority w:val="0"/>
    <w:pPr>
      <w:widowControl/>
      <w:spacing w:beforeAutospacing="1" w:afterAutospacing="1"/>
      <w:jc w:val="left"/>
    </w:pPr>
    <w:rPr>
      <w:rFonts w:ascii="宋体" w:hAnsi="宋体" w:cs="宋体"/>
      <w:kern w:val="0"/>
      <w:sz w:val="24"/>
    </w:rPr>
  </w:style>
  <w:style w:type="paragraph" w:customStyle="1" w:styleId="56">
    <w:name w:val="1"/>
    <w:basedOn w:val="1"/>
    <w:qFormat/>
    <w:uiPriority w:val="0"/>
    <w:pPr>
      <w:widowControl/>
      <w:spacing w:beforeAutospacing="1" w:afterAutospacing="1"/>
      <w:jc w:val="left"/>
    </w:pPr>
    <w:rPr>
      <w:rFonts w:ascii="宋体" w:hAnsi="宋体" w:cs="宋体"/>
      <w:kern w:val="0"/>
      <w:sz w:val="24"/>
    </w:rPr>
  </w:style>
  <w:style w:type="paragraph" w:styleId="57">
    <w:name w:val="No Spacing"/>
    <w:qFormat/>
    <w:uiPriority w:val="1"/>
    <w:rPr>
      <w:rFonts w:ascii="Calibri" w:hAnsi="Calibri" w:eastAsia="宋体" w:cs="Times New Roman"/>
      <w:sz w:val="22"/>
      <w:szCs w:val="22"/>
      <w:lang w:val="en-US" w:eastAsia="zh-CN" w:bidi="ar-SA"/>
    </w:rPr>
  </w:style>
  <w:style w:type="paragraph" w:customStyle="1" w:styleId="58">
    <w:name w:val="_Style 2"/>
    <w:basedOn w:val="1"/>
    <w:qFormat/>
    <w:uiPriority w:val="34"/>
    <w:pPr>
      <w:ind w:firstLine="420" w:firstLineChars="200"/>
    </w:pPr>
    <w:rPr>
      <w:rFonts w:ascii="Calibri" w:hAnsi="Calibri"/>
    </w:rPr>
  </w:style>
  <w:style w:type="paragraph" w:customStyle="1" w:styleId="59">
    <w:name w:val="paracharcharcharcharcharcharcharcharchar1charcharcharchar"/>
    <w:basedOn w:val="1"/>
    <w:qFormat/>
    <w:uiPriority w:val="0"/>
    <w:pPr>
      <w:widowControl/>
      <w:spacing w:beforeAutospacing="1" w:afterAutospacing="1"/>
      <w:jc w:val="left"/>
    </w:pPr>
    <w:rPr>
      <w:rFonts w:ascii="宋体" w:hAnsi="宋体" w:cs="宋体"/>
      <w:kern w:val="0"/>
      <w:sz w:val="24"/>
    </w:rPr>
  </w:style>
  <w:style w:type="paragraph" w:customStyle="1" w:styleId="60">
    <w:name w:val="样式2"/>
    <w:basedOn w:val="1"/>
    <w:next w:val="1"/>
    <w:qFormat/>
    <w:uiPriority w:val="0"/>
    <w:pPr>
      <w:spacing w:line="360" w:lineRule="exact"/>
      <w:ind w:left="-107" w:leftChars="-51" w:right="-108" w:firstLine="98" w:firstLineChars="41"/>
      <w:jc w:val="left"/>
    </w:pPr>
    <w:rPr>
      <w:rFonts w:ascii="宋体" w:hAnsi="宋体"/>
    </w:rPr>
  </w:style>
  <w:style w:type="paragraph" w:customStyle="1" w:styleId="61">
    <w:name w:val="Char1"/>
    <w:basedOn w:val="1"/>
    <w:qFormat/>
    <w:uiPriority w:val="0"/>
  </w:style>
  <w:style w:type="paragraph" w:customStyle="1" w:styleId="62">
    <w:name w:val="p16"/>
    <w:basedOn w:val="1"/>
    <w:qFormat/>
    <w:uiPriority w:val="0"/>
    <w:pPr>
      <w:widowControl/>
      <w:spacing w:before="100" w:beforeAutospacing="1" w:after="100" w:afterAutospacing="1"/>
      <w:jc w:val="left"/>
    </w:pPr>
    <w:rPr>
      <w:rFonts w:ascii="宋体" w:hAnsi="宋体" w:cs="宋体"/>
      <w:kern w:val="0"/>
      <w:sz w:val="24"/>
    </w:rPr>
  </w:style>
  <w:style w:type="paragraph" w:customStyle="1" w:styleId="63">
    <w:name w:val="Table Paragraph"/>
    <w:basedOn w:val="1"/>
    <w:qFormat/>
    <w:uiPriority w:val="1"/>
    <w:pPr>
      <w:jc w:val="left"/>
    </w:pPr>
    <w:rPr>
      <w:rFonts w:ascii="宋体" w:hAnsi="宋体" w:cs="宋体"/>
      <w:kern w:val="0"/>
      <w:sz w:val="22"/>
      <w:szCs w:val="22"/>
      <w:lang w:eastAsia="en-US"/>
    </w:rPr>
  </w:style>
  <w:style w:type="paragraph" w:customStyle="1" w:styleId="64">
    <w:name w:val="无间隔1"/>
    <w:basedOn w:val="1"/>
    <w:qFormat/>
    <w:uiPriority w:val="1"/>
    <w:pPr>
      <w:spacing w:line="400" w:lineRule="exact"/>
    </w:pPr>
    <w:rPr>
      <w:sz w:val="24"/>
    </w:rPr>
  </w:style>
  <w:style w:type="paragraph" w:customStyle="1" w:styleId="65">
    <w:name w:val="正文格式"/>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6">
    <w:name w:val="3"/>
    <w:basedOn w:val="1"/>
    <w:qFormat/>
    <w:uiPriority w:val="0"/>
    <w:pPr>
      <w:widowControl/>
      <w:spacing w:beforeAutospacing="1" w:afterAutospacing="1"/>
      <w:jc w:val="left"/>
    </w:pPr>
    <w:rPr>
      <w:rFonts w:ascii="宋体" w:hAnsi="宋体" w:cs="宋体"/>
      <w:kern w:val="0"/>
      <w:sz w:val="24"/>
    </w:rPr>
  </w:style>
  <w:style w:type="paragraph" w:customStyle="1" w:styleId="67">
    <w:name w:val="列出段落1"/>
    <w:basedOn w:val="1"/>
    <w:qFormat/>
    <w:uiPriority w:val="34"/>
    <w:pPr>
      <w:ind w:firstLine="420" w:firstLineChars="200"/>
    </w:pPr>
  </w:style>
  <w:style w:type="paragraph" w:customStyle="1" w:styleId="68">
    <w:name w:val="列出段落111"/>
    <w:qFormat/>
    <w:uiPriority w:val="34"/>
    <w:pPr>
      <w:ind w:firstLine="420" w:firstLineChars="200"/>
    </w:pPr>
    <w:rPr>
      <w:rFonts w:ascii="Times New Roman" w:hAnsi="Times New Roman" w:eastAsia="宋体" w:cs="Times New Roman"/>
      <w:lang w:val="en-US" w:eastAsia="zh-CN" w:bidi="ar-SA"/>
    </w:rPr>
  </w:style>
  <w:style w:type="paragraph" w:customStyle="1" w:styleId="69">
    <w:name w:val="a0"/>
    <w:basedOn w:val="1"/>
    <w:qFormat/>
    <w:uiPriority w:val="0"/>
    <w:pPr>
      <w:widowControl/>
      <w:spacing w:beforeAutospacing="1" w:afterAutospacing="1"/>
      <w:jc w:val="left"/>
    </w:pPr>
    <w:rPr>
      <w:rFonts w:ascii="宋体" w:hAnsi="宋体" w:cs="宋体"/>
      <w:kern w:val="0"/>
      <w:sz w:val="24"/>
    </w:rPr>
  </w:style>
  <w:style w:type="paragraph" w:customStyle="1" w:styleId="70">
    <w:name w:val="default"/>
    <w:basedOn w:val="1"/>
    <w:qFormat/>
    <w:uiPriority w:val="0"/>
    <w:pPr>
      <w:widowControl/>
      <w:spacing w:beforeAutospacing="1" w:afterAutospacing="1"/>
      <w:jc w:val="left"/>
    </w:pPr>
    <w:rPr>
      <w:rFonts w:ascii="宋体" w:hAnsi="宋体" w:cs="宋体"/>
      <w:kern w:val="0"/>
      <w:sz w:val="24"/>
    </w:rPr>
  </w:style>
  <w:style w:type="paragraph" w:customStyle="1" w:styleId="71">
    <w:name w:val="列出段落11"/>
    <w:basedOn w:val="1"/>
    <w:qFormat/>
    <w:uiPriority w:val="0"/>
    <w:pPr>
      <w:ind w:firstLine="420" w:firstLineChars="200"/>
    </w:pPr>
    <w:rPr>
      <w:rFonts w:ascii="Calibri" w:hAnsi="Calibri"/>
      <w:szCs w:val="22"/>
    </w:rPr>
  </w:style>
  <w:style w:type="character" w:customStyle="1" w:styleId="72">
    <w:name w:val="正文文本 Char"/>
    <w:basedOn w:val="35"/>
    <w:link w:val="3"/>
    <w:qFormat/>
    <w:uiPriority w:val="0"/>
  </w:style>
  <w:style w:type="character" w:customStyle="1" w:styleId="73">
    <w:name w:val="apple-converted-space"/>
    <w:basedOn w:val="35"/>
    <w:qFormat/>
    <w:uiPriority w:val="0"/>
  </w:style>
  <w:style w:type="character" w:customStyle="1" w:styleId="74">
    <w:name w:val="文档结构图 Char"/>
    <w:link w:val="11"/>
    <w:qFormat/>
    <w:uiPriority w:val="0"/>
    <w:rPr>
      <w:rFonts w:ascii="宋体"/>
      <w:kern w:val="2"/>
      <w:sz w:val="18"/>
      <w:szCs w:val="18"/>
    </w:rPr>
  </w:style>
  <w:style w:type="character" w:customStyle="1" w:styleId="75">
    <w:name w:val="不明显强调1"/>
    <w:qFormat/>
    <w:uiPriority w:val="19"/>
    <w:rPr>
      <w:i/>
      <w:iCs/>
      <w:color w:val="7F7F7F"/>
      <w:szCs w:val="24"/>
    </w:rPr>
  </w:style>
  <w:style w:type="character" w:customStyle="1" w:styleId="76">
    <w:name w:val="font71"/>
    <w:qFormat/>
    <w:uiPriority w:val="0"/>
    <w:rPr>
      <w:rFonts w:hint="eastAsia" w:ascii="宋体" w:hAnsi="宋体" w:eastAsia="宋体" w:cs="宋体"/>
      <w:color w:val="000000"/>
      <w:sz w:val="28"/>
      <w:szCs w:val="28"/>
      <w:u w:val="none"/>
    </w:rPr>
  </w:style>
  <w:style w:type="character" w:customStyle="1" w:styleId="77">
    <w:name w:val="font21"/>
    <w:qFormat/>
    <w:uiPriority w:val="0"/>
    <w:rPr>
      <w:rFonts w:hint="default" w:ascii="Calibri" w:hAnsi="Calibri" w:cs="Calibri"/>
      <w:color w:val="000000"/>
      <w:sz w:val="28"/>
      <w:szCs w:val="28"/>
      <w:u w:val="none"/>
    </w:rPr>
  </w:style>
  <w:style w:type="character" w:customStyle="1" w:styleId="78">
    <w:name w:val="17"/>
    <w:qFormat/>
    <w:uiPriority w:val="0"/>
    <w:rPr>
      <w:rFonts w:hint="eastAsia" w:ascii="宋体" w:hAnsi="宋体" w:eastAsia="宋体"/>
      <w:color w:val="000000"/>
    </w:rPr>
  </w:style>
  <w:style w:type="character" w:customStyle="1" w:styleId="79">
    <w:name w:val="font91"/>
    <w:qFormat/>
    <w:uiPriority w:val="0"/>
    <w:rPr>
      <w:rFonts w:hint="eastAsia" w:ascii="宋体" w:hAnsi="宋体" w:eastAsia="宋体" w:cs="宋体"/>
      <w:color w:val="FF0000"/>
      <w:sz w:val="28"/>
      <w:szCs w:val="28"/>
      <w:u w:val="none"/>
    </w:rPr>
  </w:style>
  <w:style w:type="paragraph" w:customStyle="1" w:styleId="80">
    <w:name w:val="p"/>
    <w:basedOn w:val="1"/>
    <w:qFormat/>
    <w:uiPriority w:val="0"/>
    <w:pPr>
      <w:widowControl/>
      <w:spacing w:line="432" w:lineRule="auto"/>
      <w:jc w:val="left"/>
    </w:pPr>
    <w:rPr>
      <w:rFonts w:ascii="宋体" w:hAnsi="宋体" w:cs="宋体"/>
      <w:kern w:val="0"/>
      <w:sz w:val="24"/>
    </w:rPr>
  </w:style>
  <w:style w:type="paragraph" w:customStyle="1" w:styleId="81">
    <w:name w:val="WPSOffice手动目录 1"/>
    <w:qFormat/>
    <w:uiPriority w:val="0"/>
    <w:rPr>
      <w:rFonts w:ascii="Times New Roman" w:hAnsi="Times New Roman" w:eastAsia="宋体" w:cs="Times New Roman"/>
      <w:lang w:val="en-US" w:eastAsia="zh-CN" w:bidi="ar-SA"/>
    </w:rPr>
  </w:style>
  <w:style w:type="paragraph" w:customStyle="1" w:styleId="82">
    <w:name w:val="*正文_1"/>
    <w:basedOn w:val="1"/>
    <w:next w:val="1"/>
    <w:qFormat/>
    <w:uiPriority w:val="0"/>
    <w:pPr>
      <w:widowControl/>
      <w:ind w:firstLine="482"/>
    </w:pPr>
    <w:rPr>
      <w:rFonts w:ascii="微软雅黑" w:hAnsi="微软雅黑" w:eastAsia="微软雅黑"/>
      <w:kern w:val="0"/>
      <w:szCs w:val="20"/>
    </w:rPr>
  </w:style>
  <w:style w:type="paragraph" w:customStyle="1" w:styleId="83">
    <w:name w:val="表格文字"/>
    <w:basedOn w:val="1"/>
    <w:next w:val="3"/>
    <w:qFormat/>
    <w:uiPriority w:val="0"/>
    <w:pPr>
      <w:adjustRightInd w:val="0"/>
      <w:spacing w:line="420" w:lineRule="atLeast"/>
      <w:jc w:val="left"/>
      <w:textAlignment w:val="baseline"/>
    </w:pPr>
    <w:rPr>
      <w:kern w:val="0"/>
      <w:szCs w:val="20"/>
    </w:rPr>
  </w:style>
  <w:style w:type="character" w:customStyle="1" w:styleId="84">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85">
    <w:name w:val="列表段落1"/>
    <w:basedOn w:val="1"/>
    <w:qFormat/>
    <w:uiPriority w:val="34"/>
    <w:pPr>
      <w:widowControl/>
      <w:ind w:firstLine="420"/>
      <w:jc w:val="left"/>
    </w:pPr>
    <w:rPr>
      <w:kern w:val="0"/>
    </w:rPr>
  </w:style>
  <w:style w:type="paragraph" w:styleId="86">
    <w:name w:val="List Paragraph"/>
    <w:basedOn w:val="1"/>
    <w:qFormat/>
    <w:uiPriority w:val="34"/>
    <w:pPr>
      <w:ind w:firstLine="420" w:firstLineChars="200"/>
    </w:pPr>
  </w:style>
  <w:style w:type="character" w:customStyle="1" w:styleId="87">
    <w:name w:val="hover18"/>
    <w:basedOn w:val="35"/>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39694-E2D4-4EC7-B4CE-52C55243A65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31</Pages>
  <Words>13804</Words>
  <Characters>14474</Characters>
  <Lines>50</Lines>
  <Paragraphs>68</Paragraphs>
  <TotalTime>0</TotalTime>
  <ScaleCrop>false</ScaleCrop>
  <LinksUpToDate>false</LinksUpToDate>
  <CharactersWithSpaces>15412</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陈壹</cp:lastModifiedBy>
  <cp:lastPrinted>2021-09-30T00:46:00Z</cp:lastPrinted>
  <dcterms:modified xsi:type="dcterms:W3CDTF">2022-06-16T08:39:45Z</dcterms:modified>
  <dc:title>驻马店市政府采购货物项目</dc:title>
  <cp:revision>1088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1851269FF45849BC9D1DBC1B82455561</vt:lpwstr>
  </property>
</Properties>
</file>